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jc w:val="center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на </w:t>
      </w:r>
      <w:bookmarkStart w:id="0" w:name="_Hlk171067435"/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выполнение </w:t>
      </w:r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работ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по капитальному ремонту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по объекту: здание филиала МАУК «Надымская РКС» СДК с.Нори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</w:r>
    </w:p>
    <w:p>
      <w:pPr>
        <w:pStyle w:val="862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hi-IN" w:bidi="hi-IN"/>
        </w:rPr>
        <w:t xml:space="preserve">1. Наименование выполняемых работ: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Капитальный ремонт по объекту: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здание филиала МАУК «Надымская РКС» СДК с.Нори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pStyle w:val="851"/>
        <w:jc w:val="both"/>
        <w:spacing w:after="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hi-IN" w:bidi="hi-IN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43.99.90.190 Работы строительные специализированные прочие, не включенные в другие группировки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851"/>
        <w:jc w:val="both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hi-IN" w:bidi="hi-IN"/>
        </w:rPr>
        <w:t xml:space="preserve">2. Виды выполняемых работ: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2.1. Выполняемые работы, используемые материалы, оборудования, изделия, иные предметы должны соответствовать документации (проектно-сметной документации</w:t>
      </w: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и сводный сметный расчет</w:t>
      </w: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, приложенной отдельными файлами) и данного технического задания.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2.2. В случае, если в документации (в каком-либо документе, входя</w:t>
      </w: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щем в состав документации, прикрепленном отдельным файлом к документации) применяются указания на товарный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</w:t>
      </w:r>
      <w:r>
        <w:rPr>
          <w:rFonts w:ascii="Times New Roman" w:hAnsi="Times New Roman" w:eastAsia="Times New Roman" w:cs="Times New Roman"/>
          <w:sz w:val="22"/>
          <w:szCs w:val="22"/>
          <w:lang w:eastAsia="hi-IN" w:bidi="hi-IN"/>
        </w:rPr>
        <w:t xml:space="preserve">ся указания на з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считаются ничтожными.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3. Место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Style w:val="863"/>
          <w:rFonts w:ascii="Times New Roman" w:hAnsi="Times New Roman"/>
          <w:sz w:val="22"/>
          <w:szCs w:val="22"/>
        </w:rPr>
        <w:t xml:space="preserve">629752, Российская Федерация, Ямало-Ненецкий автономный округ, </w:t>
      </w:r>
      <w:r>
        <w:rPr>
          <w:rStyle w:val="863"/>
          <w:rFonts w:ascii="Times New Roman" w:hAnsi="Times New Roman"/>
          <w:sz w:val="22"/>
          <w:szCs w:val="22"/>
        </w:rPr>
        <w:t xml:space="preserve">Надымский</w:t>
      </w:r>
      <w:r>
        <w:rPr>
          <w:rStyle w:val="863"/>
          <w:rFonts w:ascii="Times New Roman" w:hAnsi="Times New Roman"/>
          <w:sz w:val="22"/>
          <w:szCs w:val="22"/>
        </w:rPr>
        <w:t xml:space="preserve"> район, село </w:t>
      </w:r>
      <w:r>
        <w:rPr>
          <w:rStyle w:val="863"/>
          <w:rFonts w:ascii="Times New Roman" w:hAnsi="Times New Roman"/>
          <w:sz w:val="22"/>
          <w:szCs w:val="22"/>
        </w:rPr>
        <w:t xml:space="preserve">Нори</w:t>
      </w:r>
      <w:r>
        <w:rPr>
          <w:rStyle w:val="863"/>
          <w:rFonts w:ascii="Times New Roman" w:hAnsi="Times New Roman"/>
          <w:sz w:val="22"/>
          <w:szCs w:val="22"/>
        </w:rPr>
        <w:t xml:space="preserve">, улица Лесная, дом 2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4. Срок выполнения работ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 xml:space="preserve">с момента заключения договора по </w:t>
      </w:r>
      <w:r>
        <w:rPr>
          <w:rFonts w:ascii="Times New Roman" w:hAnsi="Times New Roman"/>
          <w:bCs/>
          <w:sz w:val="22"/>
          <w:szCs w:val="22"/>
        </w:rPr>
        <w:t xml:space="preserve">30 ноября</w:t>
      </w:r>
      <w:r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 xml:space="preserve">6 г</w:t>
      </w:r>
      <w:r>
        <w:rPr>
          <w:rFonts w:ascii="Times New Roman" w:hAnsi="Times New Roman"/>
          <w:bCs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4.1. </w:t>
      </w:r>
      <w:r>
        <w:rPr>
          <w:rFonts w:ascii="Times New Roman" w:hAnsi="Times New Roman"/>
          <w:b/>
          <w:bCs/>
          <w:sz w:val="22"/>
          <w:szCs w:val="22"/>
        </w:rPr>
        <w:t xml:space="preserve">Подрядчик не позднее 3-х рабочих дней от даты заключения договора предоставляет Заказчику:</w:t>
      </w: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утвержденный план график выполнения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копию приказа о назначении ответственного за проведение работ и соблюдение требований пожарной безопасности, охраны окружающей среды;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- список машин и оборудования необходимых в производстве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список сотрудников необходимых для выполнения данных видов работ (</w:t>
      </w:r>
      <w:r>
        <w:rPr>
          <w:rFonts w:ascii="Times New Roman" w:hAnsi="Times New Roman" w:eastAsia="Times New Roman"/>
          <w:sz w:val="22"/>
          <w:szCs w:val="22"/>
        </w:rPr>
        <w:t xml:space="preserve">допуск работников Подрядчика на территорию учреждения).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SimSun"/>
          <w:b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5. Общие требования к выполнению работ:</w:t>
      </w:r>
      <w:r>
        <w:rPr>
          <w:rFonts w:ascii="Times New Roman" w:hAnsi="Times New Roman" w:eastAsia="SimSun"/>
          <w:b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5.1. В установленные сроки Подрядчик должен приступить к выполнению работ</w:t>
      </w:r>
      <w:r>
        <w:rPr>
          <w:rFonts w:ascii="Times New Roman" w:hAnsi="Times New Roman"/>
          <w:color w:val="000000"/>
          <w:sz w:val="22"/>
          <w:szCs w:val="22"/>
        </w:rPr>
        <w:t xml:space="preserve">,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согласно условиям Договора, настоящего Технического задания.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5.2. Проводимые работы не должны наносить вред имуществу Заказчика. В ходе выполнения работ Подрядчик проводит ремонтно-восстановительные работы поврежденного имущества за счет собственных средств.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5.3. Перед началом производства работ необходимо уточнить местоположение подземных коммуникаций.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5.4. Выполнение работ Подрядчиком не должно подвергать угрозе здор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овье сотрудников Заказчика и третьих лиц. Ответственность за соблюдение требований и норм охраны труда, пожарной безопасности, санитарно-гигиенического режима, внутреннего распорядка Заказчика во время выполнения работ на объекте возлагается на Подрядчика.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Участок производства строительно-монтажных и иных работ должен быть надежно огорожен, надежно препятствуя доступу на объект посторонних лиц, в том числе детей, их законных представителей, работников Заказчика и т.д.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5.5. Привлекаемый к работе персонал должен иметь квалификацию для выполнения данных видов работ, ответственность за привлекаемый к работе персонал несет Подрядчик;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5.6. </w:t>
      </w:r>
      <w:r>
        <w:rPr>
          <w:rFonts w:ascii="Times New Roman" w:hAnsi="Times New Roman"/>
          <w:sz w:val="22"/>
          <w:szCs w:val="22"/>
        </w:rPr>
        <w:t xml:space="preserve">Ответственность за наличие, исправность и правильное применение на объектах необходимых средств защиты, инструмента, инвентаря и приспособлений несет Подрядчик;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5.7. В случае возникновения претензий к персоналу Подрядчика независимо от их характера, со стор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оны третьих лиц, Заказчик не несет по ним никакой ответственности. В случае возникновения обоснованной претензии к персоналу Подрядчика, Заказчик имеет право дать указание Подрядчику на отстранение от участия в работах по Договору такого лица (группы лиц).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5.8. </w:t>
      </w:r>
      <w:r>
        <w:rPr>
          <w:rFonts w:ascii="Times New Roman" w:hAnsi="Times New Roman"/>
          <w:sz w:val="22"/>
          <w:szCs w:val="22"/>
          <w:lang w:eastAsia="ru-RU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</w:t>
      </w:r>
      <w:r>
        <w:rPr>
          <w:rFonts w:ascii="Times New Roman" w:hAnsi="Times New Roman"/>
          <w:sz w:val="22"/>
          <w:szCs w:val="22"/>
          <w:lang w:eastAsia="ru-RU"/>
        </w:rPr>
        <w:t xml:space="preserve">зации или лицо его заменяющее. Организация строительной площадки должна обеспечить безопасность труда работающих на всех этапах производства работ. Перед началом производства необходимо провести инструктаж о методах работ, последовательности их выполнения.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5.9. Подрядчик должен немедленно извещать Заказчика и до получения соответствующих указаний приостановить работы при обнаружении: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- возможных неблагоприятных для Заказчика последствий выполнения его указаний о способе исполнения работ;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- иных, независящих от Подрядчика обстоятельств, угрожающих годность или прочности результатов выполняемой работы, либо создающих невозможность ее завершения в срок.</w:t>
      </w:r>
      <w:r>
        <w:rPr>
          <w:rFonts w:ascii="Times New Roman" w:hAnsi="Times New Roman"/>
          <w:sz w:val="22"/>
          <w:szCs w:val="22"/>
          <w:lang w:eastAsia="ru-RU"/>
        </w:rPr>
      </w:r>
      <w:r>
        <w:rPr>
          <w:rFonts w:ascii="Times New Roman" w:hAnsi="Times New Roman"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5.10. До подписания акта о приемке выполненных работ вывезт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и за пределы территории, на которой проводятся работы, принадлежащие Подрядчику строительные машины, оборудование, инвентарь, инструменты, строительные материалы и другое имущество, а также очистить территорию от строительного мусора, временных сооружений.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5.11.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(обязанность получения согласования этих мест лежит на Подрядчике).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5.12. </w:t>
      </w:r>
      <w:r>
        <w:rPr>
          <w:rFonts w:ascii="Times New Roman" w:hAnsi="Times New Roman"/>
          <w:sz w:val="22"/>
          <w:szCs w:val="22"/>
        </w:rPr>
        <w:t xml:space="preserve">Транспортировка всех грузов, необходимых для выполнения работ, страхование перевозок, погрузо-разгрузочные работы, складирование и охрана грузов входят в обязанность Подрядчика и производятся за его счет.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5.13. Заказчик имеет право: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осматривать и испытывать материалы и оборудование, применяемые Подрядчиком для выполнения работ;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требовать от Подрядчика представления надлежащим образом оформленной исполнительной документации, подтверждающих исполнение обязательств в соответствии со сметной документацией и условиями договора;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осуществлять контроль качества поставляемых Подрядчиком оборудования, инвентаря и материалов, наличие необходимых сертификатов соответствия, технических паспортов и других документов, удостоверяющих их происхождение и качественные характеристики;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предъявить требования,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договоре.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 любое время проверять ход и качество работ, выполняемых Подрядчиком, не вмешиваясь в его хозяйственную деятельность;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отказать в оплате за выполненные работы, не предусмотренные настоящим Договором;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отказать от оплаты выполненных Подрядчиком работ в случае неисполнения/ ненадлежащего исполнения принятых на себя в соответствии с услови</w:t>
      </w:r>
      <w:r>
        <w:rPr>
          <w:rFonts w:ascii="Times New Roman" w:hAnsi="Times New Roman"/>
          <w:sz w:val="22"/>
          <w:szCs w:val="22"/>
        </w:rPr>
        <w:t xml:space="preserve">ями договора обязательств, до момента устранения Подрядчиком соответствующих нарушений.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Требования к качеству материалов (товаров):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Материалы используемые при выполнении работ, их качество и комплектация должны </w:t>
      </w:r>
      <w:r>
        <w:rPr>
          <w:rFonts w:ascii="Times New Roman" w:hAnsi="Times New Roman"/>
          <w:sz w:val="22"/>
          <w:szCs w:val="22"/>
        </w:rPr>
        <w:t xml:space="preserve">соответствовать требов</w:t>
      </w:r>
      <w:r>
        <w:rPr>
          <w:rFonts w:ascii="Times New Roman" w:hAnsi="Times New Roman"/>
          <w:sz w:val="22"/>
          <w:szCs w:val="22"/>
        </w:rPr>
        <w:t xml:space="preserve">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поставке наличием у Подрядчика соответствующих документов (</w:t>
      </w:r>
      <w:r>
        <w:rPr>
          <w:rFonts w:ascii="Times New Roman" w:hAnsi="Times New Roman"/>
          <w:sz w:val="22"/>
          <w:szCs w:val="22"/>
        </w:rPr>
        <w:t xml:space="preserve"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</w:t>
      </w:r>
      <w:r>
        <w:rPr>
          <w:rFonts w:ascii="Times New Roman" w:hAnsi="Times New Roman"/>
          <w:sz w:val="22"/>
          <w:szCs w:val="22"/>
        </w:rPr>
        <w:t xml:space="preserve"> Предлагаемые материалы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восстановлены потребительские свойства), технически исправны, не иметь д</w:t>
      </w:r>
      <w:r>
        <w:rPr>
          <w:rFonts w:ascii="Times New Roman" w:hAnsi="Times New Roman"/>
          <w:sz w:val="22"/>
          <w:szCs w:val="22"/>
        </w:rPr>
        <w:t xml:space="preserve">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 Цветовая гамма используемого материала согласовывается с Заказчиком.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/>
          <w:sz w:val="22"/>
          <w:szCs w:val="22"/>
          <w:lang w:eastAsia="hi-IN" w:bidi="hi-IN"/>
        </w:rPr>
        <w:t xml:space="preserve">7.</w:t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  <w:t xml:space="preserve"> Требования к качеству работ, в том числе технология производства выполнения работ, методы производства выполнения работ, методики выполнения работ.</w:t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7.1. Работы должны быть выполнены в соответствии с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документацией (проектно-сметная документация, приложенная отдельными файлами), 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spacing w:line="276" w:lineRule="auto"/>
        <w:rPr>
          <w:rFonts w:ascii="Times New Roman" w:hAnsi="Times New Roman"/>
          <w:b/>
          <w:spacing w:val="2"/>
          <w:sz w:val="22"/>
          <w:szCs w:val="22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- Федеральный закон №52-ФЗ от 30.03.99г. «</w:t>
      </w:r>
      <w:r>
        <w:rPr>
          <w:rFonts w:ascii="Times New Roman" w:hAnsi="Times New Roman"/>
          <w:spacing w:val="2"/>
          <w:sz w:val="22"/>
          <w:szCs w:val="22"/>
        </w:rPr>
        <w:t xml:space="preserve">О санитарно-эпидемиологическом благополучии населения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(с изменениями)</w:t>
      </w:r>
      <w:r>
        <w:rPr>
          <w:rFonts w:ascii="Times New Roman" w:hAnsi="Times New Roman"/>
          <w:spacing w:val="2"/>
          <w:sz w:val="22"/>
          <w:szCs w:val="22"/>
        </w:rPr>
        <w:t xml:space="preserve">»;</w:t>
      </w:r>
      <w:r>
        <w:rPr>
          <w:rFonts w:ascii="Times New Roman" w:hAnsi="Times New Roman"/>
          <w:b/>
          <w:spacing w:val="2"/>
          <w:sz w:val="22"/>
          <w:szCs w:val="22"/>
        </w:rPr>
      </w:r>
      <w:r>
        <w:rPr>
          <w:rFonts w:ascii="Times New Roman" w:hAnsi="Times New Roman"/>
          <w:b/>
          <w:spacing w:val="2"/>
          <w:sz w:val="22"/>
          <w:szCs w:val="22"/>
        </w:rPr>
      </w:r>
    </w:p>
    <w:p>
      <w:pPr>
        <w:pStyle w:val="658"/>
        <w:spacing w:before="0" w:beforeAutospacing="0" w:after="0" w:afterAutospacing="0" w:line="276" w:lineRule="auto"/>
        <w:shd w:val="clear" w:color="auto" w:fill="ffffff"/>
        <w:rPr>
          <w:b w:val="0"/>
          <w:spacing w:val="2"/>
          <w:sz w:val="22"/>
          <w:szCs w:val="22"/>
        </w:rPr>
      </w:pPr>
      <w:r>
        <w:rPr>
          <w:rFonts w:eastAsia="SimSun"/>
          <w:b w:val="0"/>
          <w:sz w:val="22"/>
          <w:szCs w:val="22"/>
          <w:lang w:eastAsia="hi-IN" w:bidi="hi-IN"/>
        </w:rPr>
        <w:t xml:space="preserve">- </w:t>
      </w:r>
      <w:r>
        <w:rPr>
          <w:b w:val="0"/>
          <w:spacing w:val="2"/>
          <w:sz w:val="22"/>
          <w:szCs w:val="22"/>
        </w:rPr>
        <w:t xml:space="preserve">Градостроительный кодекс Российской Федерации</w:t>
      </w:r>
      <w:r>
        <w:rPr>
          <w:b w:val="0"/>
          <w:sz w:val="22"/>
          <w:szCs w:val="22"/>
          <w:shd w:val="clear" w:color="auto" w:fill="ffffff"/>
        </w:rPr>
        <w:t xml:space="preserve"> (с изменениями)</w:t>
      </w:r>
      <w:r>
        <w:rPr>
          <w:b w:val="0"/>
          <w:spacing w:val="2"/>
          <w:sz w:val="22"/>
          <w:szCs w:val="22"/>
        </w:rPr>
        <w:t xml:space="preserve">;</w:t>
      </w:r>
      <w:r>
        <w:rPr>
          <w:b w:val="0"/>
          <w:spacing w:val="2"/>
          <w:sz w:val="22"/>
          <w:szCs w:val="22"/>
        </w:rPr>
      </w:r>
      <w:r>
        <w:rPr>
          <w:b w:val="0"/>
          <w:spacing w:val="2"/>
          <w:sz w:val="22"/>
          <w:szCs w:val="22"/>
        </w:rPr>
      </w:r>
    </w:p>
    <w:p>
      <w:pPr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Организация и выполнение Работ должны соответствовать требованиям безопасности, установленным в следующих документах: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22.07.2008 № 123-ФЗ «Технический регламент о требованиях пожарной безопасности (последняя редакция)»;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СНиП 12-03-2001 «Безопасность труда в строительстве Часть 1. Общие требования»;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СНиП 12-04-2002 «Безопасность труда в строительстве Часть 2. Строительное производство»;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21.12.1994 № 69-ФЗ «О пожарной безопасности» (с Изменениями);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- Федеральный закон от 27.12.2002 № 184-ФЗ «О техническом регулировании» (с Изменениями);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- </w:t>
      </w:r>
      <w:r>
        <w:rPr>
          <w:rFonts w:ascii="Times New Roman" w:hAnsi="Times New Roman"/>
          <w:sz w:val="22"/>
          <w:szCs w:val="22"/>
        </w:rPr>
        <w:t xml:space="preserve">Федеральным законом от 30.12.2009 № 384-ФЗ «</w:t>
      </w:r>
      <w:r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Технический регламент о безопасности зданий и сооружений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(с изменениями)»;</w:t>
      </w:r>
      <w:r>
        <w:rPr>
          <w:rFonts w:ascii="Times New Roman" w:hAnsi="Times New Roman"/>
          <w:sz w:val="22"/>
          <w:szCs w:val="22"/>
          <w:shd w:val="clear" w:color="auto" w:fill="ffffff"/>
        </w:rPr>
      </w:r>
      <w:r>
        <w:rPr>
          <w:rFonts w:ascii="Times New Roman" w:hAnsi="Times New Roman"/>
          <w:sz w:val="22"/>
          <w:szCs w:val="22"/>
          <w:shd w:val="clear" w:color="auto" w:fill="ffffff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70.13330.2012 Несущие и ограждающие конструкции. Актуализированная редакция СНиП 3.03.01-87 (с изменением № 1)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71.13330.2017 «СНиП 3.04.01-87 Изоляционные и отделочные покрытия»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17.13330.2017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«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Кровли. Актуализированная редакция СНиП II-26-76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»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;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118.13330.2022 «Общественные здания и сооружения.»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64.13330.2017 «Деревянные конструкции», актуализированная редакция СНиП II-25-80.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СП 16.13330.2017 «Стальные конструкции» — свод правил, который устанавливает требования к проектированию и расчёту стальных строительных конструкций зданий и сооружений различного назначения. Это актуализированная редакция СНиП II-23-81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widowControl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ascii="Times New Roman" w:hAnsi="Times New Roman" w:eastAsia="Calibri"/>
          <w:sz w:val="22"/>
          <w:szCs w:val="22"/>
          <w:lang w:eastAsia="en-US"/>
        </w:rPr>
        <w:t xml:space="preserve">- И иные 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</w:r>
      <w:r>
        <w:rPr>
          <w:rFonts w:ascii="Times New Roman" w:hAnsi="Times New Roman" w:eastAsia="Calibri"/>
          <w:sz w:val="22"/>
          <w:szCs w:val="22"/>
          <w:lang w:eastAsia="en-US"/>
        </w:rPr>
      </w:r>
      <w:r>
        <w:rPr>
          <w:rFonts w:ascii="Times New Roman" w:hAnsi="Times New Roman" w:eastAsia="Calibri"/>
          <w:sz w:val="22"/>
          <w:szCs w:val="22"/>
          <w:lang w:eastAsia="en-US"/>
        </w:rPr>
      </w:r>
    </w:p>
    <w:p>
      <w:pPr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7.2. Выполняемые работы, равно как и их результат, должны соответствовать тре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бованиям и актов законодательства РФ и действующих нормативно-техническим документам и правилам, (в случае указания недействующих ГОСТ, СНИП, СанПин, ТР, ТС и иных нормативных и регулирующих документов – данными документами руководствоваться не требуется).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tabs>
          <w:tab w:val="center" w:pos="567" w:leader="none"/>
        </w:tabs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/>
          <w:b/>
          <w:sz w:val="22"/>
          <w:szCs w:val="22"/>
        </w:rPr>
        <w:t xml:space="preserve">8. Требования к результатам работ и иные показатели, связанные с определением соответствия выполняемых работ потребностям Заказчика (приемка работ).</w:t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/>
          <w:b/>
          <w:sz w:val="22"/>
          <w:szCs w:val="22"/>
          <w:lang w:eastAsia="ru-RU"/>
        </w:rPr>
      </w:r>
    </w:p>
    <w:p>
      <w:pPr>
        <w:jc w:val="both"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8.1. Результатом работы являются </w:t>
      </w:r>
      <w:r>
        <w:rPr>
          <w:rFonts w:ascii="Times New Roman" w:hAnsi="Times New Roman"/>
          <w:sz w:val="22"/>
          <w:szCs w:val="22"/>
        </w:rPr>
        <w:t xml:space="preserve">выполненны</w:t>
      </w:r>
      <w:r>
        <w:rPr>
          <w:rFonts w:ascii="Times New Roman" w:hAnsi="Times New Roman"/>
          <w:sz w:val="22"/>
          <w:szCs w:val="22"/>
        </w:rPr>
        <w:t xml:space="preserve">е работы по </w:t>
      </w:r>
      <w:r>
        <w:rPr>
          <w:rFonts w:ascii="Times New Roman" w:hAnsi="Times New Roman"/>
          <w:sz w:val="22"/>
          <w:szCs w:val="22"/>
        </w:rPr>
        <w:t xml:space="preserve">Капитальн</w:t>
      </w:r>
      <w:r>
        <w:rPr>
          <w:rFonts w:ascii="Times New Roman" w:hAnsi="Times New Roman"/>
          <w:sz w:val="22"/>
          <w:szCs w:val="22"/>
        </w:rPr>
        <w:t xml:space="preserve">ому</w:t>
      </w:r>
      <w:r>
        <w:rPr>
          <w:rFonts w:ascii="Times New Roman" w:hAnsi="Times New Roman"/>
          <w:sz w:val="22"/>
          <w:szCs w:val="22"/>
        </w:rPr>
        <w:t xml:space="preserve"> ремонт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Дом</w:t>
      </w:r>
      <w:r>
        <w:rPr>
          <w:rFonts w:ascii="Times New Roman" w:hAnsi="Times New Roman"/>
          <w:sz w:val="22"/>
          <w:szCs w:val="22"/>
        </w:rPr>
        <w:t xml:space="preserve">а</w:t>
      </w:r>
      <w:r>
        <w:rPr>
          <w:rFonts w:ascii="Times New Roman" w:hAnsi="Times New Roman"/>
          <w:sz w:val="22"/>
          <w:szCs w:val="22"/>
        </w:rPr>
        <w:t xml:space="preserve"> культуры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приведенный в нормативно-техническое состояние, отвечающий требованиям технической и санитарной безопасности.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jc w:val="both"/>
        <w:spacing w:line="276" w:lineRule="auto"/>
        <w:tabs>
          <w:tab w:val="center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8.2. Сдача результатов выполненных работ Подрядчиком и приемка их Заказчиком оформляется актом о приеме выполненных работ (КС-2), подписанным обеими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8.3. По завершению работ Подрядчик должен предоставить Заказчику: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акт скрытых работ с фотофиксацией (при обнаружения скрытых работ) - на бумажном и электронном носителе в количестве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1-го экземпляра;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5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сертификаты на материалы (заверенные копии) - на бумажном и электронном носителе в количестве </w:t>
      </w:r>
      <w:r>
        <w:rPr>
          <w:sz w:val="22"/>
          <w:szCs w:val="22"/>
          <w:shd w:val="clear" w:color="auto" w:fill="ffffff"/>
        </w:rPr>
        <w:t xml:space="preserve">1-го экземпляра;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акт выполненных работ (КС-2) - на бумажном и электронном носителе в количестве 2-х экземпляров;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справка о стоимости выполненных работ и затрат (КС-3) - на бумажном и электронном носителе в количестве 2-х экземпляров.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jc w:val="both"/>
        <w:spacing w:line="276" w:lineRule="auto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b/>
          <w:sz w:val="22"/>
          <w:szCs w:val="22"/>
          <w:lang w:eastAsia="hi-IN" w:bidi="hi-IN"/>
        </w:rPr>
        <w:t xml:space="preserve">9. Требования по объёму гарантий качества работ</w:t>
      </w:r>
      <w:r>
        <w:rPr>
          <w:rFonts w:eastAsia="SimSun"/>
          <w:b/>
          <w:sz w:val="22"/>
          <w:szCs w:val="22"/>
          <w:lang w:eastAsia="hi-IN" w:bidi="hi-IN"/>
        </w:rPr>
      </w:r>
      <w:r>
        <w:rPr>
          <w:rFonts w:eastAsia="SimSun"/>
          <w:b/>
          <w:sz w:val="22"/>
          <w:szCs w:val="22"/>
          <w:lang w:eastAsia="hi-IN" w:bidi="hi-IN"/>
        </w:rPr>
      </w:r>
    </w:p>
    <w:p>
      <w:pPr>
        <w:pStyle w:val="853"/>
        <w:jc w:val="both"/>
        <w:spacing w:line="276" w:lineRule="auto"/>
        <w:rPr>
          <w:sz w:val="22"/>
          <w:szCs w:val="22"/>
        </w:rPr>
      </w:pPr>
      <w:r>
        <w:rPr>
          <w:rFonts w:eastAsia="SimSun"/>
          <w:sz w:val="22"/>
          <w:szCs w:val="22"/>
          <w:lang w:eastAsia="hi-IN" w:bidi="hi-IN"/>
        </w:rPr>
        <w:t xml:space="preserve">9.1. 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9.2. Подрядчик несет ответственность за недостатки (дефекты), обнаруженные в пределах гарантийного срока, если н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е докажет, что они произошли вследствие нормального износа результата выполненных работ или его частей, неправильной его эксплуатации, ненадлежащего ремонта результата выполненных работ, произведенного самим Заказчиком или привлеченными им третьими лицами.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9.3. При обнаружении в течение гарантийного срока недостатков (дефектов),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Заказчик должен заявить о них Подрядчику в разумный срок после их обнаружения. Подрядчик обязан устранить возникшие повреждения на сетях, находящихся на гарантийном обслуживании в течение 5 дней с момента оповещения Заказчиком.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9.4. Течение гарантийного срока прерывается на все время, на протяжении которого результат выполненных работ не мог эксплуатироваться вследствие недостатков (дефектов), Подрядчик обязан устранить с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оответствующие недостатки (дефекты), в срок, указанный в акте, в котором фиксируются данные недостатки (дефекты). При этом Подрядчик обязан безвозмездно устранять указанные в акте недостатки (дефекты) в разумный срок или возмещать расходы на их устранение.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9.5. 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9.6. Подрядчик несет ответственность перед Заказчиком за допущенные отступления от требований настоящего Технического задания.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bCs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  <w:t xml:space="preserve">9.7. Подрядчик не несет ответственности в период гарантийного срока за ущерб, причиненный результату работ третьими лицами или ненадлежащей эксплуатацией.</w:t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bCs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9.8. В соответствии с условиями Договора гарантийный срок на выполненные работы –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не менее 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36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 месяцев</w:t>
      </w:r>
      <w:r>
        <w:rPr>
          <w:rFonts w:ascii="Times New Roman" w:hAnsi="Times New Roman" w:eastAsia="SimSun"/>
          <w:sz w:val="22"/>
          <w:szCs w:val="22"/>
          <w:lang w:eastAsia="hi-IN" w:bidi="hi-IN"/>
        </w:rPr>
        <w:t xml:space="preserve"> с даты подписания итогового Акта приёмки выполненных работ.</w:t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p>
      <w:pPr>
        <w:jc w:val="both"/>
        <w:spacing w:line="276" w:lineRule="auto"/>
        <w:rPr>
          <w:rFonts w:ascii="Times New Roman" w:hAnsi="Times New Roman" w:eastAsia="SimSun"/>
          <w:sz w:val="22"/>
          <w:szCs w:val="22"/>
          <w:lang w:eastAsia="hi-IN" w:bidi="hi-IN"/>
        </w:rPr>
      </w:pP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  <w:r>
        <w:rPr>
          <w:rFonts w:ascii="Times New Roman" w:hAnsi="Times New Roman" w:eastAsia="SimSun"/>
          <w:sz w:val="22"/>
          <w:szCs w:val="22"/>
          <w:lang w:eastAsia="hi-IN" w:bidi="hi-I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Calibri">
    <w:panose1 w:val="020F0502020204030204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spacing w:after="0" w:line="240" w:lineRule="auto"/>
      <w:widowControl w:val="off"/>
    </w:pPr>
    <w:rPr>
      <w:rFonts w:ascii="Arial" w:hAnsi="Arial" w:eastAsia="Lucida Sans Unicode" w:cs="Times New Roman"/>
      <w:sz w:val="20"/>
      <w:szCs w:val="24"/>
      <w:lang w:eastAsia="ar-SA"/>
    </w:rPr>
  </w:style>
  <w:style w:type="paragraph" w:styleId="658">
    <w:name w:val="Heading 1"/>
    <w:basedOn w:val="657"/>
    <w:link w:val="859"/>
    <w:uiPriority w:val="9"/>
    <w:qFormat/>
    <w:pPr>
      <w:spacing w:before="100" w:beforeAutospacing="1" w:after="100" w:afterAutospacing="1"/>
      <w:widowControl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659">
    <w:name w:val="Heading 2"/>
    <w:basedOn w:val="657"/>
    <w:next w:val="657"/>
    <w:link w:val="687"/>
    <w:uiPriority w:val="9"/>
    <w:unhideWhenUsed/>
    <w:qFormat/>
    <w:pPr>
      <w:keepLines/>
      <w:keepNext/>
      <w:spacing w:before="360" w:after="200"/>
      <w:outlineLvl w:val="1"/>
    </w:pPr>
    <w:rPr>
      <w:rFonts w:eastAsia="Arial" w:cs="Arial"/>
      <w:sz w:val="34"/>
    </w:rPr>
  </w:style>
  <w:style w:type="paragraph" w:styleId="660">
    <w:name w:val="Heading 3"/>
    <w:basedOn w:val="657"/>
    <w:next w:val="657"/>
    <w:link w:val="688"/>
    <w:uiPriority w:val="9"/>
    <w:unhideWhenUsed/>
    <w:qFormat/>
    <w:pPr>
      <w:keepLines/>
      <w:keepNext/>
      <w:spacing w:before="320" w:after="200"/>
      <w:outlineLvl w:val="2"/>
    </w:pPr>
    <w:rPr>
      <w:rFonts w:eastAsia="Arial" w:cs="Arial"/>
      <w:sz w:val="30"/>
      <w:szCs w:val="30"/>
    </w:rPr>
  </w:style>
  <w:style w:type="paragraph" w:styleId="661">
    <w:name w:val="Heading 4"/>
    <w:basedOn w:val="657"/>
    <w:next w:val="657"/>
    <w:link w:val="689"/>
    <w:uiPriority w:val="9"/>
    <w:unhideWhenUsed/>
    <w:qFormat/>
    <w:pPr>
      <w:keepLines/>
      <w:keepNext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0"/>
    <w:uiPriority w:val="9"/>
    <w:unhideWhenUsed/>
    <w:qFormat/>
    <w:pPr>
      <w:keepLines/>
      <w:keepNext/>
      <w:spacing w:before="320" w:after="200"/>
      <w:outlineLvl w:val="4"/>
    </w:pPr>
    <w:rPr>
      <w:rFonts w:eastAsia="Arial" w:cs="Arial"/>
      <w:b/>
      <w:bCs/>
      <w:sz w:val="24"/>
    </w:rPr>
  </w:style>
  <w:style w:type="paragraph" w:styleId="663">
    <w:name w:val="Heading 6"/>
    <w:basedOn w:val="657"/>
    <w:next w:val="657"/>
    <w:link w:val="691"/>
    <w:uiPriority w:val="9"/>
    <w:unhideWhenUsed/>
    <w:qFormat/>
    <w:pPr>
      <w:keepLines/>
      <w:keepNext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92"/>
    <w:uiPriority w:val="9"/>
    <w:unhideWhenUsed/>
    <w:qFormat/>
    <w:pPr>
      <w:keepLines/>
      <w:keepNext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93"/>
    <w:uiPriority w:val="9"/>
    <w:unhideWhenUsed/>
    <w:qFormat/>
    <w:pPr>
      <w:keepLines/>
      <w:keepNext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94"/>
    <w:uiPriority w:val="9"/>
    <w:unhideWhenUsed/>
    <w:qFormat/>
    <w:pPr>
      <w:keepLines/>
      <w:keepNext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7"/>
    <w:uiPriority w:val="10"/>
    <w:rPr>
      <w:sz w:val="48"/>
      <w:szCs w:val="48"/>
    </w:rPr>
  </w:style>
  <w:style w:type="character" w:styleId="679" w:customStyle="1">
    <w:name w:val="Subtitle Char"/>
    <w:basedOn w:val="667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7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57"/>
    <w:next w:val="657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7"/>
    <w:link w:val="695"/>
    <w:uiPriority w:val="10"/>
    <w:rPr>
      <w:sz w:val="48"/>
      <w:szCs w:val="48"/>
    </w:rPr>
  </w:style>
  <w:style w:type="paragraph" w:styleId="697">
    <w:name w:val="Subtitle"/>
    <w:basedOn w:val="657"/>
    <w:next w:val="657"/>
    <w:link w:val="698"/>
    <w:uiPriority w:val="11"/>
    <w:qFormat/>
    <w:pPr>
      <w:spacing w:before="200" w:after="200"/>
    </w:pPr>
    <w:rPr>
      <w:sz w:val="24"/>
    </w:rPr>
  </w:style>
  <w:style w:type="character" w:styleId="698" w:customStyle="1">
    <w:name w:val="Подзаголовок Знак"/>
    <w:basedOn w:val="667"/>
    <w:link w:val="697"/>
    <w:uiPriority w:val="11"/>
    <w:rPr>
      <w:sz w:val="24"/>
      <w:szCs w:val="24"/>
    </w:rPr>
  </w:style>
  <w:style w:type="paragraph" w:styleId="699">
    <w:name w:val="Quote"/>
    <w:basedOn w:val="657"/>
    <w:next w:val="657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7"/>
    <w:next w:val="657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7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7"/>
    <w:link w:val="703"/>
    <w:uiPriority w:val="99"/>
  </w:style>
  <w:style w:type="paragraph" w:styleId="705">
    <w:name w:val="Footer"/>
    <w:basedOn w:val="657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7"/>
    <w:uiPriority w:val="99"/>
  </w:style>
  <w:style w:type="paragraph" w:styleId="707">
    <w:name w:val="Caption"/>
    <w:basedOn w:val="657"/>
    <w:next w:val="65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4">
    <w:name w:val="footnote text"/>
    <w:basedOn w:val="657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7"/>
    <w:uiPriority w:val="99"/>
    <w:unhideWhenUsed/>
    <w:rPr>
      <w:vertAlign w:val="superscript"/>
    </w:rPr>
  </w:style>
  <w:style w:type="paragraph" w:styleId="837">
    <w:name w:val="endnote text"/>
    <w:basedOn w:val="657"/>
    <w:link w:val="838"/>
    <w:uiPriority w:val="99"/>
    <w:semiHidden/>
    <w:unhideWhenUsed/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7"/>
    <w:uiPriority w:val="99"/>
    <w:semiHidden/>
    <w:unhideWhenUsed/>
    <w:rPr>
      <w:vertAlign w:val="superscript"/>
    </w:rPr>
  </w:style>
  <w:style w:type="paragraph" w:styleId="840">
    <w:name w:val="toc 1"/>
    <w:basedOn w:val="657"/>
    <w:next w:val="657"/>
    <w:uiPriority w:val="39"/>
    <w:unhideWhenUsed/>
    <w:pPr>
      <w:spacing w:after="57"/>
    </w:pPr>
  </w:style>
  <w:style w:type="paragraph" w:styleId="841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2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3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4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5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6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47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48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7"/>
    <w:next w:val="657"/>
    <w:uiPriority w:val="99"/>
    <w:unhideWhenUsed/>
  </w:style>
  <w:style w:type="paragraph" w:styleId="851">
    <w:name w:val="Body Text"/>
    <w:basedOn w:val="657"/>
    <w:link w:val="852"/>
    <w:pPr>
      <w:spacing w:after="120"/>
    </w:pPr>
  </w:style>
  <w:style w:type="character" w:styleId="852" w:customStyle="1">
    <w:name w:val="Основной текст Знак"/>
    <w:basedOn w:val="667"/>
    <w:link w:val="851"/>
    <w:rPr>
      <w:rFonts w:ascii="Arial" w:hAnsi="Arial" w:eastAsia="Lucida Sans Unicode" w:cs="Times New Roman"/>
      <w:sz w:val="20"/>
      <w:szCs w:val="24"/>
      <w:lang w:eastAsia="ar-SA"/>
    </w:rPr>
  </w:style>
  <w:style w:type="paragraph" w:styleId="853">
    <w:name w:val="No Spacing"/>
    <w:link w:val="861"/>
    <w:uiPriority w:val="1"/>
    <w:qFormat/>
    <w:pPr>
      <w:spacing w:after="0" w:line="240" w:lineRule="auto"/>
    </w:pPr>
    <w:rPr>
      <w:rFonts w:ascii="Times New Roman" w:hAnsi="Times New Roman" w:eastAsia="Arial" w:cs="Times New Roman"/>
      <w:sz w:val="24"/>
      <w:szCs w:val="24"/>
      <w:lang w:eastAsia="ar-SA"/>
    </w:rPr>
  </w:style>
  <w:style w:type="paragraph" w:styleId="854">
    <w:name w:val="List Paragraph"/>
    <w:basedOn w:val="657"/>
    <w:link w:val="855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character" w:styleId="855" w:customStyle="1">
    <w:name w:val="Абзац списка Знак"/>
    <w:basedOn w:val="667"/>
    <w:link w:val="854"/>
    <w:rPr>
      <w:rFonts w:ascii="Calibri" w:hAnsi="Calibri" w:eastAsia="Calibri" w:cs="Times New Roman"/>
    </w:rPr>
  </w:style>
  <w:style w:type="character" w:styleId="856">
    <w:name w:val="Hyperlink"/>
    <w:basedOn w:val="667"/>
    <w:uiPriority w:val="99"/>
    <w:semiHidden/>
    <w:unhideWhenUsed/>
    <w:rPr>
      <w:color w:val="0000ff"/>
      <w:u w:val="single"/>
    </w:rPr>
  </w:style>
  <w:style w:type="character" w:styleId="857" w:customStyle="1">
    <w:name w:val="upper"/>
    <w:basedOn w:val="667"/>
  </w:style>
  <w:style w:type="paragraph" w:styleId="858" w:customStyle="1">
    <w:name w:val="s_13"/>
    <w:basedOn w:val="657"/>
    <w:pPr>
      <w:ind w:firstLine="720"/>
      <w:widowControl/>
    </w:pPr>
    <w:rPr>
      <w:rFonts w:ascii="Times New Roman" w:hAnsi="Times New Roman" w:eastAsia="Times New Roman"/>
      <w:szCs w:val="20"/>
      <w:lang w:eastAsia="ru-RU"/>
    </w:rPr>
  </w:style>
  <w:style w:type="character" w:styleId="859" w:customStyle="1">
    <w:name w:val="Заголовок 1 Знак"/>
    <w:basedOn w:val="667"/>
    <w:link w:val="65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table" w:styleId="860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 w:customStyle="1">
    <w:name w:val="Без интервала Знак"/>
    <w:link w:val="853"/>
    <w:uiPriority w:val="1"/>
    <w:rPr>
      <w:rFonts w:ascii="Times New Roman" w:hAnsi="Times New Roman" w:eastAsia="Arial" w:cs="Times New Roman"/>
      <w:sz w:val="24"/>
      <w:szCs w:val="24"/>
      <w:lang w:eastAsia="ar-SA"/>
    </w:rPr>
  </w:style>
  <w:style w:type="paragraph" w:styleId="862" w:customStyle="1">
    <w:name w:val="docdata"/>
    <w:basedOn w:val="657"/>
    <w:pPr>
      <w:spacing w:before="100" w:beforeAutospacing="1" w:after="100" w:afterAutospacing="1"/>
      <w:widowControl/>
    </w:pPr>
    <w:rPr>
      <w:rFonts w:ascii="Times New Roman" w:hAnsi="Times New Roman" w:eastAsia="Times New Roman"/>
      <w:sz w:val="24"/>
      <w:lang w:eastAsia="ru-RU"/>
    </w:rPr>
  </w:style>
  <w:style w:type="character" w:styleId="863" w:customStyle="1">
    <w:name w:val="1327"/>
    <w:basedOn w:val="667"/>
  </w:style>
  <w:style w:type="paragraph" w:styleId="864" w:customStyle="1">
    <w:name w:val="headertext"/>
    <w:basedOn w:val="657"/>
    <w:pPr>
      <w:spacing w:before="100" w:beforeAutospacing="1" w:after="100" w:afterAutospacing="1"/>
      <w:widowControl/>
    </w:pPr>
    <w:rPr>
      <w:rFonts w:ascii="Times New Roman" w:hAnsi="Times New Roman" w:eastAsia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legkaia</cp:lastModifiedBy>
  <cp:revision>8</cp:revision>
  <dcterms:created xsi:type="dcterms:W3CDTF">2026-05-07T08:35:00Z</dcterms:created>
  <dcterms:modified xsi:type="dcterms:W3CDTF">2026-05-13T12:54:33Z</dcterms:modified>
</cp:coreProperties>
</file>