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180E9C" w:rsidRDefault="009B0359" w:rsidP="00180E9C">
      <w:pPr>
        <w:widowControl w:val="0"/>
        <w:spacing w:after="0" w:line="240" w:lineRule="auto"/>
        <w:ind w:firstLine="709"/>
        <w:jc w:val="center"/>
        <w:rPr>
          <w:rFonts w:ascii="Times New Roman" w:eastAsia="Times New Roman" w:hAnsi="Times New Roman" w:cs="Times New Roman"/>
          <w:lang w:eastAsia="ru-RU"/>
        </w:rPr>
      </w:pPr>
      <w:r w:rsidRPr="00180E9C">
        <w:rPr>
          <w:rFonts w:ascii="Times New Roman" w:eastAsia="Times New Roman" w:hAnsi="Times New Roman" w:cs="Times New Roman"/>
          <w:b/>
          <w:lang w:eastAsia="ru-RU"/>
        </w:rPr>
        <w:t>1.</w:t>
      </w:r>
      <w:r w:rsidR="00966E0F">
        <w:rPr>
          <w:rFonts w:ascii="Times New Roman" w:eastAsia="Times New Roman" w:hAnsi="Times New Roman" w:cs="Times New Roman"/>
          <w:lang w:eastAsia="ru-RU"/>
        </w:rPr>
        <w:t xml:space="preserve"> </w:t>
      </w:r>
      <w:r w:rsidRPr="00180E9C">
        <w:rPr>
          <w:rFonts w:ascii="Times New Roman" w:eastAsia="Times New Roman" w:hAnsi="Times New Roman" w:cs="Times New Roman"/>
          <w:b/>
          <w:bCs/>
          <w:lang w:eastAsia="ru-RU"/>
        </w:rPr>
        <w:t>Предмет договора</w:t>
      </w:r>
    </w:p>
    <w:p w14:paraId="3D2B3B83" w14:textId="3C2502D3" w:rsidR="00EE740B" w:rsidRPr="00E3568A" w:rsidRDefault="009B0359" w:rsidP="00E3568A">
      <w:pPr>
        <w:spacing w:after="0"/>
        <w:ind w:firstLine="709"/>
        <w:jc w:val="both"/>
        <w:rPr>
          <w:rFonts w:ascii="Times New Roman" w:hAnsi="Times New Roman" w:cs="Times New Roman"/>
        </w:rPr>
      </w:pPr>
      <w:r w:rsidRPr="00E3568A">
        <w:rPr>
          <w:rFonts w:ascii="Times New Roman" w:eastAsia="Times New Roman" w:hAnsi="Times New Roman" w:cs="Times New Roman"/>
          <w:lang w:eastAsia="ru-RU"/>
        </w:rPr>
        <w:t>1.1. Заказчик поручает, а Подрядчик принимает на себя обязательство</w:t>
      </w:r>
      <w:r w:rsidR="00EE740B" w:rsidRPr="00E3568A">
        <w:rPr>
          <w:rFonts w:ascii="Times New Roman" w:eastAsia="Times New Roman" w:hAnsi="Times New Roman" w:cs="Times New Roman"/>
          <w:lang w:eastAsia="ru-RU"/>
        </w:rPr>
        <w:t xml:space="preserve"> </w:t>
      </w:r>
      <w:r w:rsidR="00610C76" w:rsidRPr="00E3568A">
        <w:rPr>
          <w:rFonts w:ascii="Times New Roman" w:eastAsia="Times New Roman" w:hAnsi="Times New Roman" w:cs="Times New Roman"/>
          <w:b/>
          <w:lang w:eastAsia="ru-RU"/>
        </w:rPr>
        <w:t>на выполнение</w:t>
      </w:r>
      <w:r w:rsidR="00CC78D8" w:rsidRPr="00E3568A">
        <w:rPr>
          <w:rFonts w:ascii="Times New Roman" w:eastAsia="Times New Roman" w:hAnsi="Times New Roman" w:cs="Times New Roman"/>
          <w:b/>
          <w:lang w:eastAsia="ru-RU"/>
        </w:rPr>
        <w:t xml:space="preserve"> работ</w:t>
      </w:r>
      <w:r w:rsidR="00D55B40" w:rsidRPr="00E3568A">
        <w:rPr>
          <w:rFonts w:ascii="Times New Roman" w:eastAsia="Times New Roman" w:hAnsi="Times New Roman" w:cs="Times New Roman"/>
          <w:b/>
          <w:lang w:eastAsia="ru-RU"/>
        </w:rPr>
        <w:t xml:space="preserve"> </w:t>
      </w:r>
      <w:r w:rsidR="00E3568A">
        <w:rPr>
          <w:rFonts w:ascii="Times New Roman" w:eastAsia="Times New Roman" w:hAnsi="Times New Roman" w:cs="Times New Roman"/>
          <w:b/>
          <w:lang w:eastAsia="ru-RU"/>
        </w:rPr>
        <w:t xml:space="preserve">по </w:t>
      </w:r>
      <w:r w:rsidR="00E3568A" w:rsidRPr="00E3568A">
        <w:rPr>
          <w:rFonts w:ascii="Times New Roman" w:hAnsi="Times New Roman" w:cs="Times New Roman"/>
        </w:rPr>
        <w:t>проектировани</w:t>
      </w:r>
      <w:r w:rsidR="00E3568A">
        <w:rPr>
          <w:rFonts w:ascii="Times New Roman" w:hAnsi="Times New Roman" w:cs="Times New Roman"/>
        </w:rPr>
        <w:t>ю</w:t>
      </w:r>
      <w:r w:rsidR="00E3568A" w:rsidRPr="00E3568A">
        <w:rPr>
          <w:rFonts w:ascii="Times New Roman" w:hAnsi="Times New Roman" w:cs="Times New Roman"/>
        </w:rPr>
        <w:t>, выполнени</w:t>
      </w:r>
      <w:r w:rsidR="00E3568A">
        <w:rPr>
          <w:rFonts w:ascii="Times New Roman" w:hAnsi="Times New Roman" w:cs="Times New Roman"/>
        </w:rPr>
        <w:t>ю</w:t>
      </w:r>
      <w:r w:rsidR="00E3568A" w:rsidRPr="00E3568A">
        <w:rPr>
          <w:rFonts w:ascii="Times New Roman" w:hAnsi="Times New Roman" w:cs="Times New Roman"/>
        </w:rPr>
        <w:t xml:space="preserve"> строительно-монтажных, пуско-наладочных работ и поставку материалов и оборудования «под ключ» на объекте: «Техническое перевооружение РУ-10 кВ трансформаторной подстанции ТП-4Ш»</w:t>
      </w:r>
      <w:r w:rsidR="00E3568A" w:rsidRPr="00E3568A">
        <w:rPr>
          <w:rFonts w:ascii="Times New Roman" w:eastAsia="Times New Roman" w:hAnsi="Times New Roman" w:cs="Times New Roman"/>
          <w:b/>
          <w:noProof/>
          <w:lang w:eastAsia="ru-RU"/>
        </w:rPr>
        <w:t xml:space="preserve"> </w:t>
      </w:r>
      <w:r w:rsidR="00EE740B" w:rsidRPr="00E3568A">
        <w:rPr>
          <w:rFonts w:ascii="Times New Roman" w:eastAsia="Times New Roman" w:hAnsi="Times New Roman" w:cs="Times New Roman"/>
          <w:b/>
          <w:noProof/>
          <w:lang w:eastAsia="ru-RU"/>
        </w:rPr>
        <w:t>(далее – Работы).</w:t>
      </w:r>
    </w:p>
    <w:p w14:paraId="65365205" w14:textId="0BB132E0" w:rsidR="009B0359" w:rsidRPr="00E3568A" w:rsidRDefault="00EE740B" w:rsidP="00E3568A">
      <w:pPr>
        <w:widowControl w:val="0"/>
        <w:spacing w:after="0" w:line="240" w:lineRule="auto"/>
        <w:ind w:firstLine="709"/>
        <w:jc w:val="both"/>
        <w:rPr>
          <w:rFonts w:ascii="Times New Roman" w:eastAsia="Times New Roman" w:hAnsi="Times New Roman" w:cs="Times New Roman"/>
          <w:lang w:eastAsia="ru-RU"/>
        </w:rPr>
      </w:pPr>
      <w:r w:rsidRPr="00E3568A">
        <w:rPr>
          <w:rFonts w:ascii="Times New Roman" w:eastAsia="Calibri" w:hAnsi="Times New Roman" w:cs="Times New Roman"/>
          <w:color w:val="000000"/>
        </w:rPr>
        <w:t xml:space="preserve">1.2. Работы выполняются в </w:t>
      </w:r>
      <w:r w:rsidR="00F315E8" w:rsidRPr="00E3568A">
        <w:rPr>
          <w:rFonts w:ascii="Times New Roman" w:eastAsia="Calibri" w:hAnsi="Times New Roman" w:cs="Times New Roman"/>
          <w:color w:val="000000"/>
        </w:rPr>
        <w:t xml:space="preserve">объеме и в </w:t>
      </w:r>
      <w:r w:rsidRPr="00E3568A">
        <w:rPr>
          <w:rFonts w:ascii="Times New Roman" w:eastAsia="Calibri" w:hAnsi="Times New Roman" w:cs="Times New Roman"/>
          <w:color w:val="000000"/>
        </w:rPr>
        <w:t>соответствии с Техническим заданием (Приложение №</w:t>
      </w:r>
      <w:r w:rsidR="00EE529A" w:rsidRPr="00E3568A">
        <w:rPr>
          <w:rFonts w:ascii="Times New Roman" w:eastAsia="Calibri" w:hAnsi="Times New Roman" w:cs="Times New Roman"/>
          <w:color w:val="000000"/>
        </w:rPr>
        <w:t>1</w:t>
      </w:r>
      <w:r w:rsidRPr="00E3568A">
        <w:rPr>
          <w:rFonts w:ascii="Times New Roman" w:eastAsia="Calibri" w:hAnsi="Times New Roman" w:cs="Times New Roman"/>
          <w:color w:val="000000"/>
        </w:rPr>
        <w:t xml:space="preserve"> к Договор</w:t>
      </w:r>
      <w:r w:rsidR="00857823" w:rsidRPr="00E3568A">
        <w:rPr>
          <w:rFonts w:ascii="Times New Roman" w:eastAsia="Calibri" w:hAnsi="Times New Roman" w:cs="Times New Roman"/>
          <w:color w:val="000000"/>
        </w:rPr>
        <w:t>у</w:t>
      </w:r>
      <w:r w:rsidRPr="00E3568A">
        <w:rPr>
          <w:rFonts w:ascii="Times New Roman" w:eastAsia="Calibri" w:hAnsi="Times New Roman" w:cs="Times New Roman"/>
          <w:color w:val="000000"/>
        </w:rPr>
        <w:t xml:space="preserve">), </w:t>
      </w:r>
      <w:r w:rsidR="00A12AA6" w:rsidRPr="00E3568A">
        <w:rPr>
          <w:rFonts w:ascii="Times New Roman" w:eastAsia="Times New Roman" w:hAnsi="Times New Roman" w:cs="Times New Roman"/>
          <w:lang w:eastAsia="ru-RU"/>
        </w:rPr>
        <w:t>локальны</w:t>
      </w:r>
      <w:r w:rsidR="005D4A53" w:rsidRPr="00E3568A">
        <w:rPr>
          <w:rFonts w:ascii="Times New Roman" w:eastAsia="Times New Roman" w:hAnsi="Times New Roman" w:cs="Times New Roman"/>
          <w:lang w:eastAsia="ru-RU"/>
        </w:rPr>
        <w:t>м</w:t>
      </w:r>
      <w:r w:rsidR="0027217D" w:rsidRPr="00E3568A">
        <w:rPr>
          <w:rFonts w:ascii="Times New Roman" w:eastAsia="Times New Roman" w:hAnsi="Times New Roman" w:cs="Times New Roman"/>
          <w:lang w:eastAsia="ru-RU"/>
        </w:rPr>
        <w:t xml:space="preserve"> сметны</w:t>
      </w:r>
      <w:r w:rsidR="005D4A53" w:rsidRPr="00E3568A">
        <w:rPr>
          <w:rFonts w:ascii="Times New Roman" w:eastAsia="Times New Roman" w:hAnsi="Times New Roman" w:cs="Times New Roman"/>
          <w:lang w:eastAsia="ru-RU"/>
        </w:rPr>
        <w:t>м</w:t>
      </w:r>
      <w:r w:rsidR="0027217D" w:rsidRPr="00E3568A">
        <w:rPr>
          <w:rFonts w:ascii="Times New Roman" w:eastAsia="Times New Roman" w:hAnsi="Times New Roman" w:cs="Times New Roman"/>
          <w:lang w:eastAsia="ru-RU"/>
        </w:rPr>
        <w:t xml:space="preserve"> расчет</w:t>
      </w:r>
      <w:r w:rsidR="005D4A53" w:rsidRPr="00E3568A">
        <w:rPr>
          <w:rFonts w:ascii="Times New Roman" w:eastAsia="Times New Roman" w:hAnsi="Times New Roman" w:cs="Times New Roman"/>
          <w:lang w:eastAsia="ru-RU"/>
        </w:rPr>
        <w:t>ом</w:t>
      </w:r>
      <w:r w:rsidR="000A30C2" w:rsidRPr="00E3568A">
        <w:rPr>
          <w:rFonts w:ascii="Times New Roman" w:eastAsia="Times New Roman" w:hAnsi="Times New Roman" w:cs="Times New Roman"/>
          <w:lang w:eastAsia="ru-RU"/>
        </w:rPr>
        <w:t>, выполненным расчетно-индексным методом</w:t>
      </w:r>
      <w:r w:rsidR="005D4A53" w:rsidRPr="00E3568A">
        <w:rPr>
          <w:rFonts w:ascii="Times New Roman" w:eastAsia="Times New Roman" w:hAnsi="Times New Roman" w:cs="Times New Roman"/>
          <w:lang w:eastAsia="ru-RU"/>
        </w:rPr>
        <w:t xml:space="preserve"> (Приложение № </w:t>
      </w:r>
      <w:r w:rsidR="00EE529A" w:rsidRPr="00E3568A">
        <w:rPr>
          <w:rFonts w:ascii="Times New Roman" w:eastAsia="Times New Roman" w:hAnsi="Times New Roman" w:cs="Times New Roman"/>
          <w:lang w:eastAsia="ru-RU"/>
        </w:rPr>
        <w:t>2</w:t>
      </w:r>
      <w:r w:rsidR="005D4A53" w:rsidRPr="00E3568A">
        <w:rPr>
          <w:rFonts w:ascii="Times New Roman" w:eastAsia="Times New Roman" w:hAnsi="Times New Roman" w:cs="Times New Roman"/>
          <w:lang w:eastAsia="ru-RU"/>
        </w:rPr>
        <w:t xml:space="preserve"> к Договору)</w:t>
      </w:r>
      <w:r w:rsidR="00F315E8" w:rsidRPr="00E3568A">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sidRPr="00E3568A">
        <w:rPr>
          <w:rFonts w:ascii="Times New Roman" w:eastAsia="Times New Roman" w:hAnsi="Times New Roman" w:cs="Times New Roman"/>
          <w:lang w:eastAsia="ru-RU"/>
        </w:rPr>
        <w:t xml:space="preserve"> (Приложение № 3 к Договору)</w:t>
      </w:r>
      <w:r w:rsidR="00F315E8" w:rsidRPr="00E3568A">
        <w:rPr>
          <w:rFonts w:ascii="Times New Roman" w:eastAsia="Times New Roman" w:hAnsi="Times New Roman" w:cs="Times New Roman"/>
          <w:lang w:eastAsia="ru-RU"/>
        </w:rPr>
        <w:t>, которы</w:t>
      </w:r>
      <w:r w:rsidR="000C5C66" w:rsidRPr="00E3568A">
        <w:rPr>
          <w:rFonts w:ascii="Times New Roman" w:eastAsia="Times New Roman" w:hAnsi="Times New Roman" w:cs="Times New Roman"/>
          <w:lang w:eastAsia="ru-RU"/>
        </w:rPr>
        <w:t>е</w:t>
      </w:r>
      <w:r w:rsidR="00F315E8" w:rsidRPr="00E3568A">
        <w:rPr>
          <w:rFonts w:ascii="Times New Roman" w:eastAsia="Times New Roman" w:hAnsi="Times New Roman" w:cs="Times New Roman"/>
          <w:lang w:eastAsia="ru-RU"/>
        </w:rPr>
        <w:t xml:space="preserve"> разрабатыва</w:t>
      </w:r>
      <w:r w:rsidR="000C5C66" w:rsidRPr="00E3568A">
        <w:rPr>
          <w:rFonts w:ascii="Times New Roman" w:eastAsia="Times New Roman" w:hAnsi="Times New Roman" w:cs="Times New Roman"/>
          <w:lang w:eastAsia="ru-RU"/>
        </w:rPr>
        <w:t>ю</w:t>
      </w:r>
      <w:r w:rsidR="00F315E8" w:rsidRPr="00E3568A">
        <w:rPr>
          <w:rFonts w:ascii="Times New Roman" w:eastAsia="Times New Roman" w:hAnsi="Times New Roman" w:cs="Times New Roman"/>
          <w:lang w:eastAsia="ru-RU"/>
        </w:rPr>
        <w:t>тся Подрядчиком и подписыва</w:t>
      </w:r>
      <w:r w:rsidR="000C5C66" w:rsidRPr="00E3568A">
        <w:rPr>
          <w:rFonts w:ascii="Times New Roman" w:eastAsia="Times New Roman" w:hAnsi="Times New Roman" w:cs="Times New Roman"/>
          <w:lang w:eastAsia="ru-RU"/>
        </w:rPr>
        <w:t>ю</w:t>
      </w:r>
      <w:r w:rsidR="00F315E8" w:rsidRPr="00E3568A">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sidRPr="00E3568A">
        <w:rPr>
          <w:rFonts w:ascii="Times New Roman" w:eastAsia="Times New Roman" w:hAnsi="Times New Roman" w:cs="Times New Roman"/>
          <w:lang w:eastAsia="ru-RU"/>
        </w:rPr>
        <w:t>е локально-сметный расчет и г</w:t>
      </w:r>
      <w:r w:rsidR="005D4A53" w:rsidRPr="00E3568A">
        <w:rPr>
          <w:rFonts w:ascii="Times New Roman" w:eastAsia="Times New Roman" w:hAnsi="Times New Roman" w:cs="Times New Roman"/>
          <w:lang w:eastAsia="ru-RU"/>
        </w:rPr>
        <w:t>рафи</w:t>
      </w:r>
      <w:r w:rsidR="008D228B" w:rsidRPr="00E3568A">
        <w:rPr>
          <w:rFonts w:ascii="Times New Roman" w:eastAsia="Times New Roman" w:hAnsi="Times New Roman" w:cs="Times New Roman"/>
          <w:lang w:eastAsia="ru-RU"/>
        </w:rPr>
        <w:t>к</w:t>
      </w:r>
      <w:r w:rsidR="005D4A53" w:rsidRPr="00E3568A">
        <w:rPr>
          <w:rFonts w:ascii="Times New Roman" w:eastAsia="Times New Roman" w:hAnsi="Times New Roman" w:cs="Times New Roman"/>
          <w:lang w:eastAsia="ru-RU"/>
        </w:rPr>
        <w:t xml:space="preserve"> выполнения работ явля</w:t>
      </w:r>
      <w:r w:rsidR="000C5C66" w:rsidRPr="00E3568A">
        <w:rPr>
          <w:rFonts w:ascii="Times New Roman" w:eastAsia="Times New Roman" w:hAnsi="Times New Roman" w:cs="Times New Roman"/>
          <w:lang w:eastAsia="ru-RU"/>
        </w:rPr>
        <w:t>ю</w:t>
      </w:r>
      <w:r w:rsidR="005D4A53" w:rsidRPr="00E3568A">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Pr="00E3568A" w:rsidRDefault="00EE740B" w:rsidP="00EE740B">
      <w:pPr>
        <w:widowControl w:val="0"/>
        <w:spacing w:after="0" w:line="240" w:lineRule="auto"/>
        <w:ind w:firstLine="709"/>
        <w:jc w:val="both"/>
        <w:rPr>
          <w:rFonts w:ascii="Times New Roman" w:eastAsia="Calibri" w:hAnsi="Times New Roman" w:cs="Times New Roman"/>
          <w:bCs/>
          <w:color w:val="000000"/>
        </w:rPr>
      </w:pPr>
      <w:r w:rsidRPr="00E3568A">
        <w:rPr>
          <w:rFonts w:ascii="Times New Roman" w:eastAsia="Calibri" w:hAnsi="Times New Roman" w:cs="Times New Roman"/>
          <w:bCs/>
          <w:color w:val="000000"/>
        </w:rPr>
        <w:t xml:space="preserve">1.3. </w:t>
      </w:r>
      <w:r w:rsidR="009562C5" w:rsidRPr="00E3568A">
        <w:rPr>
          <w:rFonts w:ascii="Times New Roman" w:eastAsia="Calibri" w:hAnsi="Times New Roman" w:cs="Times New Roman"/>
          <w:bCs/>
          <w:color w:val="000000"/>
        </w:rPr>
        <w:t xml:space="preserve">При </w:t>
      </w:r>
      <w:r w:rsidR="00493CF4" w:rsidRPr="00E3568A">
        <w:rPr>
          <w:rFonts w:ascii="Times New Roman" w:eastAsia="Calibri" w:hAnsi="Times New Roman" w:cs="Times New Roman"/>
          <w:bCs/>
          <w:color w:val="000000"/>
        </w:rPr>
        <w:t>выполнени</w:t>
      </w:r>
      <w:r w:rsidR="00EE529A" w:rsidRPr="00E3568A">
        <w:rPr>
          <w:rFonts w:ascii="Times New Roman" w:eastAsia="Calibri" w:hAnsi="Times New Roman" w:cs="Times New Roman"/>
          <w:bCs/>
          <w:color w:val="000000"/>
        </w:rPr>
        <w:t>и р</w:t>
      </w:r>
      <w:r w:rsidR="00493CF4" w:rsidRPr="00E3568A">
        <w:rPr>
          <w:rFonts w:ascii="Times New Roman" w:eastAsia="Calibri" w:hAnsi="Times New Roman" w:cs="Times New Roman"/>
          <w:bCs/>
          <w:color w:val="000000"/>
        </w:rPr>
        <w:t>абот подрядчик разрабатывает необходимую проектную и иную рабочую</w:t>
      </w:r>
      <w:r w:rsidR="009562C5" w:rsidRPr="00E3568A">
        <w:rPr>
          <w:rFonts w:ascii="Times New Roman" w:eastAsia="Calibri" w:hAnsi="Times New Roman" w:cs="Times New Roman"/>
          <w:bCs/>
          <w:color w:val="000000"/>
        </w:rPr>
        <w:t>, исполнительную</w:t>
      </w:r>
      <w:r w:rsidR="00493CF4" w:rsidRPr="00E3568A">
        <w:rPr>
          <w:rFonts w:ascii="Times New Roman" w:eastAsia="Calibri" w:hAnsi="Times New Roman" w:cs="Times New Roman"/>
          <w:bCs/>
          <w:color w:val="000000"/>
        </w:rPr>
        <w:t xml:space="preserve"> документацию, </w:t>
      </w:r>
      <w:r w:rsidR="00BC4BEB" w:rsidRPr="00E3568A">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sidRPr="00E3568A">
        <w:rPr>
          <w:rFonts w:ascii="Times New Roman" w:eastAsia="Calibri" w:hAnsi="Times New Roman" w:cs="Times New Roman"/>
          <w:bCs/>
          <w:color w:val="000000"/>
        </w:rPr>
        <w:t>выполняет электромонтажные работы и пуско-наладочные работы</w:t>
      </w:r>
      <w:r w:rsidR="00B911E4" w:rsidRPr="00E3568A">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3568A">
        <w:rPr>
          <w:rFonts w:ascii="Times New Roman" w:eastAsia="Calibri" w:hAnsi="Times New Roman" w:cs="Times New Roman"/>
          <w:bCs/>
          <w:color w:val="000000"/>
        </w:rPr>
        <w:t>1.4. Выполнение работ осуществляется с использованием</w:t>
      </w:r>
      <w:r>
        <w:rPr>
          <w:rFonts w:ascii="Times New Roman" w:eastAsia="Calibri" w:hAnsi="Times New Roman" w:cs="Times New Roman"/>
          <w:bCs/>
          <w:color w:val="000000"/>
        </w:rPr>
        <w:t xml:space="preserve"> материалов и Оборудования Подрядчика.</w:t>
      </w:r>
    </w:p>
    <w:p w14:paraId="57BFFF8A" w14:textId="77777777" w:rsidR="00E3568A" w:rsidRDefault="00EE740B" w:rsidP="00E3568A">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функциональным, техническим и эксплуатационным характеристикам при выполнении работ определены в Техническом задании, </w:t>
      </w:r>
      <w:r w:rsidR="00F315E8">
        <w:rPr>
          <w:rFonts w:ascii="Times New Roman" w:eastAsia="Calibri" w:hAnsi="Times New Roman" w:cs="Times New Roman"/>
          <w:bCs/>
          <w:color w:val="000000"/>
        </w:rPr>
        <w:t>проектной и иной документации.</w:t>
      </w:r>
    </w:p>
    <w:p w14:paraId="25D68948" w14:textId="71B1D507" w:rsidR="00E3568A" w:rsidRPr="00E3568A" w:rsidRDefault="005D4A53" w:rsidP="00E3568A">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1.5. Место выполнения Работ</w:t>
      </w:r>
      <w:r w:rsidR="00E3568A">
        <w:rPr>
          <w:rFonts w:ascii="Times New Roman" w:eastAsia="Calibri" w:hAnsi="Times New Roman" w:cs="Times New Roman"/>
          <w:bCs/>
          <w:color w:val="000000"/>
        </w:rPr>
        <w:t>:</w:t>
      </w:r>
      <w:r w:rsidR="00E3568A" w:rsidRPr="00E3568A">
        <w:rPr>
          <w:rFonts w:ascii="Times New Roman" w:eastAsia="Calibri" w:hAnsi="Times New Roman" w:cs="Times New Roman"/>
          <w:bCs/>
          <w:color w:val="000000"/>
        </w:rPr>
        <w:t xml:space="preserve"> Воронежская область, г. Воронеж, ул. Курчатова,</w:t>
      </w:r>
      <w:r w:rsidR="00E3568A" w:rsidRPr="00126DFC">
        <w:rPr>
          <w:bCs/>
        </w:rPr>
        <w:t xml:space="preserve"> 18.</w:t>
      </w:r>
    </w:p>
    <w:p w14:paraId="6D190D13" w14:textId="68364114" w:rsidR="008F3968" w:rsidRPr="00EE740B" w:rsidRDefault="008F3968" w:rsidP="00E3568A">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1.6.</w:t>
      </w:r>
      <w:r w:rsidRPr="008F3968">
        <w:rPr>
          <w:rFonts w:ascii="Times New Roman" w:eastAsia="Calibri" w:hAnsi="Times New Roman" w:cs="Times New Roman"/>
          <w:bCs/>
          <w:color w:val="000000"/>
        </w:rPr>
        <w:t xml:space="preserve"> </w:t>
      </w:r>
      <w:r w:rsidR="00E3568A">
        <w:rPr>
          <w:rFonts w:ascii="Times New Roman" w:eastAsia="Calibri" w:hAnsi="Times New Roman" w:cs="Times New Roman"/>
          <w:bCs/>
          <w:color w:val="000000"/>
        </w:rPr>
        <w:t>Срок выполнения работ:</w:t>
      </w:r>
      <w:r w:rsidR="00E3568A" w:rsidRPr="00E3568A">
        <w:t xml:space="preserve"> </w:t>
      </w:r>
      <w:r w:rsidR="00E3568A" w:rsidRPr="00E3568A">
        <w:rPr>
          <w:rFonts w:ascii="Times New Roman" w:eastAsia="Calibri" w:hAnsi="Times New Roman" w:cs="Times New Roman"/>
          <w:bCs/>
          <w:color w:val="000000"/>
        </w:rPr>
        <w:t>с даты заключения договора по 30.11.2026 г.</w:t>
      </w:r>
    </w:p>
    <w:p w14:paraId="7352E653" w14:textId="77777777" w:rsidR="008F3968" w:rsidRPr="00E3568A" w:rsidRDefault="008F3968" w:rsidP="005D4A53">
      <w:pPr>
        <w:widowControl w:val="0"/>
        <w:spacing w:after="0" w:line="240" w:lineRule="auto"/>
        <w:ind w:firstLine="709"/>
        <w:jc w:val="center"/>
        <w:rPr>
          <w:rFonts w:ascii="Times New Roman" w:eastAsia="Calibri" w:hAnsi="Times New Roman" w:cs="Times New Roman"/>
          <w:bCs/>
          <w:color w:val="000000"/>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467189DE"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xml:space="preserve">, в которых должны быть указаны номер и дата Договора, при отсутствии у Заказчика </w:t>
      </w:r>
      <w:r w:rsidR="000A30C2" w:rsidRPr="000A30C2">
        <w:rPr>
          <w:rFonts w:ascii="Times New Roman" w:eastAsia="SimSun" w:hAnsi="Times New Roman" w:cs="Times New Roman"/>
          <w:lang w:eastAsia="ru-RU"/>
        </w:rPr>
        <w:lastRenderedPageBreak/>
        <w:t>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Pr>
          <w:rFonts w:ascii="Times New Roman" w:eastAsia="SimSun" w:hAnsi="Times New Roman" w:cs="Times New Roman"/>
          <w:highlight w:val="yellow"/>
          <w:lang w:eastAsia="ru-RU"/>
        </w:rPr>
        <w:t>30</w:t>
      </w:r>
      <w:r w:rsidRPr="00CC78D8">
        <w:rPr>
          <w:rFonts w:ascii="Times New Roman" w:eastAsia="SimSun" w:hAnsi="Times New Roman" w:cs="Times New Roman"/>
          <w:highlight w:val="yellow"/>
          <w:lang w:eastAsia="ru-RU"/>
        </w:rPr>
        <w:t xml:space="preserve"> (</w:t>
      </w:r>
      <w:r w:rsidR="0077668F">
        <w:rPr>
          <w:rFonts w:ascii="Times New Roman" w:eastAsia="SimSun" w:hAnsi="Times New Roman" w:cs="Times New Roman"/>
          <w:highlight w:val="yellow"/>
          <w:lang w:eastAsia="ru-RU"/>
        </w:rPr>
        <w:t>тридцать</w:t>
      </w:r>
      <w:r w:rsidRPr="00CC78D8">
        <w:rPr>
          <w:rFonts w:ascii="Times New Roman" w:eastAsia="SimSun" w:hAnsi="Times New Roman" w:cs="Times New Roman"/>
          <w:highlight w:val="yellow"/>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 xml:space="preserve">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w:t>
      </w:r>
      <w:r w:rsidRPr="00480885">
        <w:rPr>
          <w:rFonts w:ascii="Times New Roman" w:eastAsia="SimSun" w:hAnsi="Times New Roman" w:cs="Times New Roman"/>
          <w:color w:val="000000"/>
          <w:spacing w:val="4"/>
          <w:lang w:eastAsia="ru-RU"/>
        </w:rPr>
        <w:lastRenderedPageBreak/>
        <w:t>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3.4.2.</w:t>
      </w:r>
      <w:r w:rsidR="00480885" w:rsidRPr="00480885">
        <w:rPr>
          <w:rFonts w:ascii="Times New Roman" w:eastAsia="SimSun" w:hAnsi="Times New Roman" w:cs="Times New Roman"/>
          <w:color w:val="000000"/>
          <w:spacing w:val="4"/>
          <w:lang w:eastAsia="ru-RU"/>
        </w:rPr>
        <w:t>Своевременно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 xml:space="preserve">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w:t>
      </w:r>
      <w:r w:rsidRPr="00DF4373">
        <w:rPr>
          <w:rFonts w:ascii="Times New Roman" w:eastAsia="SimSun" w:hAnsi="Times New Roman" w:cs="Times New Roman"/>
          <w:color w:val="000000"/>
          <w:spacing w:val="4"/>
          <w:lang w:eastAsia="ru-RU"/>
        </w:rPr>
        <w:lastRenderedPageBreak/>
        <w:t>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158187FD"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00E3568A">
        <w:rPr>
          <w:rFonts w:ascii="Times New Roman" w:eastAsia="SimSun" w:hAnsi="Times New Roman" w:cs="Times New Roman"/>
          <w:color w:val="000000"/>
          <w:spacing w:val="4"/>
          <w:lang w:eastAsia="ru-RU"/>
        </w:rPr>
        <w:t xml:space="preserve"> </w:t>
      </w:r>
      <w:r w:rsidRPr="00DF4373">
        <w:rPr>
          <w:rFonts w:ascii="Times New Roman" w:eastAsia="SimSun" w:hAnsi="Times New Roman" w:cs="Times New Roman"/>
          <w:color w:val="000000"/>
          <w:spacing w:val="4"/>
          <w:lang w:eastAsia="ru-RU"/>
        </w:rPr>
        <w:t xml:space="preserve">Обеспечить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2AB24EB0"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r w:rsidR="00E3568A">
        <w:rPr>
          <w:rFonts w:ascii="Times New Roman" w:eastAsia="SimSun" w:hAnsi="Times New Roman" w:cs="Times New Roman"/>
          <w:color w:val="000000"/>
          <w:spacing w:val="4"/>
          <w:lang w:eastAsia="ru-RU"/>
        </w:rPr>
        <w:t>собственные</w:t>
      </w:r>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r w:rsidRPr="008F3968">
        <w:rPr>
          <w:rFonts w:ascii="Times New Roman" w:eastAsia="SimSun" w:hAnsi="Times New Roman" w:cs="Times New Roman"/>
          <w:color w:val="000000"/>
          <w:kern w:val="3"/>
          <w:lang w:eastAsia="ar-SA"/>
        </w:rPr>
        <w:t xml:space="preserve">кВ,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lastRenderedPageBreak/>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скрытые дефекты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ПИР – не менее 24 месяца, СМР – не менее 60 месяцев, ПНР– не менее 24 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lastRenderedPageBreak/>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w:t>
      </w:r>
      <w:r w:rsidR="009B0359" w:rsidRPr="00180E9C">
        <w:rPr>
          <w:rFonts w:ascii="Times New Roman" w:eastAsia="SimSun" w:hAnsi="Times New Roman" w:cs="Times New Roman"/>
          <w:kern w:val="1"/>
          <w:lang w:eastAsia="ar-SA"/>
        </w:rPr>
        <w:lastRenderedPageBreak/>
        <w:t>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8.1.</w:t>
      </w:r>
      <w:r w:rsidR="009B0359" w:rsidRPr="00180E9C">
        <w:rPr>
          <w:rFonts w:ascii="Times New Roman" w:eastAsia="SimSun" w:hAnsi="Times New Roman" w:cs="Times New Roman"/>
          <w:kern w:val="1"/>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8.3.Д</w:t>
      </w:r>
      <w:r w:rsidR="009B0359" w:rsidRPr="00180E9C">
        <w:rPr>
          <w:rFonts w:ascii="Times New Roman" w:eastAsia="SimSun" w:hAnsi="Times New Roman" w:cs="Times New Roman"/>
          <w:kern w:val="1"/>
          <w:lang w:eastAsia="ar-SA"/>
        </w:rPr>
        <w:t xml:space="preserve">оговор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8.4.</w:t>
      </w:r>
      <w:r w:rsidR="009B0359" w:rsidRPr="00180E9C">
        <w:rPr>
          <w:rFonts w:ascii="Times New Roman" w:eastAsia="SimSun" w:hAnsi="Times New Roman" w:cs="Times New Roman"/>
          <w:kern w:val="1"/>
          <w:lang w:eastAsia="ar-SA"/>
        </w:rPr>
        <w:t>Стороны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а также о начале реорганизации, ликвидации или опубликования намерения в отношении одной из 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8.5.</w:t>
      </w:r>
      <w:r w:rsidR="009B0359" w:rsidRPr="00180E9C">
        <w:rPr>
          <w:rFonts w:ascii="Times New Roman" w:eastAsia="SimSun" w:hAnsi="Times New Roman" w:cs="Times New Roman"/>
          <w:kern w:val="1"/>
          <w:lang w:eastAsia="ar-SA"/>
        </w:rPr>
        <w:t>Неотъемлемой частью договора являются:</w:t>
      </w:r>
    </w:p>
    <w:p w14:paraId="585232C9" w14:textId="2D38BAC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lastRenderedPageBreak/>
        <w:t xml:space="preserve">Приложение № 1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10C43259"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8725" w14:textId="77777777" w:rsidR="009A5042" w:rsidRDefault="009A5042">
      <w:pPr>
        <w:spacing w:after="0" w:line="240" w:lineRule="auto"/>
      </w:pPr>
      <w:r>
        <w:separator/>
      </w:r>
    </w:p>
  </w:endnote>
  <w:endnote w:type="continuationSeparator" w:id="0">
    <w:p w14:paraId="01153D3C" w14:textId="77777777" w:rsidR="009A5042" w:rsidRDefault="009A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78B9E" w14:textId="77777777" w:rsidR="009A5042" w:rsidRDefault="009A5042">
      <w:pPr>
        <w:spacing w:after="0" w:line="240" w:lineRule="auto"/>
      </w:pPr>
      <w:r>
        <w:separator/>
      </w:r>
    </w:p>
  </w:footnote>
  <w:footnote w:type="continuationSeparator" w:id="0">
    <w:p w14:paraId="62E276C5" w14:textId="77777777" w:rsidR="009A5042" w:rsidRDefault="009A5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0E40"/>
    <w:rsid w:val="001664F8"/>
    <w:rsid w:val="00170A4E"/>
    <w:rsid w:val="0018071C"/>
    <w:rsid w:val="00180E9C"/>
    <w:rsid w:val="001935A9"/>
    <w:rsid w:val="001C4184"/>
    <w:rsid w:val="001D373C"/>
    <w:rsid w:val="001D6124"/>
    <w:rsid w:val="001D683C"/>
    <w:rsid w:val="001E454D"/>
    <w:rsid w:val="001F5844"/>
    <w:rsid w:val="001F733B"/>
    <w:rsid w:val="00215E21"/>
    <w:rsid w:val="00216AA5"/>
    <w:rsid w:val="0022401B"/>
    <w:rsid w:val="00224051"/>
    <w:rsid w:val="00262538"/>
    <w:rsid w:val="0027217D"/>
    <w:rsid w:val="0028228B"/>
    <w:rsid w:val="00286A84"/>
    <w:rsid w:val="00293531"/>
    <w:rsid w:val="002A6FFE"/>
    <w:rsid w:val="002B6867"/>
    <w:rsid w:val="002D3FBB"/>
    <w:rsid w:val="002E1B79"/>
    <w:rsid w:val="002F604E"/>
    <w:rsid w:val="00300EBF"/>
    <w:rsid w:val="003050E4"/>
    <w:rsid w:val="00351192"/>
    <w:rsid w:val="003633B3"/>
    <w:rsid w:val="00364DEF"/>
    <w:rsid w:val="00365025"/>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5042"/>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A4FE2"/>
    <w:rsid w:val="00CC0048"/>
    <w:rsid w:val="00CC78D8"/>
    <w:rsid w:val="00CD0D69"/>
    <w:rsid w:val="00CD1199"/>
    <w:rsid w:val="00CD3E5B"/>
    <w:rsid w:val="00CE4550"/>
    <w:rsid w:val="00D11B84"/>
    <w:rsid w:val="00D173F9"/>
    <w:rsid w:val="00D1796D"/>
    <w:rsid w:val="00D20CFF"/>
    <w:rsid w:val="00D231A8"/>
    <w:rsid w:val="00D30D5C"/>
    <w:rsid w:val="00D47A02"/>
    <w:rsid w:val="00D55B40"/>
    <w:rsid w:val="00D61C8F"/>
    <w:rsid w:val="00D62974"/>
    <w:rsid w:val="00D770E6"/>
    <w:rsid w:val="00D82F1F"/>
    <w:rsid w:val="00D96405"/>
    <w:rsid w:val="00DF28D2"/>
    <w:rsid w:val="00DF3E4E"/>
    <w:rsid w:val="00DF4373"/>
    <w:rsid w:val="00DF60E5"/>
    <w:rsid w:val="00E26C01"/>
    <w:rsid w:val="00E31D6B"/>
    <w:rsid w:val="00E3568A"/>
    <w:rsid w:val="00E5405E"/>
    <w:rsid w:val="00E5545B"/>
    <w:rsid w:val="00E60427"/>
    <w:rsid w:val="00E763F7"/>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7414-5EE1-4D0F-9F73-A86F702F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5983</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DOC-MARKER-V-LvLcoXwW2BQwgUh_yZMQ</dc:description>
  <cp:lastModifiedBy>Игнатов Валерий Михайлович</cp:lastModifiedBy>
  <cp:revision>10</cp:revision>
  <cp:lastPrinted>2026-02-26T07:28:00Z</cp:lastPrinted>
  <dcterms:created xsi:type="dcterms:W3CDTF">2026-05-08T04:22:00Z</dcterms:created>
  <dcterms:modified xsi:type="dcterms:W3CDTF">2026-05-13T07:26:00Z</dcterms:modified>
</cp:coreProperties>
</file>