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04F" w:rsidRPr="008808C9" w:rsidRDefault="006E0868" w:rsidP="00A6204F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8808C9">
        <w:rPr>
          <w:rStyle w:val="a6"/>
          <w:rFonts w:ascii="Times New Roman" w:hAnsi="Times New Roman" w:cs="Times New Roman"/>
          <w:bCs/>
          <w:sz w:val="20"/>
          <w:szCs w:val="20"/>
        </w:rPr>
        <w:t>ПОРЯДОК</w:t>
      </w:r>
    </w:p>
    <w:p w:rsidR="00A6204F" w:rsidRPr="008808C9" w:rsidRDefault="006E0868" w:rsidP="00A6204F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8808C9">
        <w:rPr>
          <w:rStyle w:val="a6"/>
          <w:rFonts w:ascii="Times New Roman" w:hAnsi="Times New Roman" w:cs="Times New Roman"/>
          <w:bCs/>
          <w:sz w:val="20"/>
          <w:szCs w:val="20"/>
        </w:rPr>
        <w:t>рассмотрения и оценки заявок на участие в конкурсе</w:t>
      </w:r>
    </w:p>
    <w:p w:rsidR="00A6204F" w:rsidRPr="008808C9" w:rsidRDefault="008808C9" w:rsidP="00A6204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6204F" w:rsidRPr="008808C9" w:rsidRDefault="006E0868" w:rsidP="00A6204F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sub_10100"/>
      <w:r w:rsidRPr="008808C9">
        <w:rPr>
          <w:rStyle w:val="a6"/>
          <w:rFonts w:ascii="Times New Roman" w:hAnsi="Times New Roman" w:cs="Times New Roman"/>
          <w:bCs/>
          <w:sz w:val="20"/>
          <w:szCs w:val="20"/>
        </w:rPr>
        <w:t xml:space="preserve">I. Информация о заказчике и закупке товаров, работ, </w:t>
      </w:r>
      <w:proofErr w:type="gramStart"/>
      <w:r w:rsidRPr="008808C9">
        <w:rPr>
          <w:rStyle w:val="a6"/>
          <w:rFonts w:ascii="Times New Roman" w:hAnsi="Times New Roman" w:cs="Times New Roman"/>
          <w:bCs/>
          <w:sz w:val="20"/>
          <w:szCs w:val="20"/>
        </w:rPr>
        <w:t>услуг  для</w:t>
      </w:r>
      <w:proofErr w:type="gramEnd"/>
      <w:r w:rsidRPr="008808C9">
        <w:rPr>
          <w:rStyle w:val="a6"/>
          <w:rFonts w:ascii="Times New Roman" w:hAnsi="Times New Roman" w:cs="Times New Roman"/>
          <w:bCs/>
          <w:sz w:val="20"/>
          <w:szCs w:val="20"/>
        </w:rPr>
        <w:t xml:space="preserve"> обеспечения государственных</w:t>
      </w:r>
    </w:p>
    <w:bookmarkEnd w:id="0"/>
    <w:p w:rsidR="00A6204F" w:rsidRPr="008808C9" w:rsidRDefault="006E0868" w:rsidP="00A6204F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8808C9">
        <w:rPr>
          <w:rStyle w:val="a6"/>
          <w:rFonts w:ascii="Times New Roman" w:hAnsi="Times New Roman" w:cs="Times New Roman"/>
          <w:bCs/>
          <w:sz w:val="20"/>
          <w:szCs w:val="20"/>
        </w:rPr>
        <w:t>и муниципальных нужд (далее - закупка)</w:t>
      </w:r>
    </w:p>
    <w:p w:rsidR="00A6204F" w:rsidRPr="008808C9" w:rsidRDefault="008808C9" w:rsidP="00D35654">
      <w:pPr>
        <w:ind w:firstLine="0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240"/>
        <w:gridCol w:w="4966"/>
        <w:gridCol w:w="1847"/>
        <w:gridCol w:w="2458"/>
      </w:tblGrid>
      <w:tr w:rsidR="00C570E1" w:rsidRPr="008808C9" w:rsidTr="00502C24"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:rsidR="00A6204F" w:rsidRPr="008808C9" w:rsidRDefault="008808C9" w:rsidP="00A620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</w:tcPr>
          <w:p w:rsidR="00A6204F" w:rsidRPr="008808C9" w:rsidRDefault="008808C9" w:rsidP="00A620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204F" w:rsidRPr="008808C9" w:rsidRDefault="008808C9" w:rsidP="00A6204F">
            <w:pPr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8" w:type="dxa"/>
            <w:tcBorders>
              <w:left w:val="single" w:sz="4" w:space="0" w:color="auto"/>
            </w:tcBorders>
          </w:tcPr>
          <w:p w:rsidR="00A6204F" w:rsidRPr="008808C9" w:rsidRDefault="006E0868" w:rsidP="00A620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8C9">
              <w:rPr>
                <w:rFonts w:ascii="Times New Roman" w:hAnsi="Times New Roman" w:cs="Times New Roman"/>
                <w:sz w:val="20"/>
                <w:szCs w:val="20"/>
              </w:rPr>
              <w:t>Коды</w:t>
            </w:r>
          </w:p>
        </w:tc>
      </w:tr>
      <w:tr w:rsidR="00C570E1" w:rsidRPr="008808C9" w:rsidTr="00502C24">
        <w:trPr>
          <w:trHeight w:val="508"/>
        </w:trPr>
        <w:tc>
          <w:tcPr>
            <w:tcW w:w="52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35654" w:rsidRPr="008808C9" w:rsidRDefault="006E0868" w:rsidP="00A620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08C9">
              <w:rPr>
                <w:rFonts w:ascii="Times New Roman" w:hAnsi="Times New Roman" w:cs="Times New Roman"/>
                <w:sz w:val="20"/>
                <w:szCs w:val="20"/>
              </w:rPr>
              <w:t>Полное наименование</w:t>
            </w:r>
          </w:p>
          <w:p w:rsidR="00EE0690" w:rsidRPr="008808C9" w:rsidRDefault="00EE0690" w:rsidP="00A620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690" w:rsidRPr="008808C9" w:rsidRDefault="00EE0690" w:rsidP="00A620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690" w:rsidRPr="008808C9" w:rsidRDefault="00EE0690" w:rsidP="00A620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690" w:rsidRPr="008808C9" w:rsidRDefault="00EE0690" w:rsidP="00A620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08C9">
              <w:rPr>
                <w:rFonts w:ascii="Times New Roman" w:hAnsi="Times New Roman" w:cs="Times New Roman"/>
                <w:sz w:val="20"/>
                <w:szCs w:val="20"/>
              </w:rPr>
              <w:t xml:space="preserve">Сокращенное наименование </w:t>
            </w:r>
          </w:p>
        </w:tc>
        <w:tc>
          <w:tcPr>
            <w:tcW w:w="49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E0690" w:rsidRPr="008808C9" w:rsidRDefault="00EE0690" w:rsidP="00EE0690">
            <w:pPr>
              <w:ind w:firstLine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808C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Государственное автономное учреждение здравоохранения Свердловской области</w:t>
            </w:r>
          </w:p>
          <w:p w:rsidR="00EE0690" w:rsidRPr="008808C9" w:rsidRDefault="00EE0690" w:rsidP="00EE0690">
            <w:pPr>
              <w:ind w:firstLine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808C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«Стоматологическая поликлиника № 12 город Екатеринбург»</w:t>
            </w:r>
          </w:p>
          <w:p w:rsidR="00D35654" w:rsidRPr="008808C9" w:rsidRDefault="00EE0690" w:rsidP="00EE0690">
            <w:pPr>
              <w:ind w:firstLine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808C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ГАУЗ СО «СП № 12»</w:t>
            </w:r>
          </w:p>
          <w:p w:rsidR="00EE0690" w:rsidRPr="008808C9" w:rsidRDefault="00EE0690" w:rsidP="00EE0690">
            <w:pPr>
              <w:ind w:firstLine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35654" w:rsidRPr="008808C9" w:rsidRDefault="006E0868" w:rsidP="00A6204F">
            <w:pPr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08C9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2458" w:type="dxa"/>
            <w:tcBorders>
              <w:left w:val="single" w:sz="4" w:space="0" w:color="auto"/>
            </w:tcBorders>
            <w:vAlign w:val="center"/>
          </w:tcPr>
          <w:p w:rsidR="00D35654" w:rsidRPr="008808C9" w:rsidRDefault="00502C24" w:rsidP="00A620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8C9">
              <w:rPr>
                <w:rFonts w:ascii="Times New Roman" w:hAnsi="Times New Roman" w:cs="Times New Roman"/>
                <w:noProof/>
                <w:sz w:val="20"/>
                <w:szCs w:val="20"/>
              </w:rPr>
              <w:t>6659029556</w:t>
            </w:r>
          </w:p>
        </w:tc>
      </w:tr>
      <w:tr w:rsidR="00C570E1" w:rsidRPr="008808C9" w:rsidTr="00502C24">
        <w:trPr>
          <w:trHeight w:val="508"/>
        </w:trPr>
        <w:tc>
          <w:tcPr>
            <w:tcW w:w="52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5654" w:rsidRPr="008808C9" w:rsidRDefault="008808C9" w:rsidP="00A6204F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5654" w:rsidRPr="008808C9" w:rsidRDefault="008808C9" w:rsidP="00A6204F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35654" w:rsidRPr="008808C9" w:rsidRDefault="006E0868" w:rsidP="00A6204F">
            <w:pPr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08C9"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</w:p>
        </w:tc>
        <w:tc>
          <w:tcPr>
            <w:tcW w:w="24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35654" w:rsidRPr="008808C9" w:rsidRDefault="00502C24" w:rsidP="00502C2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08C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66</w:t>
            </w:r>
            <w:r w:rsidRPr="008808C9">
              <w:rPr>
                <w:rFonts w:ascii="Times New Roman" w:hAnsi="Times New Roman" w:cs="Times New Roman"/>
                <w:noProof/>
                <w:sz w:val="20"/>
                <w:szCs w:val="20"/>
              </w:rPr>
              <w:t>78</w:t>
            </w:r>
            <w:r w:rsidR="006E0868" w:rsidRPr="008808C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01001</w:t>
            </w:r>
          </w:p>
        </w:tc>
      </w:tr>
      <w:tr w:rsidR="00C570E1" w:rsidRPr="008808C9" w:rsidTr="00502C24">
        <w:tc>
          <w:tcPr>
            <w:tcW w:w="52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35654" w:rsidRPr="008808C9" w:rsidRDefault="006E0868" w:rsidP="00A620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08C9">
              <w:rPr>
                <w:rFonts w:ascii="Times New Roman" w:hAnsi="Times New Roman" w:cs="Times New Roman"/>
                <w:sz w:val="20"/>
                <w:szCs w:val="20"/>
              </w:rPr>
              <w:t>Место нахождения, телефон, адрес электронной почты</w:t>
            </w:r>
          </w:p>
        </w:tc>
        <w:tc>
          <w:tcPr>
            <w:tcW w:w="49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35654" w:rsidRPr="008808C9" w:rsidRDefault="00502C24" w:rsidP="00A6204F">
            <w:pPr>
              <w:ind w:firstLine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smartTag w:uri="urn:schemas-microsoft-com:office:smarttags" w:element="metricconverter">
              <w:smartTagPr>
                <w:attr w:name="ProductID" w:val="620050, г"/>
              </w:smartTagPr>
              <w:r w:rsidRPr="008808C9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620050, г</w:t>
              </w:r>
            </w:smartTag>
            <w:r w:rsidRPr="008808C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 Екатеринбург, ул. Техническая, 28</w:t>
            </w:r>
          </w:p>
          <w:p w:rsidR="00502C24" w:rsidRPr="008808C9" w:rsidRDefault="00502C24" w:rsidP="00A6204F">
            <w:pPr>
              <w:ind w:firstLine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808C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8 (343) 366-22-23</w:t>
            </w:r>
          </w:p>
          <w:p w:rsidR="00502C24" w:rsidRPr="008808C9" w:rsidRDefault="008808C9" w:rsidP="00A6204F">
            <w:pPr>
              <w:ind w:firstLine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4" w:history="1">
              <w:r w:rsidR="00502C24" w:rsidRPr="008808C9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stomat12@mail.ru</w:t>
              </w:r>
            </w:hyperlink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5654" w:rsidRPr="008808C9" w:rsidRDefault="006E0868" w:rsidP="00A6204F">
            <w:pPr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08C9">
              <w:rPr>
                <w:rFonts w:ascii="Times New Roman" w:hAnsi="Times New Roman" w:cs="Times New Roman"/>
                <w:sz w:val="20"/>
                <w:szCs w:val="20"/>
              </w:rPr>
              <w:t>по ОКТМО</w:t>
            </w:r>
          </w:p>
        </w:tc>
        <w:tc>
          <w:tcPr>
            <w:tcW w:w="2458" w:type="dxa"/>
            <w:tcBorders>
              <w:left w:val="single" w:sz="4" w:space="0" w:color="auto"/>
              <w:bottom w:val="nil"/>
            </w:tcBorders>
          </w:tcPr>
          <w:p w:rsidR="00D35654" w:rsidRPr="008808C9" w:rsidRDefault="008808C9" w:rsidP="00A620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570E1" w:rsidRPr="008808C9" w:rsidTr="00502C24">
        <w:tc>
          <w:tcPr>
            <w:tcW w:w="52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5654" w:rsidRPr="008808C9" w:rsidRDefault="008808C9" w:rsidP="00A6204F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5654" w:rsidRPr="008808C9" w:rsidRDefault="008808C9" w:rsidP="00A6204F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5654" w:rsidRPr="008808C9" w:rsidRDefault="008808C9" w:rsidP="00A6204F">
            <w:pPr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</w:tcBorders>
          </w:tcPr>
          <w:p w:rsidR="00D35654" w:rsidRPr="008808C9" w:rsidRDefault="008808C9" w:rsidP="00A620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570E1" w:rsidRPr="008808C9" w:rsidTr="00502C24"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:rsidR="00A6204F" w:rsidRPr="008808C9" w:rsidRDefault="006E0868" w:rsidP="00A620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08C9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9271" w:type="dxa"/>
            <w:gridSpan w:val="3"/>
            <w:tcBorders>
              <w:left w:val="nil"/>
            </w:tcBorders>
          </w:tcPr>
          <w:p w:rsidR="00A6204F" w:rsidRPr="008808C9" w:rsidRDefault="00C732E1" w:rsidP="005A088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808C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Выполнение работ по текущему ремонту здания «ГАУЗ СО «Стоматологическая поликлиника № 12» (Отдельно-стоящее здание, назначение : Нежилое, литера А, местоположение: Свердловская область, г. Екатеринбург, ул. Шарташская, д. 9. Кадастровый номер: 66:41:0701015:43). Текущий ремонт помещений 14 и 15 (по плану БТИ) на 2-ом этаже</w:t>
            </w:r>
          </w:p>
        </w:tc>
      </w:tr>
    </w:tbl>
    <w:p w:rsidR="00A6204F" w:rsidRPr="008808C9" w:rsidRDefault="008808C9" w:rsidP="00D35654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50764D" w:rsidRPr="008808C9" w:rsidRDefault="006E0868" w:rsidP="0050764D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1" w:name="sub_10200"/>
      <w:r w:rsidRPr="008808C9">
        <w:rPr>
          <w:rFonts w:ascii="Times New Roman" w:hAnsi="Times New Roman" w:cs="Times New Roman"/>
          <w:sz w:val="20"/>
          <w:szCs w:val="20"/>
        </w:rPr>
        <w:t>II. Критерии и показатели оценки заявок на участие в закупке</w:t>
      </w:r>
    </w:p>
    <w:bookmarkEnd w:id="1"/>
    <w:p w:rsidR="0050764D" w:rsidRPr="008808C9" w:rsidRDefault="008808C9" w:rsidP="0050764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43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410"/>
        <w:gridCol w:w="1276"/>
        <w:gridCol w:w="1247"/>
        <w:gridCol w:w="1275"/>
        <w:gridCol w:w="1689"/>
        <w:gridCol w:w="1290"/>
        <w:gridCol w:w="4521"/>
      </w:tblGrid>
      <w:tr w:rsidR="00C570E1" w:rsidRPr="008808C9" w:rsidTr="008808C9">
        <w:tc>
          <w:tcPr>
            <w:tcW w:w="596" w:type="dxa"/>
          </w:tcPr>
          <w:p w:rsidR="0050764D" w:rsidRPr="008808C9" w:rsidRDefault="006E0868" w:rsidP="00A54E7D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8C9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2410" w:type="dxa"/>
          </w:tcPr>
          <w:p w:rsidR="0050764D" w:rsidRPr="008808C9" w:rsidRDefault="006E0868" w:rsidP="002761CD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8C9">
              <w:rPr>
                <w:rFonts w:ascii="Times New Roman" w:hAnsi="Times New Roman" w:cs="Times New Roman"/>
                <w:sz w:val="20"/>
                <w:szCs w:val="20"/>
              </w:rPr>
              <w:t>Критерий оценки</w:t>
            </w:r>
          </w:p>
        </w:tc>
        <w:tc>
          <w:tcPr>
            <w:tcW w:w="1276" w:type="dxa"/>
          </w:tcPr>
          <w:p w:rsidR="0050764D" w:rsidRPr="008808C9" w:rsidRDefault="006E0868" w:rsidP="002761CD">
            <w:pPr>
              <w:pStyle w:val="a4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8C9">
              <w:rPr>
                <w:rFonts w:ascii="Times New Roman" w:hAnsi="Times New Roman" w:cs="Times New Roman"/>
                <w:sz w:val="20"/>
                <w:szCs w:val="20"/>
              </w:rPr>
              <w:t>Значимость критерия оценки, процентов</w:t>
            </w:r>
          </w:p>
        </w:tc>
        <w:tc>
          <w:tcPr>
            <w:tcW w:w="1247" w:type="dxa"/>
          </w:tcPr>
          <w:p w:rsidR="0050764D" w:rsidRPr="008808C9" w:rsidRDefault="006E0868" w:rsidP="002761CD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8C9">
              <w:rPr>
                <w:rFonts w:ascii="Times New Roman" w:hAnsi="Times New Roman" w:cs="Times New Roman"/>
                <w:sz w:val="20"/>
                <w:szCs w:val="20"/>
              </w:rPr>
              <w:t>Показатель оценки</w:t>
            </w:r>
          </w:p>
        </w:tc>
        <w:tc>
          <w:tcPr>
            <w:tcW w:w="1275" w:type="dxa"/>
          </w:tcPr>
          <w:p w:rsidR="0050764D" w:rsidRPr="008808C9" w:rsidRDefault="006E0868" w:rsidP="002761CD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8C9">
              <w:rPr>
                <w:rFonts w:ascii="Times New Roman" w:hAnsi="Times New Roman" w:cs="Times New Roman"/>
                <w:sz w:val="20"/>
                <w:szCs w:val="20"/>
              </w:rPr>
              <w:t>Значимость показателя оценки, процентов</w:t>
            </w:r>
          </w:p>
        </w:tc>
        <w:tc>
          <w:tcPr>
            <w:tcW w:w="1689" w:type="dxa"/>
          </w:tcPr>
          <w:p w:rsidR="0050764D" w:rsidRPr="008808C9" w:rsidRDefault="006E0868" w:rsidP="002761CD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8C9">
              <w:rPr>
                <w:rFonts w:ascii="Times New Roman" w:hAnsi="Times New Roman" w:cs="Times New Roman"/>
                <w:sz w:val="20"/>
                <w:szCs w:val="20"/>
              </w:rPr>
              <w:t>Показатель оценки, детализирующий показатель оценки</w:t>
            </w:r>
          </w:p>
        </w:tc>
        <w:tc>
          <w:tcPr>
            <w:tcW w:w="1290" w:type="dxa"/>
          </w:tcPr>
          <w:p w:rsidR="0050764D" w:rsidRPr="008808C9" w:rsidRDefault="006E0868" w:rsidP="002761CD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8C9">
              <w:rPr>
                <w:rFonts w:ascii="Times New Roman" w:hAnsi="Times New Roman" w:cs="Times New Roman"/>
                <w:sz w:val="20"/>
                <w:szCs w:val="20"/>
              </w:rPr>
              <w:t>Значимость показателя, детализирующего показатель оценки, процентов</w:t>
            </w:r>
          </w:p>
        </w:tc>
        <w:tc>
          <w:tcPr>
            <w:tcW w:w="4521" w:type="dxa"/>
          </w:tcPr>
          <w:p w:rsidR="0050764D" w:rsidRPr="008808C9" w:rsidRDefault="006E0868" w:rsidP="002761CD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8C9">
              <w:rPr>
                <w:rFonts w:ascii="Times New Roman" w:hAnsi="Times New Roman" w:cs="Times New Roman"/>
                <w:sz w:val="20"/>
                <w:szCs w:val="20"/>
              </w:rPr>
              <w:t xml:space="preserve">Формула оценки </w:t>
            </w:r>
            <w:r w:rsidRPr="008808C9">
              <w:rPr>
                <w:rFonts w:ascii="Times New Roman" w:hAnsi="Times New Roman" w:cs="Times New Roman"/>
                <w:sz w:val="20"/>
                <w:szCs w:val="20"/>
              </w:rPr>
              <w:br/>
              <w:t>или шкала оценки</w:t>
            </w:r>
          </w:p>
        </w:tc>
      </w:tr>
      <w:tr w:rsidR="00C570E1" w:rsidRPr="008808C9" w:rsidTr="008808C9">
        <w:trPr>
          <w:trHeight w:val="833"/>
        </w:trPr>
        <w:tc>
          <w:tcPr>
            <w:tcW w:w="596" w:type="dxa"/>
          </w:tcPr>
          <w:p w:rsidR="0050764D" w:rsidRPr="008808C9" w:rsidRDefault="006E0868" w:rsidP="00A54E7D">
            <w:pPr>
              <w:pStyle w:val="a4"/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08C9"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  <w:r w:rsidRPr="008808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410" w:type="dxa"/>
          </w:tcPr>
          <w:p w:rsidR="0050764D" w:rsidRPr="008808C9" w:rsidRDefault="006E0868" w:rsidP="002761CD">
            <w:pPr>
              <w:pStyle w:val="a4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08C9">
              <w:rPr>
                <w:rFonts w:ascii="Times New Roman" w:hAnsi="Times New Roman" w:cs="Times New Roman"/>
                <w:noProof/>
                <w:sz w:val="20"/>
                <w:szCs w:val="20"/>
              </w:rPr>
              <w:t>Цена контракта, сумма цен единиц товара, работы, услуги</w:t>
            </w:r>
          </w:p>
        </w:tc>
        <w:tc>
          <w:tcPr>
            <w:tcW w:w="1276" w:type="dxa"/>
          </w:tcPr>
          <w:p w:rsidR="0050764D" w:rsidRPr="008808C9" w:rsidRDefault="00C732E1" w:rsidP="002761CD">
            <w:pPr>
              <w:pStyle w:val="a4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8808C9">
              <w:rPr>
                <w:rFonts w:ascii="Times New Roman" w:hAnsi="Times New Roman" w:cs="Times New Roman"/>
                <w:noProof/>
                <w:sz w:val="20"/>
                <w:szCs w:val="20"/>
              </w:rPr>
              <w:t>5</w:t>
            </w:r>
            <w:r w:rsidR="006E0868" w:rsidRPr="008808C9">
              <w:rPr>
                <w:rFonts w:ascii="Times New Roman" w:hAnsi="Times New Roman" w:cs="Times New Roman"/>
                <w:noProof/>
                <w:sz w:val="20"/>
                <w:szCs w:val="20"/>
              </w:rPr>
              <w:t>0.00</w:t>
            </w:r>
          </w:p>
        </w:tc>
        <w:tc>
          <w:tcPr>
            <w:tcW w:w="1247" w:type="dxa"/>
          </w:tcPr>
          <w:p w:rsidR="0050764D" w:rsidRPr="008808C9" w:rsidRDefault="006E0868" w:rsidP="002761CD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08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50764D" w:rsidRPr="008808C9" w:rsidRDefault="006E0868" w:rsidP="00C510A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08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89" w:type="dxa"/>
          </w:tcPr>
          <w:p w:rsidR="0050764D" w:rsidRPr="008808C9" w:rsidRDefault="006E0868" w:rsidP="002761CD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08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90" w:type="dxa"/>
          </w:tcPr>
          <w:p w:rsidR="0050764D" w:rsidRPr="008808C9" w:rsidRDefault="006E0868" w:rsidP="002761CD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08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521" w:type="dxa"/>
          </w:tcPr>
          <w:p w:rsidR="00C732E1" w:rsidRPr="008808C9" w:rsidRDefault="00C732E1" w:rsidP="00C732E1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8C9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баллов, присуждаемое i-й заявке, определяется по формуле (</w:t>
            </w:r>
            <w:proofErr w:type="spellStart"/>
            <w:r w:rsidRPr="008808C9">
              <w:rPr>
                <w:rFonts w:ascii="Times New Roman" w:eastAsia="Times New Roman" w:hAnsi="Times New Roman" w:cs="Times New Roman"/>
                <w:sz w:val="20"/>
                <w:szCs w:val="20"/>
              </w:rPr>
              <w:t>БЦ</w:t>
            </w:r>
            <w:r w:rsidRPr="008808C9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8808C9">
              <w:rPr>
                <w:rFonts w:ascii="Times New Roman" w:eastAsia="Times New Roman" w:hAnsi="Times New Roman" w:cs="Times New Roman"/>
                <w:sz w:val="20"/>
                <w:szCs w:val="20"/>
              </w:rPr>
              <w:t>):</w:t>
            </w:r>
          </w:p>
          <w:p w:rsidR="00C732E1" w:rsidRPr="008808C9" w:rsidRDefault="00C732E1" w:rsidP="00C732E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808C9">
              <w:rPr>
                <w:rFonts w:ascii="Times New Roman" w:eastAsia="Times New Roman" w:hAnsi="Times New Roman" w:cs="Times New Roman"/>
                <w:sz w:val="20"/>
                <w:szCs w:val="20"/>
              </w:rPr>
              <w:t>БЦ</w:t>
            </w:r>
            <w:r w:rsidRPr="008808C9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8808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=100-</w:t>
            </w:r>
            <w:bookmarkStart w:id="2" w:name="_Hlk164080402"/>
            <m:oMath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</w:rPr>
                        <m:t>Ц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vertAlign w:val="subscript"/>
                        </w:rPr>
                        <m:t>i-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</w:rPr>
                        <m:t>Ц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vertAlign w:val="subscript"/>
                        </w:rPr>
                        <m:t>л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</w:rPr>
                        <m:t>Ц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vertAlign w:val="subscript"/>
                        </w:rPr>
                        <m:t>л</m:t>
                      </m:r>
                    </m:den>
                  </m:f>
                </m:e>
              </m:d>
              <m:r>
                <w:rPr>
                  <w:rFonts w:ascii="Cambria Math" w:eastAsia="Times New Roman" w:hAnsi="Cambria Math" w:cs="Times New Roman"/>
                  <w:sz w:val="20"/>
                  <w:szCs w:val="20"/>
                </w:rPr>
                <m:t>×100</m:t>
              </m:r>
            </m:oMath>
            <w:bookmarkEnd w:id="2"/>
            <w:r w:rsidRPr="008808C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где:</w:t>
            </w:r>
          </w:p>
          <w:p w:rsidR="00C732E1" w:rsidRPr="008808C9" w:rsidRDefault="00C732E1" w:rsidP="00C732E1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" w:name="_Hlk164079876"/>
            <w:proofErr w:type="spellStart"/>
            <w:r w:rsidRPr="008808C9"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8808C9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i</w:t>
            </w:r>
            <w:bookmarkEnd w:id="3"/>
            <w:proofErr w:type="spellEnd"/>
            <w:r w:rsidRPr="008808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предложение участника закупки о цене договора, </w:t>
            </w:r>
          </w:p>
          <w:p w:rsidR="00C732E1" w:rsidRPr="008808C9" w:rsidRDefault="00C732E1" w:rsidP="00C732E1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8C9">
              <w:rPr>
                <w:rFonts w:ascii="Times New Roman" w:eastAsia="Times New Roman" w:hAnsi="Times New Roman" w:cs="Times New Roman"/>
                <w:sz w:val="20"/>
                <w:szCs w:val="20"/>
              </w:rPr>
              <w:t>, заявка (часть заявки) которого подлежит оценке по критерию оценки «цена договора, сумма цен единиц товара, работы, услуги» (далее – ценовое предложение);</w:t>
            </w:r>
          </w:p>
          <w:p w:rsidR="00C732E1" w:rsidRPr="008808C9" w:rsidRDefault="00C732E1" w:rsidP="00C732E1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" w:name="_Hlk164079897"/>
            <w:proofErr w:type="spellStart"/>
            <w:r w:rsidRPr="008808C9"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8808C9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л</w:t>
            </w:r>
            <w:bookmarkEnd w:id="4"/>
            <w:proofErr w:type="spellEnd"/>
            <w:r w:rsidRPr="008808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наилучшее ценовое предложение из числа предложенных участниками закупки, заявки </w:t>
            </w:r>
            <w:r w:rsidRPr="008808C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(части заявки) которых подлежат оценке по критерию оценки «цена договора, сумма цен единиц товара, работы, услуги»;</w:t>
            </w:r>
          </w:p>
          <w:p w:rsidR="00C732E1" w:rsidRPr="008808C9" w:rsidRDefault="00C732E1" w:rsidP="00C732E1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8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случае если по результатам применения формулы, предусмотренной выше, при оценке хотя бы одной заявки получено значение, являющееся отрицательным </w:t>
            </w:r>
            <w:proofErr w:type="gramStart"/>
            <w:r w:rsidRPr="008808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числом,   </w:t>
            </w:r>
            <w:proofErr w:type="gramEnd"/>
            <w:r w:rsidRPr="008808C9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  количества   баллов по критерию оценки «цена договора, сумма цен единиц товара, работы, услуги» всем заявкам, подлежащим оценке по указанному критерию оценки (</w:t>
            </w:r>
            <w:proofErr w:type="spellStart"/>
            <w:r w:rsidRPr="008808C9">
              <w:rPr>
                <w:rFonts w:ascii="Times New Roman" w:eastAsia="Times New Roman" w:hAnsi="Times New Roman" w:cs="Times New Roman"/>
                <w:sz w:val="20"/>
                <w:szCs w:val="20"/>
              </w:rPr>
              <w:t>БЦ</w:t>
            </w:r>
            <w:r w:rsidRPr="008808C9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8808C9">
              <w:rPr>
                <w:rFonts w:ascii="Times New Roman" w:eastAsia="Times New Roman" w:hAnsi="Times New Roman" w:cs="Times New Roman"/>
                <w:sz w:val="20"/>
                <w:szCs w:val="20"/>
              </w:rPr>
              <w:t>), определяется по формуле:</w:t>
            </w:r>
          </w:p>
          <w:p w:rsidR="00C732E1" w:rsidRPr="008808C9" w:rsidRDefault="00C732E1" w:rsidP="00C732E1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" w:name="_Hlk164080500"/>
            <w:r w:rsidRPr="008808C9">
              <w:rPr>
                <w:rFonts w:ascii="Times New Roman" w:eastAsia="Times New Roman" w:hAnsi="Times New Roman" w:cs="Times New Roman"/>
                <w:sz w:val="20"/>
                <w:szCs w:val="20"/>
              </w:rPr>
              <w:t>БЦ = (</w:t>
            </w:r>
            <w:proofErr w:type="spellStart"/>
            <w:r w:rsidRPr="008808C9"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8808C9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нач</w:t>
            </w:r>
            <w:proofErr w:type="spellEnd"/>
            <w:r w:rsidRPr="008808C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bookmarkStart w:id="6" w:name="_Hlk164080552"/>
            <w:r w:rsidRPr="008808C9"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proofErr w:type="spellStart"/>
            <w:proofErr w:type="gramStart"/>
            <w:r w:rsidRPr="008808C9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bookmarkEnd w:id="6"/>
            <w:proofErr w:type="spellEnd"/>
            <w:r w:rsidRPr="008808C9">
              <w:rPr>
                <w:rFonts w:ascii="Times New Roman" w:eastAsia="Times New Roman" w:hAnsi="Times New Roman" w:cs="Times New Roman"/>
                <w:sz w:val="20"/>
                <w:szCs w:val="20"/>
              </w:rPr>
              <w:t>)х</w:t>
            </w:r>
            <w:proofErr w:type="gramEnd"/>
            <m:oMath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</w:rPr>
                        <m:t>100</m:t>
                      </m:r>
                    </m:num>
                    <m:den>
                      <m:eqArr>
                        <m:eqArrPr>
                          <m:ctrlP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</w:rPr>
                          </m:ctrlPr>
                        </m:eqArr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</w:rPr>
                            <m:t>Ц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vertAlign w:val="subscript"/>
                            </w:rPr>
                            <m:t>нач-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</w:rPr>
                            <m:t>Ц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vertAlign w:val="subscript"/>
                            </w:rPr>
                            <m:t>л</m:t>
                          </m:r>
                          <m:ctrlP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vertAlign w:val="subscript"/>
                            </w:rPr>
                          </m:ctrlPr>
                        </m:e>
                        <m:e>
                          <m:ctrlP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vertAlign w:val="subscript"/>
                            </w:rPr>
                          </m:ctrlPr>
                        </m:e>
                      </m:eqArr>
                    </m:den>
                  </m:f>
                </m:e>
              </m:d>
            </m:oMath>
          </w:p>
          <w:bookmarkEnd w:id="5"/>
          <w:p w:rsidR="00C732E1" w:rsidRPr="008808C9" w:rsidRDefault="00C732E1" w:rsidP="00C732E1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32E1" w:rsidRPr="008808C9" w:rsidRDefault="00C732E1" w:rsidP="00C732E1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8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где </w:t>
            </w:r>
            <w:proofErr w:type="spellStart"/>
            <w:r w:rsidRPr="008808C9"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8808C9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нач</w:t>
            </w:r>
            <w:proofErr w:type="spellEnd"/>
            <w:r w:rsidRPr="008808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начальная (максимальная) цена договора, или сумма начальных (максимальных) цен каждого договора, заключаемого по результатам проведения совместного конкурса (в случае проведения совместного конкурса), или начальная сумма цен единиц товаров, работ, услуг.</w:t>
            </w:r>
          </w:p>
          <w:p w:rsidR="00C732E1" w:rsidRPr="008808C9" w:rsidRDefault="00C732E1" w:rsidP="00C732E1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32E1" w:rsidRPr="008808C9" w:rsidRDefault="00C732E1" w:rsidP="00C732E1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8C9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Заявкам, содержащим наилучшее ценовое предложение, а также предложение, равное такому наилучшему ценовому предложению, присваивается 100 баллов;</w:t>
            </w:r>
          </w:p>
          <w:p w:rsidR="0050764D" w:rsidRPr="008808C9" w:rsidRDefault="00C732E1" w:rsidP="00C732E1">
            <w:pPr>
              <w:pStyle w:val="a4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08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Значение </w:t>
            </w:r>
            <w:proofErr w:type="spellStart"/>
            <w:r w:rsidRPr="008808C9">
              <w:rPr>
                <w:rFonts w:ascii="Times New Roman" w:eastAsia="Times New Roman" w:hAnsi="Times New Roman" w:cs="Times New Roman"/>
                <w:sz w:val="20"/>
                <w:szCs w:val="20"/>
              </w:rPr>
              <w:t>Цл</w:t>
            </w:r>
            <w:proofErr w:type="spellEnd"/>
            <w:r w:rsidRPr="008808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8808C9">
              <w:rPr>
                <w:rFonts w:ascii="Times New Roman" w:eastAsia="Times New Roman" w:hAnsi="Times New Roman" w:cs="Times New Roman"/>
                <w:sz w:val="20"/>
                <w:szCs w:val="20"/>
              </w:rPr>
              <w:t>Цi</w:t>
            </w:r>
            <w:proofErr w:type="spellEnd"/>
            <w:r w:rsidRPr="008808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указываются без знака «минус</w:t>
            </w:r>
            <w:r w:rsidRPr="008808C9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8808C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F6949" w:rsidRPr="008808C9" w:rsidTr="008808C9">
        <w:tc>
          <w:tcPr>
            <w:tcW w:w="596" w:type="dxa"/>
          </w:tcPr>
          <w:p w:rsidR="007F6949" w:rsidRPr="008808C9" w:rsidRDefault="007F6949" w:rsidP="007F6949">
            <w:pPr>
              <w:pStyle w:val="a4"/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08C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lastRenderedPageBreak/>
              <w:t>2</w:t>
            </w:r>
            <w:r w:rsidRPr="008808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410" w:type="dxa"/>
          </w:tcPr>
          <w:p w:rsidR="007F6949" w:rsidRPr="008808C9" w:rsidRDefault="007F6949" w:rsidP="007F6949">
            <w:pPr>
              <w:pStyle w:val="a4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08C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Квалификация участников закупки, в том числе наличие у них финансовых ресурсов, оборудования и других материальных ресурсов на праве собственности или ином законном основании, опыта работы, связанного с предметом контракта, и деловой репутации, специалистов и иных работников определенного уровня </w:t>
            </w:r>
            <w:r w:rsidRPr="008808C9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квалификации</w:t>
            </w:r>
          </w:p>
        </w:tc>
        <w:tc>
          <w:tcPr>
            <w:tcW w:w="1276" w:type="dxa"/>
          </w:tcPr>
          <w:p w:rsidR="007F6949" w:rsidRPr="008808C9" w:rsidRDefault="00C732E1" w:rsidP="007F6949">
            <w:pPr>
              <w:pStyle w:val="a4"/>
              <w:ind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08C9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5</w:t>
            </w:r>
            <w:r w:rsidR="007F6949" w:rsidRPr="008808C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0.00</w:t>
            </w:r>
          </w:p>
        </w:tc>
        <w:tc>
          <w:tcPr>
            <w:tcW w:w="1247" w:type="dxa"/>
          </w:tcPr>
          <w:p w:rsidR="007F6949" w:rsidRPr="008808C9" w:rsidRDefault="007F6949" w:rsidP="00407064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808C9">
              <w:rPr>
                <w:rFonts w:ascii="Times New Roman" w:hAnsi="Times New Roman" w:cs="Times New Roman"/>
                <w:noProof/>
                <w:sz w:val="20"/>
                <w:szCs w:val="20"/>
              </w:rPr>
              <w:t>Наличие у участник</w:t>
            </w:r>
            <w:r w:rsidR="00407064" w:rsidRPr="008808C9">
              <w:rPr>
                <w:rFonts w:ascii="Times New Roman" w:hAnsi="Times New Roman" w:cs="Times New Roman"/>
                <w:noProof/>
                <w:sz w:val="20"/>
                <w:szCs w:val="20"/>
              </w:rPr>
              <w:t>ов</w:t>
            </w:r>
            <w:r w:rsidRPr="008808C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закупки опыта работы, связанного с предметом контракта</w:t>
            </w:r>
            <w:r w:rsidR="00C732E1" w:rsidRPr="008808C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- </w:t>
            </w:r>
            <w:r w:rsidR="00C732E1" w:rsidRPr="008808C9"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  <w:t>текущ</w:t>
            </w:r>
            <w:bookmarkStart w:id="7" w:name="_GoBack"/>
            <w:bookmarkEnd w:id="7"/>
            <w:r w:rsidR="00C732E1" w:rsidRPr="008808C9"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  <w:t>ий или капитальный ремонт помещений</w:t>
            </w:r>
          </w:p>
        </w:tc>
        <w:tc>
          <w:tcPr>
            <w:tcW w:w="1275" w:type="dxa"/>
          </w:tcPr>
          <w:p w:rsidR="007F6949" w:rsidRPr="008808C9" w:rsidRDefault="007F6949" w:rsidP="007F6949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8C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689" w:type="dxa"/>
          </w:tcPr>
          <w:p w:rsidR="00407064" w:rsidRPr="008808C9" w:rsidRDefault="004D7FB0" w:rsidP="008808C9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808C9">
              <w:rPr>
                <w:rFonts w:ascii="Times New Roman" w:hAnsi="Times New Roman" w:cs="Times New Roman"/>
                <w:noProof/>
                <w:sz w:val="20"/>
                <w:szCs w:val="20"/>
              </w:rPr>
              <w:t>О</w:t>
            </w:r>
            <w:r w:rsidR="00407064" w:rsidRPr="008808C9">
              <w:rPr>
                <w:rFonts w:ascii="Times New Roman" w:hAnsi="Times New Roman" w:cs="Times New Roman"/>
                <w:noProof/>
                <w:sz w:val="20"/>
                <w:szCs w:val="20"/>
              </w:rPr>
              <w:t>бщ</w:t>
            </w:r>
            <w:r w:rsidR="008808C9" w:rsidRPr="008808C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ая цена </w:t>
            </w:r>
            <w:r w:rsidR="00407064" w:rsidRPr="008808C9">
              <w:rPr>
                <w:rFonts w:ascii="Times New Roman" w:hAnsi="Times New Roman" w:cs="Times New Roman"/>
                <w:noProof/>
                <w:sz w:val="20"/>
                <w:szCs w:val="20"/>
              </w:rPr>
              <w:t>исполненных участником закупки договоров</w:t>
            </w:r>
            <w:r w:rsidRPr="008808C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, </w:t>
            </w:r>
            <w:r w:rsidR="008808C9" w:rsidRPr="008808C9">
              <w:rPr>
                <w:rFonts w:ascii="Times New Roman" w:hAnsi="Times New Roman" w:cs="Times New Roman"/>
                <w:noProof/>
                <w:sz w:val="20"/>
                <w:szCs w:val="20"/>
              </w:rPr>
              <w:t>контрактов</w:t>
            </w:r>
          </w:p>
        </w:tc>
        <w:tc>
          <w:tcPr>
            <w:tcW w:w="1290" w:type="dxa"/>
          </w:tcPr>
          <w:p w:rsidR="007F6949" w:rsidRPr="008808C9" w:rsidRDefault="007F6949" w:rsidP="007F6949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8C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4521" w:type="dxa"/>
          </w:tcPr>
          <w:p w:rsidR="00C732E1" w:rsidRPr="008808C9" w:rsidRDefault="00C732E1" w:rsidP="00C732E1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808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Лучшим является наибольшее значение характеристики предмета закупки.</w:t>
            </w:r>
          </w:p>
          <w:p w:rsidR="00C732E1" w:rsidRPr="008808C9" w:rsidRDefault="00C732E1" w:rsidP="00C732E1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808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Квалификация участников запроса предложений оценивается исходя из общей цены исполненных без взыскания штрафов (неустоек) контрактов, договоров и актов выполненных работ к этим контрактам/договорам на оказание аналогичных услуг.</w:t>
            </w:r>
          </w:p>
          <w:p w:rsidR="00C732E1" w:rsidRPr="008808C9" w:rsidRDefault="00C732E1" w:rsidP="00C732E1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8C9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баллов, присуждаемых по критерию i-й заявке (</w:t>
            </w:r>
            <w:proofErr w:type="spellStart"/>
            <w:r w:rsidRPr="008808C9">
              <w:rPr>
                <w:rFonts w:ascii="Times New Roman" w:eastAsia="Times New Roman" w:hAnsi="Times New Roman" w:cs="Times New Roman"/>
                <w:sz w:val="20"/>
                <w:szCs w:val="20"/>
              </w:rPr>
              <w:t>БХ</w:t>
            </w:r>
            <w:r w:rsidRPr="008808C9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8808C9">
              <w:rPr>
                <w:rFonts w:ascii="Times New Roman" w:eastAsia="Times New Roman" w:hAnsi="Times New Roman" w:cs="Times New Roman"/>
                <w:sz w:val="20"/>
                <w:szCs w:val="20"/>
              </w:rPr>
              <w:t>), определяется по формуле:</w:t>
            </w:r>
          </w:p>
          <w:p w:rsidR="00C732E1" w:rsidRPr="008808C9" w:rsidRDefault="00C732E1" w:rsidP="00C732E1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32E1" w:rsidRPr="008808C9" w:rsidRDefault="00C732E1" w:rsidP="00C732E1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8C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194E5A3" wp14:editId="383A5E81">
                  <wp:extent cx="2084073" cy="467999"/>
                  <wp:effectExtent l="0" t="0" r="0" b="8251"/>
                  <wp:docPr id="1" name="Рисунок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4073" cy="467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32E1" w:rsidRPr="008808C9" w:rsidRDefault="00C732E1" w:rsidP="00C732E1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8C9">
              <w:rPr>
                <w:rFonts w:ascii="Times New Roman" w:eastAsia="Times New Roman" w:hAnsi="Times New Roman" w:cs="Times New Roman"/>
                <w:sz w:val="20"/>
                <w:szCs w:val="20"/>
              </w:rPr>
              <w:t>где:</w:t>
            </w:r>
          </w:p>
          <w:p w:rsidR="00C732E1" w:rsidRPr="008808C9" w:rsidRDefault="00C732E1" w:rsidP="00C732E1">
            <w:pPr>
              <w:ind w:firstLine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8808C9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</w:rPr>
              <w:lastRenderedPageBreak/>
              <w:t>Х</w:t>
            </w:r>
            <w:r w:rsidRPr="008808C9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vertAlign w:val="subscript"/>
              </w:rPr>
              <w:t>max</w:t>
            </w:r>
            <w:proofErr w:type="spellEnd"/>
            <w:r w:rsidRPr="008808C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8808C9">
              <w:rPr>
                <w:rFonts w:ascii="Times New Roman" w:eastAsia="Times New Roman" w:hAnsi="Times New Roman" w:cs="Times New Roman"/>
                <w:sz w:val="20"/>
                <w:szCs w:val="20"/>
              </w:rPr>
              <w:t>максимальное</w:t>
            </w:r>
            <w:r w:rsidRPr="008808C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значение</w:t>
            </w:r>
            <w:r w:rsidRPr="008808C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характеристики</w:t>
            </w:r>
            <w:r w:rsidRPr="008808C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предмета</w:t>
            </w:r>
            <w:r w:rsidRPr="008808C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8808C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закупки, </w:t>
            </w:r>
            <w:r w:rsidRPr="008808C9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содержащееся в заявках (частях заявок), подлежащих оценке по критерию оценки «характеристики предмета закупки»;</w:t>
            </w:r>
          </w:p>
          <w:p w:rsidR="00C732E1" w:rsidRPr="008808C9" w:rsidRDefault="00C732E1" w:rsidP="00C732E1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808C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Pr="008808C9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8808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–   значение     характеристики     предмета     </w:t>
            </w:r>
            <w:proofErr w:type="gramStart"/>
            <w:r w:rsidRPr="008808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закупки,   </w:t>
            </w:r>
            <w:proofErr w:type="gramEnd"/>
            <w:r w:rsidRPr="008808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содержащееся в предложении участника закупки, заявка (часть заявки) которого подлежит оценке по критерию оценки «характеристики предмета закупки»;</w:t>
            </w:r>
          </w:p>
          <w:p w:rsidR="004D7FB0" w:rsidRPr="008808C9" w:rsidRDefault="00C732E1" w:rsidP="00C732E1">
            <w:pPr>
              <w:widowControl/>
              <w:suppressAutoHyphens/>
              <w:adjustRightInd/>
              <w:ind w:firstLine="176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8808C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  <w:r w:rsidRPr="008808C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vertAlign w:val="subscript"/>
              </w:rPr>
              <w:t>min</w:t>
            </w:r>
            <w:proofErr w:type="spellEnd"/>
            <w:r w:rsidRPr="008808C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–</w:t>
            </w:r>
            <w:r w:rsidRPr="008808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минимальное значение характеристики предмета закупки, содержащееся в заявках (частях заявок), подлежащих оценке по критерию оценки «характеристики предмета закупки».</w:t>
            </w:r>
          </w:p>
        </w:tc>
      </w:tr>
    </w:tbl>
    <w:p w:rsidR="0050764D" w:rsidRPr="008808C9" w:rsidRDefault="008808C9" w:rsidP="0050764D">
      <w:pPr>
        <w:rPr>
          <w:rFonts w:ascii="Times New Roman" w:hAnsi="Times New Roman" w:cs="Times New Roman"/>
          <w:sz w:val="20"/>
          <w:szCs w:val="20"/>
        </w:rPr>
      </w:pPr>
    </w:p>
    <w:p w:rsidR="0050764D" w:rsidRPr="008808C9" w:rsidRDefault="006E0868" w:rsidP="0050764D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8" w:name="sub_10300"/>
      <w:r w:rsidRPr="008808C9">
        <w:rPr>
          <w:rFonts w:ascii="Times New Roman" w:hAnsi="Times New Roman" w:cs="Times New Roman"/>
          <w:sz w:val="20"/>
          <w:szCs w:val="20"/>
        </w:rPr>
        <w:t xml:space="preserve">III. Отдельные положения о применении отдельных критериев оценки, показателей оценки и показателей оценки, детализирующих показатели оценки, </w:t>
      </w:r>
      <w:r w:rsidRPr="008808C9">
        <w:rPr>
          <w:rFonts w:ascii="Times New Roman" w:hAnsi="Times New Roman" w:cs="Times New Roman"/>
          <w:color w:val="auto"/>
          <w:sz w:val="20"/>
          <w:szCs w:val="20"/>
        </w:rPr>
        <w:t xml:space="preserve">предусмотренных </w:t>
      </w:r>
      <w:r w:rsidRPr="008808C9">
        <w:rPr>
          <w:rStyle w:val="a3"/>
          <w:rFonts w:ascii="Times New Roman" w:hAnsi="Times New Roman"/>
          <w:bCs w:val="0"/>
          <w:color w:val="auto"/>
          <w:sz w:val="20"/>
          <w:szCs w:val="20"/>
        </w:rPr>
        <w:t>разделом II</w:t>
      </w:r>
      <w:r w:rsidRPr="008808C9">
        <w:rPr>
          <w:rFonts w:ascii="Times New Roman" w:hAnsi="Times New Roman" w:cs="Times New Roman"/>
          <w:color w:val="auto"/>
          <w:sz w:val="20"/>
          <w:szCs w:val="20"/>
        </w:rPr>
        <w:t xml:space="preserve"> настоящего </w:t>
      </w:r>
      <w:r w:rsidRPr="008808C9">
        <w:rPr>
          <w:rFonts w:ascii="Times New Roman" w:hAnsi="Times New Roman" w:cs="Times New Roman"/>
          <w:sz w:val="20"/>
          <w:szCs w:val="20"/>
        </w:rPr>
        <w:t>документа</w:t>
      </w:r>
    </w:p>
    <w:bookmarkEnd w:id="8"/>
    <w:p w:rsidR="0050764D" w:rsidRPr="008808C9" w:rsidRDefault="008808C9" w:rsidP="0050764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5685"/>
        <w:gridCol w:w="8065"/>
      </w:tblGrid>
      <w:tr w:rsidR="00C570E1" w:rsidRPr="008808C9" w:rsidTr="006E0868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4D" w:rsidRPr="008808C9" w:rsidRDefault="006E0868" w:rsidP="006D7723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sub_10310"/>
            <w:r w:rsidRPr="008808C9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bookmarkEnd w:id="9"/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4D" w:rsidRPr="008808C9" w:rsidRDefault="006E0868" w:rsidP="00407064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8C9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критерия оценки, показателя оценки, показателя оценки, детализирующего показатель оценки, при применении которого устанавливается положение, предусмотренное графой </w:t>
            </w:r>
            <w:r w:rsidR="00407064" w:rsidRPr="008808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64D" w:rsidRPr="008808C9" w:rsidRDefault="006E0868" w:rsidP="005D5C1D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8C9">
              <w:rPr>
                <w:rFonts w:ascii="Times New Roman" w:hAnsi="Times New Roman" w:cs="Times New Roman"/>
                <w:sz w:val="20"/>
                <w:szCs w:val="20"/>
              </w:rPr>
              <w:t xml:space="preserve">Положение о применении критерия оценки, </w:t>
            </w:r>
            <w:r w:rsidRPr="008808C9">
              <w:rPr>
                <w:rFonts w:ascii="Times New Roman" w:hAnsi="Times New Roman" w:cs="Times New Roman"/>
                <w:sz w:val="20"/>
                <w:szCs w:val="20"/>
              </w:rPr>
              <w:br/>
              <w:t>показателя оценки, показателя оценки, детализирующего показатель оценки</w:t>
            </w:r>
          </w:p>
        </w:tc>
      </w:tr>
      <w:tr w:rsidR="00C570E1" w:rsidRPr="008808C9" w:rsidTr="006E0868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4D" w:rsidRPr="008808C9" w:rsidRDefault="006E0868" w:rsidP="006D7723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8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4D" w:rsidRPr="008808C9" w:rsidRDefault="006E0868" w:rsidP="005D5C1D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8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64D" w:rsidRPr="008808C9" w:rsidRDefault="006E0868" w:rsidP="005D5C1D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8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570E1" w:rsidRPr="008808C9" w:rsidTr="008808C9">
        <w:trPr>
          <w:trHeight w:val="416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4D" w:rsidRPr="008808C9" w:rsidRDefault="006E0868" w:rsidP="00497B62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8C9"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B0" w:rsidRPr="008808C9" w:rsidRDefault="006E0868" w:rsidP="004D7FB0">
            <w:pPr>
              <w:pStyle w:val="a4"/>
              <w:ind w:firstLine="0"/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</w:rPr>
            </w:pPr>
            <w:r w:rsidRPr="008808C9">
              <w:rPr>
                <w:rFonts w:ascii="Times New Roman" w:hAnsi="Times New Roman" w:cs="Times New Roman"/>
                <w:noProof/>
                <w:sz w:val="20"/>
                <w:szCs w:val="20"/>
              </w:rPr>
              <w:t>Квалификация участников закупки, в том числе наличие у них финансовых ресурсов, оборудования и других материальных ресурсов на праве собственности или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</w:t>
            </w:r>
            <w:r w:rsidRPr="008808C9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8808C9">
              <w:rPr>
                <w:rFonts w:ascii="Times New Roman" w:hAnsi="Times New Roman" w:cs="Times New Roman"/>
                <w:noProof/>
                <w:sz w:val="20"/>
                <w:szCs w:val="20"/>
              </w:rPr>
              <w:t>Наличие у участников</w:t>
            </w:r>
            <w:r w:rsidRPr="008808C9">
              <w:rPr>
                <w:rFonts w:ascii="Times New Roman" w:hAnsi="Times New Roman" w:cs="Times New Roman"/>
                <w:sz w:val="20"/>
                <w:szCs w:val="20"/>
              </w:rPr>
              <w:t xml:space="preserve"> закупки опыта поставки товара, выполнения работы, оказания услуги, связанного с предметом контракта; </w:t>
            </w:r>
            <w:r w:rsidR="008808C9" w:rsidRPr="008808C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8808C9" w:rsidRPr="008808C9">
              <w:rPr>
                <w:rFonts w:ascii="Times New Roman" w:hAnsi="Times New Roman" w:cs="Times New Roman"/>
                <w:noProof/>
                <w:sz w:val="20"/>
                <w:szCs w:val="20"/>
              </w:rPr>
              <w:t>цена исполненных участником закупки договоров, контрактов</w:t>
            </w:r>
          </w:p>
          <w:p w:rsidR="0050764D" w:rsidRPr="008808C9" w:rsidRDefault="008808C9" w:rsidP="005D5C1D">
            <w:pPr>
              <w:pStyle w:val="a4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8C9" w:rsidRPr="008808C9" w:rsidRDefault="008808C9" w:rsidP="008808C9">
            <w:pPr>
              <w:pStyle w:val="a4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08C9">
              <w:rPr>
                <w:rFonts w:ascii="Times New Roman" w:hAnsi="Times New Roman" w:cs="Times New Roman"/>
                <w:sz w:val="20"/>
                <w:szCs w:val="20"/>
              </w:rPr>
              <w:t xml:space="preserve">Контракты (договоры) должны быть заключены не ранее чем за последние 5 лет до даты подачи участником закупки заявки на участие в настоящей закупке. </w:t>
            </w:r>
          </w:p>
          <w:p w:rsidR="008808C9" w:rsidRPr="008808C9" w:rsidRDefault="008808C9" w:rsidP="008808C9">
            <w:pPr>
              <w:pStyle w:val="a4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08C9">
              <w:rPr>
                <w:rFonts w:ascii="Times New Roman" w:hAnsi="Times New Roman" w:cs="Times New Roman"/>
                <w:sz w:val="20"/>
                <w:szCs w:val="20"/>
              </w:rPr>
              <w:t xml:space="preserve">Участник запроса предложений предоставляет реестр исполненных контрактов (договоров) по форме, установленной в форме заявки документации. Для контрактов (договоров), заключенных по 223-ФЗ, 44-ФЗ - реестр контрактов (договоров) должен содержать номера контрактов (номера реестровых записей договоров), содержащихся в Едином реестре государственных и муниципальных контрактов (44-ФЗ), реестре договоров (223-ФЗ) на сайте www.zakupki.gov.ru (с указанием ссылки, по которой в ЕИС размещен контракт (договор) в соответствующем Реестре). </w:t>
            </w:r>
          </w:p>
          <w:p w:rsidR="008808C9" w:rsidRPr="008808C9" w:rsidRDefault="008808C9" w:rsidP="008808C9">
            <w:pPr>
              <w:pStyle w:val="a4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08C9">
              <w:rPr>
                <w:rFonts w:ascii="Times New Roman" w:hAnsi="Times New Roman" w:cs="Times New Roman"/>
                <w:sz w:val="20"/>
                <w:szCs w:val="20"/>
              </w:rPr>
              <w:t>Контракт (договор) должен одновременно соответствовать всем следующим условиям:</w:t>
            </w:r>
          </w:p>
          <w:p w:rsidR="008808C9" w:rsidRPr="008808C9" w:rsidRDefault="008808C9" w:rsidP="008808C9">
            <w:pPr>
              <w:pStyle w:val="a4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08C9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8808C9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Контракт (договор) не расторгнут на дату размещения на официальном сайте http://zakupki.gov.ru извещения о проведении настоящего запроса предложений и исполнен без нарушений со стороны Участника закупки. Обязательства Участника закупки должны быть исполнены в полном объеме. Исполнение </w:t>
            </w:r>
            <w:proofErr w:type="gramStart"/>
            <w:r w:rsidRPr="008808C9">
              <w:rPr>
                <w:rFonts w:ascii="Times New Roman" w:hAnsi="Times New Roman" w:cs="Times New Roman"/>
                <w:sz w:val="20"/>
                <w:szCs w:val="20"/>
              </w:rPr>
              <w:t>обязательств  по</w:t>
            </w:r>
            <w:proofErr w:type="gramEnd"/>
            <w:r w:rsidRPr="008808C9">
              <w:rPr>
                <w:rFonts w:ascii="Times New Roman" w:hAnsi="Times New Roman" w:cs="Times New Roman"/>
                <w:sz w:val="20"/>
                <w:szCs w:val="20"/>
              </w:rPr>
              <w:t xml:space="preserve"> контракту (договору) подтверждается наличием отметки «исполнение завершено» в карточке контракта (договора) в ЕИС либо предоставлением Участником закупки документов, подтверждающих исполнение им обязательств в полном объеме (акты сдачи-приемки оказанных услуг, УПД).</w:t>
            </w:r>
          </w:p>
          <w:p w:rsidR="008808C9" w:rsidRPr="008808C9" w:rsidRDefault="008808C9" w:rsidP="008808C9">
            <w:pPr>
              <w:pStyle w:val="a4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08C9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8808C9">
              <w:rPr>
                <w:rFonts w:ascii="Times New Roman" w:hAnsi="Times New Roman" w:cs="Times New Roman"/>
                <w:sz w:val="20"/>
                <w:szCs w:val="20"/>
              </w:rPr>
              <w:tab/>
              <w:t>Контракты (договоры) должны быть исполнены без претензий/штрафных санкций в отношении Исполнителя - Участника закупки.</w:t>
            </w:r>
          </w:p>
          <w:p w:rsidR="00441CEF" w:rsidRPr="008808C9" w:rsidRDefault="008808C9" w:rsidP="008808C9">
            <w:pPr>
              <w:pStyle w:val="a4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08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</w:t>
            </w:r>
            <w:r w:rsidRPr="008808C9">
              <w:rPr>
                <w:rFonts w:ascii="Times New Roman" w:hAnsi="Times New Roman" w:cs="Times New Roman"/>
                <w:sz w:val="20"/>
                <w:szCs w:val="20"/>
              </w:rPr>
              <w:tab/>
              <w:t>Контракт (договор) заключен не ранее чем за последние 5 лет до даты подачи Участником закупки заявки на участие в настоящей закупке.</w:t>
            </w:r>
          </w:p>
        </w:tc>
      </w:tr>
    </w:tbl>
    <w:p w:rsidR="0050764D" w:rsidRPr="008808C9" w:rsidRDefault="008808C9" w:rsidP="0050764D">
      <w:pPr>
        <w:rPr>
          <w:rFonts w:ascii="Times New Roman" w:hAnsi="Times New Roman" w:cs="Times New Roman"/>
          <w:sz w:val="20"/>
          <w:szCs w:val="20"/>
        </w:rPr>
      </w:pPr>
    </w:p>
    <w:p w:rsidR="0050764D" w:rsidRPr="008808C9" w:rsidRDefault="006E0868" w:rsidP="0050764D">
      <w:pPr>
        <w:pStyle w:val="a7"/>
        <w:rPr>
          <w:rFonts w:ascii="Times New Roman" w:hAnsi="Times New Roman" w:cs="Times New Roman"/>
          <w:sz w:val="20"/>
          <w:szCs w:val="20"/>
        </w:rPr>
      </w:pPr>
      <w:r w:rsidRPr="008808C9">
        <w:rPr>
          <w:rFonts w:ascii="Times New Roman" w:hAnsi="Times New Roman" w:cs="Times New Roman"/>
          <w:sz w:val="20"/>
          <w:szCs w:val="20"/>
        </w:rPr>
        <w:t>──────────────────────────────</w:t>
      </w:r>
    </w:p>
    <w:sectPr w:rsidR="0050764D" w:rsidRPr="008808C9" w:rsidSect="007F6949">
      <w:pgSz w:w="16837" w:h="11905" w:orient="landscape"/>
      <w:pgMar w:top="568" w:right="800" w:bottom="1135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70E1"/>
    <w:rsid w:val="002A1D0C"/>
    <w:rsid w:val="003B114C"/>
    <w:rsid w:val="00407064"/>
    <w:rsid w:val="00441CEF"/>
    <w:rsid w:val="004D7FB0"/>
    <w:rsid w:val="00502C24"/>
    <w:rsid w:val="00596170"/>
    <w:rsid w:val="005A088F"/>
    <w:rsid w:val="00635C30"/>
    <w:rsid w:val="006E0868"/>
    <w:rsid w:val="007F6949"/>
    <w:rsid w:val="008808C9"/>
    <w:rsid w:val="009916C4"/>
    <w:rsid w:val="00C147A6"/>
    <w:rsid w:val="00C54020"/>
    <w:rsid w:val="00C570E1"/>
    <w:rsid w:val="00C732E1"/>
    <w:rsid w:val="00D55721"/>
    <w:rsid w:val="00EE06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B46DF81-99F2-431C-BDC6-F6065701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64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0764D"/>
    <w:pPr>
      <w:spacing w:before="108" w:after="108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764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50764D"/>
    <w:rPr>
      <w:rFonts w:cs="Times New Roman"/>
      <w:b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50764D"/>
  </w:style>
  <w:style w:type="paragraph" w:customStyle="1" w:styleId="a5">
    <w:name w:val="Прижатый влево"/>
    <w:basedOn w:val="a"/>
    <w:next w:val="a"/>
    <w:uiPriority w:val="99"/>
    <w:rsid w:val="0050764D"/>
  </w:style>
  <w:style w:type="character" w:customStyle="1" w:styleId="a6">
    <w:name w:val="Цветовое выделение"/>
    <w:uiPriority w:val="99"/>
    <w:rsid w:val="0050764D"/>
    <w:rPr>
      <w:b/>
      <w:color w:val="26282F"/>
    </w:rPr>
  </w:style>
  <w:style w:type="paragraph" w:customStyle="1" w:styleId="a7">
    <w:name w:val="Таблицы (моноширинный)"/>
    <w:basedOn w:val="a"/>
    <w:next w:val="a"/>
    <w:uiPriority w:val="99"/>
    <w:rsid w:val="0050764D"/>
    <w:pPr>
      <w:ind w:firstLine="0"/>
      <w:jc w:val="left"/>
    </w:pPr>
    <w:rPr>
      <w:rFonts w:ascii="Courier New" w:hAnsi="Courier New" w:cs="Courier New"/>
    </w:rPr>
  </w:style>
  <w:style w:type="table" w:styleId="a8">
    <w:name w:val="Table Grid"/>
    <w:basedOn w:val="a1"/>
    <w:uiPriority w:val="39"/>
    <w:rsid w:val="00AC32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502C24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F694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F6949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ac">
    <w:name w:val="Закупки"/>
    <w:basedOn w:val="a"/>
    <w:uiPriority w:val="99"/>
    <w:rsid w:val="00441CEF"/>
    <w:pPr>
      <w:widowControl/>
      <w:suppressAutoHyphens/>
      <w:autoSpaceDE/>
      <w:autoSpaceDN/>
      <w:adjustRightInd/>
      <w:spacing w:after="120" w:line="100" w:lineRule="atLeast"/>
      <w:ind w:firstLine="0"/>
      <w:jc w:val="left"/>
    </w:pPr>
    <w:rPr>
      <w:rFonts w:ascii="Times New Roman" w:eastAsia="Times New Roman" w:hAnsi="Times New Roman" w:cs="Times New Roman"/>
      <w:sz w:val="20"/>
      <w:szCs w:val="23"/>
      <w:lang w:eastAsia="ar-SA"/>
    </w:rPr>
  </w:style>
  <w:style w:type="paragraph" w:styleId="ad">
    <w:name w:val="footnote text"/>
    <w:basedOn w:val="a"/>
    <w:link w:val="ae"/>
    <w:rsid w:val="004D7FB0"/>
    <w:pPr>
      <w:widowControl/>
      <w:suppressAutoHyphens/>
      <w:autoSpaceDE/>
      <w:adjustRightInd/>
      <w:ind w:firstLine="0"/>
      <w:jc w:val="left"/>
      <w:textAlignment w:val="baseline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rsid w:val="004D7FB0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hyperlink" Target="mailto:stomat1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Охтяров Николай Вячеславович</dc:creator>
  <cp:lastModifiedBy>Пользователь</cp:lastModifiedBy>
  <cp:revision>4</cp:revision>
  <cp:lastPrinted>2024-06-05T11:01:00Z</cp:lastPrinted>
  <dcterms:created xsi:type="dcterms:W3CDTF">2025-01-20T10:54:00Z</dcterms:created>
  <dcterms:modified xsi:type="dcterms:W3CDTF">2026-05-17T17:02:00Z</dcterms:modified>
</cp:coreProperties>
</file>