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4D3F" w14:textId="77777777" w:rsidR="000F77AB" w:rsidRDefault="000F77AB" w:rsidP="000F77AB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bookmarkStart w:id="0" w:name="_Toc443052706"/>
      <w:bookmarkStart w:id="1" w:name="_Toc424563919"/>
      <w:r w:rsidRPr="00C04F45">
        <w:rPr>
          <w:rFonts w:ascii="Times New Roman" w:eastAsia="Calibri" w:hAnsi="Times New Roman" w:cs="Times New Roman"/>
          <w:b/>
        </w:rPr>
        <w:t>РАСЧЕТ НМЦД МЕТОДОМ АНАЛИЗА РЫНКА</w:t>
      </w:r>
      <w:bookmarkEnd w:id="0"/>
      <w:bookmarkEnd w:id="1"/>
    </w:p>
    <w:p w14:paraId="695BEBB0" w14:textId="77777777" w:rsidR="00147B38" w:rsidRPr="00A52525" w:rsidRDefault="00147B38" w:rsidP="00147B38">
      <w:pPr>
        <w:pStyle w:val="a7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Цена единицы товара (единичных расценок)</w:t>
      </w:r>
    </w:p>
    <w:p w14:paraId="4B169C36" w14:textId="77777777" w:rsidR="000F77AB" w:rsidRDefault="000F77AB" w:rsidP="000F77AB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513"/>
        <w:gridCol w:w="5147"/>
        <w:gridCol w:w="709"/>
        <w:gridCol w:w="851"/>
        <w:gridCol w:w="1549"/>
        <w:gridCol w:w="1549"/>
        <w:gridCol w:w="1549"/>
        <w:gridCol w:w="1701"/>
        <w:gridCol w:w="1731"/>
      </w:tblGrid>
      <w:tr w:rsidR="000F77AB" w:rsidRPr="003A42D4" w14:paraId="0A549B30" w14:textId="77777777" w:rsidTr="000F77AB">
        <w:trPr>
          <w:trHeight w:val="2085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39D6" w14:textId="77777777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№ п/п</w:t>
            </w:r>
          </w:p>
        </w:tc>
        <w:tc>
          <w:tcPr>
            <w:tcW w:w="5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BC69950" w14:textId="77777777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Наименование каждой единицы товара, работы, услуги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F47259" w14:textId="77777777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Ед.изм</w:t>
            </w:r>
            <w:proofErr w:type="spellEnd"/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6762D8" w14:textId="1094BC58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Кол-</w:t>
            </w:r>
            <w:proofErr w:type="gramStart"/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во  в</w:t>
            </w:r>
            <w:proofErr w:type="gramEnd"/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ед.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47C08D" w14:textId="73429DFB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предложение №1 / источник/ наименование поставщика,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DB2B105" w14:textId="5DB3AB2E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предложение №2 / источник/ наименование поставщика,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3DF7D0" w14:textId="50BAED6F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предложение №3 / источник/ наименование поставщика,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58CF17" w14:textId="77777777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Средняя цена за ед. товара в руб.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532257" w14:textId="77777777" w:rsidR="000F77AB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Цена за ед. товара в руб.</w:t>
            </w:r>
          </w:p>
          <w:p w14:paraId="510D67D1" w14:textId="063DEF3E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с НДС</w:t>
            </w:r>
          </w:p>
        </w:tc>
      </w:tr>
      <w:tr w:rsidR="000F77AB" w:rsidRPr="003A42D4" w14:paraId="4ED16766" w14:textId="77777777" w:rsidTr="000F77AB">
        <w:trPr>
          <w:trHeight w:val="315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2473E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40851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FC964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CE3EF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14A80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3E1F2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FEBC4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4726D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A6B098" w14:textId="77777777" w:rsidR="000F77AB" w:rsidRPr="003A42D4" w:rsidRDefault="000F77AB" w:rsidP="00E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0F77AB" w:rsidRPr="003A42D4" w14:paraId="0E7AE0EF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8860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8971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 xml:space="preserve">Тахограф </w:t>
            </w:r>
            <w:proofErr w:type="spellStart"/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Атол</w:t>
            </w:r>
            <w:proofErr w:type="spellEnd"/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 xml:space="preserve"> Drive Smart с Блоком СКЗИ или эквивалент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79828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EF3E9" w14:textId="166E9CC9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00CF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50925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E32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53350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C630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48500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0991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50925,00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D664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50 925,00 </w:t>
            </w:r>
          </w:p>
        </w:tc>
      </w:tr>
      <w:tr w:rsidR="000F77AB" w:rsidRPr="003A42D4" w14:paraId="7A21586E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3EA7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E50A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 xml:space="preserve"> Блок СКЗИ тахографа "НКМ-2.11"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0915D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A8F8" w14:textId="0CE29B42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C0A5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29400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443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29700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3AEE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28500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97AE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29200,00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F4F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29 200,00 </w:t>
            </w:r>
          </w:p>
        </w:tc>
      </w:tr>
      <w:tr w:rsidR="000F77AB" w:rsidRPr="003A42D4" w14:paraId="2CDC0FD4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76B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FC9B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Считыватель Карт Тахографа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FB413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C3F92" w14:textId="51903A7D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FAC09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1995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D9F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2090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1CCF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02F3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2861,67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F250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2 861,67 </w:t>
            </w:r>
          </w:p>
        </w:tc>
      </w:tr>
      <w:tr w:rsidR="000F77AB" w:rsidRPr="003A42D4" w14:paraId="3B002D72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F7C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7D3C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Изменение ТС в памяти Блока НКМ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64EE0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81AF3" w14:textId="2B85816E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EC73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CD11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DFF7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A86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1908,33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DF5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1 908,33 </w:t>
            </w:r>
          </w:p>
        </w:tc>
      </w:tr>
      <w:tr w:rsidR="000F77AB" w:rsidRPr="003A42D4" w14:paraId="6E25FD98" w14:textId="77777777" w:rsidTr="000F77AB">
        <w:trPr>
          <w:trHeight w:val="9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C546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6255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Монтаж Цифрового тахографа (Подготовка проводки для тахографа)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F4733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89C69" w14:textId="482B0076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561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2625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38FA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3500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A224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9000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2C5C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5041,67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9588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5 041,67 </w:t>
            </w:r>
          </w:p>
        </w:tc>
      </w:tr>
      <w:tr w:rsidR="000F77AB" w:rsidRPr="003A42D4" w14:paraId="256D223F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EA62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22C7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Монтаж тахографа (после замены НКМ)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E264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29B9" w14:textId="5366A81C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4798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7B37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BF01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737E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575,00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7F7E0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575,00 </w:t>
            </w:r>
          </w:p>
        </w:tc>
      </w:tr>
      <w:tr w:rsidR="000F77AB" w:rsidRPr="003A42D4" w14:paraId="4EA29C23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7848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3CDB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Активация Тахографа с Блоком СКЗИ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257EE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EDFE2" w14:textId="09C6BE1C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FAB6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07BF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1A1B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6507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2083,33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A7EE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2 083,33 </w:t>
            </w:r>
          </w:p>
        </w:tc>
      </w:tr>
      <w:tr w:rsidR="000F77AB" w:rsidRPr="003A42D4" w14:paraId="5534DFF3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CC41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8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0E08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Настройка Цифрового Тахографа с блоком СКЗИ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3B06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DC6A" w14:textId="4C6E8014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A31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3255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1F90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3500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7B6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71F2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3751,67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AA8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3 751,67 </w:t>
            </w:r>
          </w:p>
        </w:tc>
      </w:tr>
      <w:tr w:rsidR="000F77AB" w:rsidRPr="003A42D4" w14:paraId="48803767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03E1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9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2B18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Подключение датчика скорости с прокладкой кабеля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DE68D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7BE9" w14:textId="7C19FDCB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770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3675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E47A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3850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F361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B168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5841,67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D054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5 841,67 </w:t>
            </w:r>
          </w:p>
        </w:tc>
      </w:tr>
      <w:tr w:rsidR="000F77AB" w:rsidRPr="003A42D4" w14:paraId="57A50435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A569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10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A9F7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Подключение спидометра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A35FB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11DE1" w14:textId="6FC5EE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3F66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00FE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EE5E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60E8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1908,33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9364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1 908,33 </w:t>
            </w:r>
          </w:p>
        </w:tc>
      </w:tr>
      <w:tr w:rsidR="000F77AB" w:rsidRPr="003A42D4" w14:paraId="700B763B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F561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11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C5B0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Спидометра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ACB3A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2977" w14:textId="615EF3D2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D8AB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5775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EF86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6050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B64A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9000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2069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6941,67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4465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6 941,67 </w:t>
            </w:r>
          </w:p>
        </w:tc>
      </w:tr>
      <w:tr w:rsidR="000F77AB" w:rsidRPr="003A42D4" w14:paraId="24F3D17A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3B49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12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C1C6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Метрологическая Поверка Цифрового Тахографа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D9642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2F1C" w14:textId="63BB2722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2FC0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2625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242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2990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6F24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9DFF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3038,33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F3D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3 038,33 </w:t>
            </w:r>
          </w:p>
        </w:tc>
      </w:tr>
      <w:tr w:rsidR="000F77AB" w:rsidRPr="003A42D4" w14:paraId="1B484253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7F76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lastRenderedPageBreak/>
              <w:t>13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3291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 xml:space="preserve">Диагностика </w:t>
            </w:r>
            <w:proofErr w:type="spellStart"/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тахографического</w:t>
            </w:r>
            <w:proofErr w:type="spellEnd"/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 xml:space="preserve">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F99B9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77E34" w14:textId="0EDE5BC5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1409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787,5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8E249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770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DF22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F574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1352,50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4E0F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1 352,50 </w:t>
            </w:r>
          </w:p>
        </w:tc>
      </w:tr>
      <w:tr w:rsidR="000F77AB" w:rsidRPr="003A42D4" w14:paraId="210A7793" w14:textId="77777777" w:rsidTr="000F77AB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9A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2204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Обновление ПО Тахографа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C113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FA9" w14:textId="505F13B5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4E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1575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EA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DE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82C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1658,33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521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1 658,33 </w:t>
            </w:r>
          </w:p>
        </w:tc>
      </w:tr>
      <w:tr w:rsidR="000F77AB" w:rsidRPr="003A42D4" w14:paraId="2713C69B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9FF9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399A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принтера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7D53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F05D" w14:textId="04837966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1E32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3675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E79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3850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8947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DEA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4008,33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0EB6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4 008,33 </w:t>
            </w:r>
          </w:p>
        </w:tc>
      </w:tr>
      <w:tr w:rsidR="000F77AB" w:rsidRPr="003A42D4" w14:paraId="14B5D063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6E94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E869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кардридера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3F702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30B38" w14:textId="74FC548F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153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4725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5EAA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4950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8D20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F297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5558,33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5C36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5 558,33 </w:t>
            </w:r>
          </w:p>
        </w:tc>
      </w:tr>
      <w:tr w:rsidR="000F77AB" w:rsidRPr="003A42D4" w14:paraId="60F8E345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81F8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17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AB3F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клавиатуры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74BD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1AFE9" w14:textId="44E3018D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689E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3675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58AA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3850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629A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8C07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4675,00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D469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4 675,00 </w:t>
            </w:r>
          </w:p>
        </w:tc>
      </w:tr>
      <w:tr w:rsidR="000F77AB" w:rsidRPr="003A42D4" w14:paraId="04AA5756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3A98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18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7E1C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дисплея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EC3A0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13D39" w14:textId="54D7B1B6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686B9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6825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B714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7150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67D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9BCC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6991,67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B0D4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6 991,67 </w:t>
            </w:r>
          </w:p>
        </w:tc>
      </w:tr>
      <w:tr w:rsidR="000F77AB" w:rsidRPr="003A42D4" w14:paraId="62FEA212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5243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C8CC" w14:textId="77777777" w:rsidR="000F77AB" w:rsidRPr="003A42D4" w:rsidRDefault="000F77AB" w:rsidP="00EA33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Ремонт / восстановление питания Тахографа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2FA05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B7F7F" w14:textId="4BC934CB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7113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B4769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2200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F735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8B58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3100,00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9160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3 100,00 </w:t>
            </w:r>
          </w:p>
        </w:tc>
      </w:tr>
      <w:tr w:rsidR="000F77AB" w:rsidRPr="003A42D4" w14:paraId="192B9DBC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C67B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20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2695" w14:textId="77777777" w:rsidR="000F77AB" w:rsidRPr="003A42D4" w:rsidRDefault="000F77AB" w:rsidP="00EA33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Датчика скорости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FE11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40F89" w14:textId="2F2D98A0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4AD1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25A8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6AAF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A27C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1575,00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54A9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1 575,00 </w:t>
            </w:r>
          </w:p>
        </w:tc>
      </w:tr>
      <w:tr w:rsidR="000F77AB" w:rsidRPr="003A42D4" w14:paraId="63DA068A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FA1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21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C7BB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Датчика скорости (вместе с проводкой)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70B15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A5896" w14:textId="598D643D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53BB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3045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0074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3190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368E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11500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B943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5911,67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30F2E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5 911,67 </w:t>
            </w:r>
          </w:p>
        </w:tc>
      </w:tr>
      <w:tr w:rsidR="000F77AB" w:rsidRPr="003A42D4" w14:paraId="541D44F9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9CA2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22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2057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Датчик скорости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186F7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B5C3E" w14:textId="0036261B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E965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4725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071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4950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CA627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C5B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4891,67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C30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4 891,67 </w:t>
            </w:r>
          </w:p>
        </w:tc>
      </w:tr>
      <w:tr w:rsidR="000F77AB" w:rsidRPr="003A42D4" w14:paraId="4C14830F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BDA1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23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E286" w14:textId="77777777" w:rsidR="000F77AB" w:rsidRPr="003A42D4" w:rsidRDefault="000F77AB" w:rsidP="00EA3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батарейки тахографа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108AC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8BA61" w14:textId="24F4BF54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2EB0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A34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1100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7503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DA9D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1391,67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8B49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1 391,67 </w:t>
            </w:r>
          </w:p>
        </w:tc>
      </w:tr>
      <w:tr w:rsidR="000F77AB" w:rsidRPr="003A42D4" w14:paraId="5A60BDED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4A280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24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AF05A" w14:textId="77777777" w:rsidR="000F77AB" w:rsidRPr="003A42D4" w:rsidRDefault="000F77AB" w:rsidP="00EA33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Замена батарейки тахографа (с перепайкой)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37D18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3537" w14:textId="4DE08AAD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6AB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C430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1650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52F9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0E82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2083,33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76169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2 083,33 </w:t>
            </w:r>
          </w:p>
        </w:tc>
      </w:tr>
      <w:tr w:rsidR="000F77AB" w:rsidRPr="003A42D4" w14:paraId="614213D2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3238F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25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0576" w14:textId="77777777" w:rsidR="000F77AB" w:rsidRPr="003A42D4" w:rsidRDefault="000F77AB" w:rsidP="00EA33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3A42D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Бумага для принтера тахографа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6318B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8E798" w14:textId="123EB0DE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9777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262,5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70B0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220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7D7C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E6800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194,17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8BF5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194,17 </w:t>
            </w:r>
          </w:p>
        </w:tc>
      </w:tr>
      <w:tr w:rsidR="000F77AB" w:rsidRPr="003A42D4" w14:paraId="585525C5" w14:textId="77777777" w:rsidTr="000F77AB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F529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26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CCB0" w14:textId="77777777" w:rsidR="000F77AB" w:rsidRPr="003A42D4" w:rsidRDefault="000F77AB" w:rsidP="00EA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Замена антенны GPS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9679B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у.е.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C4319" w14:textId="2FF835E5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F0D1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1260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180D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1320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9200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DCD6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1193,33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D0E95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1 193,33 </w:t>
            </w:r>
          </w:p>
        </w:tc>
      </w:tr>
      <w:tr w:rsidR="000F77AB" w:rsidRPr="003A42D4" w14:paraId="0F0C4E02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6E6E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27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450A8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Карта Водителя для тахографа с Блоком СКЗИ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70DBB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AE4D" w14:textId="12C1A88C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DAD3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6825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B10E3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6900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3C29C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DB51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6741,67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9D639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6 741,67 </w:t>
            </w:r>
          </w:p>
        </w:tc>
      </w:tr>
      <w:tr w:rsidR="000F77AB" w:rsidRPr="003A42D4" w14:paraId="763BB79A" w14:textId="77777777" w:rsidTr="000F77AB">
        <w:trPr>
          <w:trHeight w:val="615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5B98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28</w:t>
            </w:r>
          </w:p>
        </w:tc>
        <w:tc>
          <w:tcPr>
            <w:tcW w:w="5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BD13F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Карта предприятия для тахографа с Блоком СКЗИ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67D5" w14:textId="77777777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proofErr w:type="spellStart"/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20D97" w14:textId="0DAB176D" w:rsidR="000F77AB" w:rsidRPr="003A42D4" w:rsidRDefault="000F77AB" w:rsidP="00EA33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02E4D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7875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0EA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8000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C58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8500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0BF7A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8125,00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E8E7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 xml:space="preserve">8 125,00 </w:t>
            </w:r>
          </w:p>
        </w:tc>
      </w:tr>
      <w:tr w:rsidR="000F77AB" w:rsidRPr="003A42D4" w14:paraId="15047440" w14:textId="77777777" w:rsidTr="000F77AB">
        <w:trPr>
          <w:trHeight w:val="315"/>
        </w:trPr>
        <w:tc>
          <w:tcPr>
            <w:tcW w:w="7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FF8960" w14:textId="1B207C58" w:rsidR="000F77AB" w:rsidRPr="003A42D4" w:rsidRDefault="000F77AB" w:rsidP="00EA33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62096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158655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CE5F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164180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E4B62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197750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EB99B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color w:val="000000"/>
                <w:u w:val="single"/>
                <w:lang w:eastAsia="ru-RU"/>
              </w:rPr>
              <w:t>173528,33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34254" w14:textId="77777777" w:rsidR="000F77AB" w:rsidRPr="003A42D4" w:rsidRDefault="000F77AB" w:rsidP="00EA33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ru-RU"/>
              </w:rPr>
            </w:pPr>
            <w:r w:rsidRPr="003A42D4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ru-RU"/>
              </w:rPr>
              <w:t xml:space="preserve">173 528,33 </w:t>
            </w:r>
          </w:p>
        </w:tc>
      </w:tr>
    </w:tbl>
    <w:p w14:paraId="1604D6E5" w14:textId="1402583C" w:rsidR="000F77AB" w:rsidRPr="00147B38" w:rsidRDefault="000F77AB" w:rsidP="00147B3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</w:t>
      </w:r>
    </w:p>
    <w:tbl>
      <w:tblPr>
        <w:tblpPr w:leftFromText="180" w:rightFromText="180" w:bottomFromText="200" w:vertAnchor="text" w:tblpY="1"/>
        <w:tblOverlap w:val="never"/>
        <w:tblW w:w="960" w:type="dxa"/>
        <w:tblLook w:val="04A0" w:firstRow="1" w:lastRow="0" w:firstColumn="1" w:lastColumn="0" w:noHBand="0" w:noVBand="1"/>
      </w:tblPr>
      <w:tblGrid>
        <w:gridCol w:w="960"/>
      </w:tblGrid>
      <w:tr w:rsidR="00147B38" w:rsidRPr="00A52525" w14:paraId="70264098" w14:textId="77777777" w:rsidTr="00EA33FB">
        <w:trPr>
          <w:trHeight w:val="300"/>
        </w:trPr>
        <w:tc>
          <w:tcPr>
            <w:tcW w:w="960" w:type="dxa"/>
            <w:noWrap/>
            <w:vAlign w:val="bottom"/>
          </w:tcPr>
          <w:p w14:paraId="632DD3E1" w14:textId="77777777" w:rsidR="00147B38" w:rsidRPr="00A52525" w:rsidRDefault="00147B38" w:rsidP="00EA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688E99A" w14:textId="77777777" w:rsidR="00147B38" w:rsidRDefault="00147B38" w:rsidP="00147B38">
      <w:pPr>
        <w:spacing w:after="0" w:line="240" w:lineRule="auto"/>
        <w:rPr>
          <w:rFonts w:ascii="Times New Roman" w:eastAsia="Calibri" w:hAnsi="Times New Roman" w:cs="Times New Roman"/>
        </w:rPr>
      </w:pPr>
      <w:r w:rsidRPr="00A5252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</w:t>
      </w:r>
    </w:p>
    <w:p w14:paraId="4D767F74" w14:textId="1854CB8B" w:rsidR="00147B38" w:rsidRPr="00147B38" w:rsidRDefault="00147B38" w:rsidP="00147B3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Pr="00147B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Начальная максимальная цена договора (НМЦД)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147B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000 000,00 рублей, в том числе НДС</w:t>
      </w:r>
    </w:p>
    <w:p w14:paraId="56045C0E" w14:textId="77777777" w:rsidR="00147B38" w:rsidRPr="00A52525" w:rsidRDefault="00147B38" w:rsidP="00147B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4C79E7" w14:textId="77777777" w:rsidR="00147B38" w:rsidRPr="00A52525" w:rsidRDefault="00147B38" w:rsidP="00147B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ED4D37" w14:textId="77777777" w:rsidR="00147B38" w:rsidRPr="00A52525" w:rsidRDefault="00147B38" w:rsidP="00147B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B7F698" w14:textId="77777777" w:rsidR="00147B38" w:rsidRPr="00A52525" w:rsidRDefault="00147B38" w:rsidP="00147B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52525">
        <w:rPr>
          <w:rFonts w:ascii="Times New Roman" w:eastAsia="Calibri" w:hAnsi="Times New Roman" w:cs="Times New Roman"/>
        </w:rPr>
        <w:t>Исполнитель расчета _______________/ "_______" ______________ 20_______г</w:t>
      </w:r>
    </w:p>
    <w:p w14:paraId="7E7C1597" w14:textId="77777777" w:rsidR="00147B38" w:rsidRPr="00A52525" w:rsidRDefault="00147B38" w:rsidP="00147B38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A52525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(Ф.И.О., должность, контактный </w:t>
      </w:r>
      <w:proofErr w:type="gramStart"/>
      <w:r w:rsidRPr="00A52525">
        <w:rPr>
          <w:rFonts w:ascii="Times New Roman" w:eastAsia="Calibri" w:hAnsi="Times New Roman" w:cs="Times New Roman"/>
          <w:vertAlign w:val="superscript"/>
        </w:rPr>
        <w:t xml:space="preserve">телефон)   </w:t>
      </w:r>
      <w:proofErr w:type="gramEnd"/>
      <w:r w:rsidRPr="00A52525">
        <w:rPr>
          <w:rFonts w:ascii="Times New Roman" w:eastAsia="Calibri" w:hAnsi="Times New Roman" w:cs="Times New Roman"/>
          <w:vertAlign w:val="superscript"/>
        </w:rPr>
        <w:t xml:space="preserve">                                    (подпись/расшифровка подписи)</w:t>
      </w:r>
      <w:r w:rsidRPr="00A52525">
        <w:rPr>
          <w:rFonts w:ascii="Times New Roman" w:eastAsia="Calibri" w:hAnsi="Times New Roman" w:cs="Times New Roman"/>
        </w:rPr>
        <w:t xml:space="preserve">               </w:t>
      </w:r>
      <w:r w:rsidRPr="00A52525">
        <w:rPr>
          <w:rFonts w:ascii="Times New Roman" w:eastAsia="Calibri" w:hAnsi="Times New Roman" w:cs="Times New Roman"/>
          <w:vertAlign w:val="superscript"/>
        </w:rPr>
        <w:t xml:space="preserve"> (дата расчета НМЦ</w:t>
      </w:r>
    </w:p>
    <w:p w14:paraId="64291F74" w14:textId="2B973736" w:rsidR="00565F45" w:rsidRDefault="00565F45" w:rsidP="00147B38">
      <w:pPr>
        <w:spacing w:after="0" w:line="240" w:lineRule="auto"/>
      </w:pPr>
    </w:p>
    <w:sectPr w:rsidR="00565F45" w:rsidSect="00147B38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06B"/>
    <w:multiLevelType w:val="hybridMultilevel"/>
    <w:tmpl w:val="7804A2C0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5C0C"/>
    <w:multiLevelType w:val="hybridMultilevel"/>
    <w:tmpl w:val="19DE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00828">
    <w:abstractNumId w:val="0"/>
  </w:num>
  <w:num w:numId="2" w16cid:durableId="189943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1B"/>
    <w:rsid w:val="000A2C63"/>
    <w:rsid w:val="000F77AB"/>
    <w:rsid w:val="00147B38"/>
    <w:rsid w:val="004147E2"/>
    <w:rsid w:val="00565F45"/>
    <w:rsid w:val="00A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A07B"/>
  <w15:chartTrackingRefBased/>
  <w15:docId w15:val="{3AF90E02-952E-42D1-B459-B60AC3F0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A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7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7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7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7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7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7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71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17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71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817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17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1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Александровна</dc:creator>
  <cp:keywords/>
  <dc:description/>
  <cp:lastModifiedBy>Марина А. Александровна</cp:lastModifiedBy>
  <cp:revision>3</cp:revision>
  <dcterms:created xsi:type="dcterms:W3CDTF">2026-05-19T02:39:00Z</dcterms:created>
  <dcterms:modified xsi:type="dcterms:W3CDTF">2026-05-19T02:50:00Z</dcterms:modified>
</cp:coreProperties>
</file>