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B9C2" w14:textId="13BEB782" w:rsidR="001F7BB5" w:rsidRPr="00160D62" w:rsidRDefault="001F7BB5" w:rsidP="001F7BB5">
      <w:pPr>
        <w:jc w:val="center"/>
        <w:rPr>
          <w:b/>
          <w:bCs/>
          <w:sz w:val="22"/>
          <w:szCs w:val="22"/>
        </w:rPr>
      </w:pPr>
      <w:r w:rsidRPr="00160D62">
        <w:rPr>
          <w:b/>
          <w:bCs/>
          <w:sz w:val="22"/>
          <w:szCs w:val="22"/>
        </w:rPr>
        <w:t xml:space="preserve">Техническое задание </w:t>
      </w:r>
    </w:p>
    <w:p w14:paraId="7FCC2B7D" w14:textId="153A1C68" w:rsidR="00561670" w:rsidRPr="00160D62" w:rsidRDefault="00561670" w:rsidP="001F7BB5">
      <w:pPr>
        <w:jc w:val="center"/>
        <w:rPr>
          <w:b/>
          <w:bCs/>
          <w:sz w:val="22"/>
          <w:szCs w:val="22"/>
        </w:rPr>
      </w:pPr>
      <w:r w:rsidRPr="00160D62">
        <w:rPr>
          <w:b/>
          <w:bCs/>
          <w:sz w:val="22"/>
          <w:szCs w:val="22"/>
        </w:rPr>
        <w:t xml:space="preserve">на разработку и поставку отраслевого решения для автоматизации теплоэнергетических, </w:t>
      </w:r>
      <w:proofErr w:type="spellStart"/>
      <w:r w:rsidRPr="00160D62">
        <w:rPr>
          <w:b/>
          <w:bCs/>
          <w:sz w:val="22"/>
          <w:szCs w:val="22"/>
        </w:rPr>
        <w:t>теплосбытовых</w:t>
      </w:r>
      <w:proofErr w:type="spellEnd"/>
      <w:r w:rsidRPr="00160D62">
        <w:rPr>
          <w:b/>
          <w:bCs/>
          <w:sz w:val="22"/>
          <w:szCs w:val="22"/>
        </w:rPr>
        <w:t xml:space="preserve"> компаний, тепловых сетей, тепловых и инженерных сетей на базе платформы 1С: Предприятие 8.3, а также услуга по настройке, адаптации, модификации, внедрению и сопровождению программ для ЭВМ, баз данных</w:t>
      </w:r>
    </w:p>
    <w:p w14:paraId="71608E94" w14:textId="7C9C192A" w:rsidR="00561670" w:rsidRPr="00160D62" w:rsidRDefault="00561670" w:rsidP="001F7BB5">
      <w:pPr>
        <w:jc w:val="center"/>
        <w:rPr>
          <w:b/>
          <w:bCs/>
          <w:sz w:val="22"/>
          <w:szCs w:val="22"/>
        </w:rPr>
      </w:pPr>
    </w:p>
    <w:tbl>
      <w:tblPr>
        <w:tblStyle w:val="af"/>
        <w:tblW w:w="0" w:type="auto"/>
        <w:tblLook w:val="04A0" w:firstRow="1" w:lastRow="0" w:firstColumn="1" w:lastColumn="0" w:noHBand="0" w:noVBand="1"/>
      </w:tblPr>
      <w:tblGrid>
        <w:gridCol w:w="570"/>
        <w:gridCol w:w="1406"/>
        <w:gridCol w:w="2423"/>
        <w:gridCol w:w="1942"/>
        <w:gridCol w:w="1770"/>
        <w:gridCol w:w="1942"/>
      </w:tblGrid>
      <w:tr w:rsidR="00160D62" w:rsidRPr="00160D62" w14:paraId="04790B11" w14:textId="77777777" w:rsidTr="00561670">
        <w:trPr>
          <w:trHeight w:val="345"/>
        </w:trPr>
        <w:tc>
          <w:tcPr>
            <w:tcW w:w="1980" w:type="dxa"/>
            <w:vMerge w:val="restart"/>
            <w:hideMark/>
          </w:tcPr>
          <w:p w14:paraId="570313AD" w14:textId="15F45E2F" w:rsidR="00561670" w:rsidRPr="00160D62" w:rsidRDefault="00160D62" w:rsidP="00561670">
            <w:pPr>
              <w:jc w:val="center"/>
              <w:rPr>
                <w:b/>
                <w:bCs/>
                <w:sz w:val="22"/>
                <w:szCs w:val="22"/>
              </w:rPr>
            </w:pPr>
            <w:r w:rsidRPr="00160D62">
              <w:rPr>
                <w:b/>
                <w:bCs/>
                <w:sz w:val="22"/>
                <w:szCs w:val="22"/>
              </w:rPr>
              <w:t>№ п/п</w:t>
            </w:r>
          </w:p>
        </w:tc>
        <w:tc>
          <w:tcPr>
            <w:tcW w:w="2680" w:type="dxa"/>
            <w:vMerge w:val="restart"/>
            <w:hideMark/>
          </w:tcPr>
          <w:p w14:paraId="2C16B1BC" w14:textId="77777777" w:rsidR="00561670" w:rsidRPr="00160D62" w:rsidRDefault="00561670">
            <w:pPr>
              <w:jc w:val="center"/>
              <w:rPr>
                <w:b/>
                <w:bCs/>
                <w:sz w:val="22"/>
                <w:szCs w:val="22"/>
              </w:rPr>
            </w:pPr>
            <w:r w:rsidRPr="00160D62">
              <w:rPr>
                <w:b/>
                <w:bCs/>
                <w:sz w:val="22"/>
                <w:szCs w:val="22"/>
              </w:rPr>
              <w:t>Код</w:t>
            </w:r>
          </w:p>
        </w:tc>
        <w:tc>
          <w:tcPr>
            <w:tcW w:w="8200" w:type="dxa"/>
            <w:vMerge w:val="restart"/>
            <w:hideMark/>
          </w:tcPr>
          <w:p w14:paraId="7DAD439F" w14:textId="77777777" w:rsidR="00561670" w:rsidRPr="00160D62" w:rsidRDefault="00561670">
            <w:pPr>
              <w:jc w:val="center"/>
              <w:rPr>
                <w:b/>
                <w:bCs/>
                <w:sz w:val="22"/>
                <w:szCs w:val="22"/>
              </w:rPr>
            </w:pPr>
            <w:r w:rsidRPr="00160D62">
              <w:rPr>
                <w:b/>
                <w:bCs/>
                <w:sz w:val="22"/>
                <w:szCs w:val="22"/>
              </w:rPr>
              <w:t>Наименование</w:t>
            </w:r>
          </w:p>
        </w:tc>
        <w:tc>
          <w:tcPr>
            <w:tcW w:w="17740" w:type="dxa"/>
            <w:gridSpan w:val="3"/>
            <w:hideMark/>
          </w:tcPr>
          <w:p w14:paraId="7B083227" w14:textId="77777777" w:rsidR="00561670" w:rsidRPr="00160D62" w:rsidRDefault="00561670">
            <w:pPr>
              <w:jc w:val="center"/>
              <w:rPr>
                <w:b/>
                <w:bCs/>
                <w:sz w:val="22"/>
                <w:szCs w:val="22"/>
              </w:rPr>
            </w:pPr>
            <w:r w:rsidRPr="00160D62">
              <w:rPr>
                <w:b/>
                <w:bCs/>
                <w:sz w:val="22"/>
                <w:szCs w:val="22"/>
              </w:rPr>
              <w:t>Нацио⁠​‌​​⁠⁠⁠﻿‌⁠﻿⁠‌﻿​﻿‌​​⁠﻿﻿﻿‌﻿⁠‌​​​﻿﻿​​‌‍⁠﻿﻿⁠​‍‍нальный режим</w:t>
            </w:r>
          </w:p>
        </w:tc>
      </w:tr>
      <w:tr w:rsidR="00160D62" w:rsidRPr="00160D62" w14:paraId="7447CB95" w14:textId="77777777" w:rsidTr="00561670">
        <w:trPr>
          <w:trHeight w:val="345"/>
        </w:trPr>
        <w:tc>
          <w:tcPr>
            <w:tcW w:w="1980" w:type="dxa"/>
            <w:vMerge/>
            <w:hideMark/>
          </w:tcPr>
          <w:p w14:paraId="32AA3942" w14:textId="77777777" w:rsidR="00561670" w:rsidRPr="00160D62" w:rsidRDefault="00561670" w:rsidP="00561670">
            <w:pPr>
              <w:jc w:val="center"/>
              <w:rPr>
                <w:b/>
                <w:bCs/>
                <w:sz w:val="22"/>
                <w:szCs w:val="22"/>
              </w:rPr>
            </w:pPr>
          </w:p>
        </w:tc>
        <w:tc>
          <w:tcPr>
            <w:tcW w:w="2680" w:type="dxa"/>
            <w:vMerge/>
            <w:hideMark/>
          </w:tcPr>
          <w:p w14:paraId="476367A7" w14:textId="77777777" w:rsidR="00561670" w:rsidRPr="00160D62" w:rsidRDefault="00561670" w:rsidP="00561670">
            <w:pPr>
              <w:jc w:val="center"/>
              <w:rPr>
                <w:b/>
                <w:bCs/>
                <w:sz w:val="22"/>
                <w:szCs w:val="22"/>
              </w:rPr>
            </w:pPr>
          </w:p>
        </w:tc>
        <w:tc>
          <w:tcPr>
            <w:tcW w:w="8200" w:type="dxa"/>
            <w:vMerge/>
            <w:hideMark/>
          </w:tcPr>
          <w:p w14:paraId="4B8C40DE" w14:textId="77777777" w:rsidR="00561670" w:rsidRPr="00160D62" w:rsidRDefault="00561670" w:rsidP="00561670">
            <w:pPr>
              <w:jc w:val="center"/>
              <w:rPr>
                <w:b/>
                <w:bCs/>
                <w:sz w:val="22"/>
                <w:szCs w:val="22"/>
              </w:rPr>
            </w:pPr>
          </w:p>
        </w:tc>
        <w:tc>
          <w:tcPr>
            <w:tcW w:w="8200" w:type="dxa"/>
            <w:hideMark/>
          </w:tcPr>
          <w:p w14:paraId="5EA15E43" w14:textId="77777777" w:rsidR="00561670" w:rsidRPr="00160D62" w:rsidRDefault="00561670">
            <w:pPr>
              <w:jc w:val="center"/>
              <w:rPr>
                <w:b/>
                <w:bCs/>
                <w:sz w:val="22"/>
                <w:szCs w:val="22"/>
              </w:rPr>
            </w:pPr>
            <w:r w:rsidRPr="00160D62">
              <w:rPr>
                <w:b/>
                <w:bCs/>
                <w:sz w:val="22"/>
                <w:szCs w:val="22"/>
              </w:rPr>
              <w:t>1875 (Запрет)</w:t>
            </w:r>
          </w:p>
        </w:tc>
        <w:tc>
          <w:tcPr>
            <w:tcW w:w="4580" w:type="dxa"/>
            <w:hideMark/>
          </w:tcPr>
          <w:p w14:paraId="6FAA1378" w14:textId="77777777" w:rsidR="00561670" w:rsidRPr="00160D62" w:rsidRDefault="00561670">
            <w:pPr>
              <w:jc w:val="center"/>
              <w:rPr>
                <w:b/>
                <w:bCs/>
                <w:sz w:val="22"/>
                <w:szCs w:val="22"/>
              </w:rPr>
            </w:pPr>
            <w:r w:rsidRPr="00160D62">
              <w:rPr>
                <w:b/>
                <w:bCs/>
                <w:sz w:val="22"/>
                <w:szCs w:val="22"/>
              </w:rPr>
              <w:t>1875 (Ограничение)</w:t>
            </w:r>
          </w:p>
        </w:tc>
        <w:tc>
          <w:tcPr>
            <w:tcW w:w="4960" w:type="dxa"/>
            <w:hideMark/>
          </w:tcPr>
          <w:p w14:paraId="6AB9C858" w14:textId="77777777" w:rsidR="00561670" w:rsidRPr="00160D62" w:rsidRDefault="00561670">
            <w:pPr>
              <w:jc w:val="center"/>
              <w:rPr>
                <w:b/>
                <w:bCs/>
                <w:sz w:val="22"/>
                <w:szCs w:val="22"/>
              </w:rPr>
            </w:pPr>
            <w:r w:rsidRPr="00160D62">
              <w:rPr>
                <w:b/>
                <w:bCs/>
                <w:sz w:val="22"/>
                <w:szCs w:val="22"/>
              </w:rPr>
              <w:t>1875 (Преимущество)</w:t>
            </w:r>
          </w:p>
        </w:tc>
      </w:tr>
      <w:tr w:rsidR="00160D62" w:rsidRPr="00160D62" w14:paraId="7BF5C6F8" w14:textId="77777777" w:rsidTr="00561670">
        <w:trPr>
          <w:trHeight w:val="1260"/>
        </w:trPr>
        <w:tc>
          <w:tcPr>
            <w:tcW w:w="1980" w:type="dxa"/>
            <w:hideMark/>
          </w:tcPr>
          <w:p w14:paraId="0159F763" w14:textId="77777777" w:rsidR="00561670" w:rsidRPr="00160D62" w:rsidRDefault="00561670" w:rsidP="00561670">
            <w:pPr>
              <w:jc w:val="center"/>
              <w:rPr>
                <w:sz w:val="22"/>
                <w:szCs w:val="22"/>
              </w:rPr>
            </w:pPr>
            <w:r w:rsidRPr="00160D62">
              <w:rPr>
                <w:sz w:val="22"/>
                <w:szCs w:val="22"/>
              </w:rPr>
              <w:t>1</w:t>
            </w:r>
          </w:p>
        </w:tc>
        <w:tc>
          <w:tcPr>
            <w:tcW w:w="2680" w:type="dxa"/>
            <w:hideMark/>
          </w:tcPr>
          <w:p w14:paraId="737445F0" w14:textId="77777777" w:rsidR="00561670" w:rsidRPr="00160D62" w:rsidRDefault="00561670" w:rsidP="00561670">
            <w:pPr>
              <w:jc w:val="center"/>
              <w:rPr>
                <w:sz w:val="22"/>
                <w:szCs w:val="22"/>
              </w:rPr>
            </w:pPr>
            <w:r w:rsidRPr="00160D62">
              <w:rPr>
                <w:sz w:val="22"/>
                <w:szCs w:val="22"/>
              </w:rPr>
              <w:t>62.01.11.000</w:t>
            </w:r>
          </w:p>
        </w:tc>
        <w:tc>
          <w:tcPr>
            <w:tcW w:w="8200" w:type="dxa"/>
            <w:hideMark/>
          </w:tcPr>
          <w:p w14:paraId="4EABF223" w14:textId="77777777" w:rsidR="00561670" w:rsidRPr="00160D62" w:rsidRDefault="00561670" w:rsidP="00561670">
            <w:pPr>
              <w:jc w:val="center"/>
              <w:rPr>
                <w:sz w:val="22"/>
                <w:szCs w:val="22"/>
              </w:rPr>
            </w:pPr>
            <w:r w:rsidRPr="00160D62">
              <w:rPr>
                <w:sz w:val="22"/>
                <w:szCs w:val="22"/>
              </w:rPr>
              <w:t xml:space="preserve">Разработка и поставка отраслевого решения для автоматизации теплоэнергетических, </w:t>
            </w:r>
            <w:proofErr w:type="spellStart"/>
            <w:r w:rsidRPr="00160D62">
              <w:rPr>
                <w:sz w:val="22"/>
                <w:szCs w:val="22"/>
              </w:rPr>
              <w:t>теплосбытовых</w:t>
            </w:r>
            <w:proofErr w:type="spellEnd"/>
            <w:r w:rsidRPr="00160D62">
              <w:rPr>
                <w:sz w:val="22"/>
                <w:szCs w:val="22"/>
              </w:rPr>
              <w:t xml:space="preserve"> компаний, тепловых сетей, тепловых и инженерных сетей на базе платформы 1С: Предприятие 8.3, а также услуга по настройке, адаптации, модификации, внедрению и со</w:t>
            </w:r>
          </w:p>
        </w:tc>
        <w:tc>
          <w:tcPr>
            <w:tcW w:w="8200" w:type="dxa"/>
            <w:hideMark/>
          </w:tcPr>
          <w:p w14:paraId="357507F3" w14:textId="77777777" w:rsidR="00561670" w:rsidRPr="00160D62" w:rsidRDefault="00561670" w:rsidP="00561670">
            <w:pPr>
              <w:jc w:val="center"/>
              <w:rPr>
                <w:sz w:val="22"/>
                <w:szCs w:val="22"/>
              </w:rPr>
            </w:pPr>
            <w:r w:rsidRPr="00160D62">
              <w:rPr>
                <w:sz w:val="22"/>
                <w:szCs w:val="22"/>
              </w:rPr>
              <w:t>Применено</w:t>
            </w:r>
            <w:r w:rsidRPr="00160D62">
              <w:rPr>
                <w:sz w:val="22"/>
                <w:szCs w:val="22"/>
              </w:rPr>
              <w:br/>
              <w:t>поз. 146 - Программа для электронной вычислительной машины и (или) базы данных</w:t>
            </w:r>
          </w:p>
        </w:tc>
        <w:tc>
          <w:tcPr>
            <w:tcW w:w="4580" w:type="dxa"/>
            <w:hideMark/>
          </w:tcPr>
          <w:p w14:paraId="65BEC9F2" w14:textId="77777777" w:rsidR="00561670" w:rsidRPr="00160D62" w:rsidRDefault="00561670" w:rsidP="00561670">
            <w:pPr>
              <w:jc w:val="center"/>
              <w:rPr>
                <w:sz w:val="22"/>
                <w:szCs w:val="22"/>
              </w:rPr>
            </w:pPr>
          </w:p>
        </w:tc>
        <w:tc>
          <w:tcPr>
            <w:tcW w:w="4960" w:type="dxa"/>
            <w:hideMark/>
          </w:tcPr>
          <w:p w14:paraId="63562C7E" w14:textId="77777777" w:rsidR="00561670" w:rsidRPr="00160D62" w:rsidRDefault="00561670" w:rsidP="00561670">
            <w:pPr>
              <w:jc w:val="center"/>
              <w:rPr>
                <w:sz w:val="22"/>
                <w:szCs w:val="22"/>
              </w:rPr>
            </w:pPr>
          </w:p>
        </w:tc>
      </w:tr>
    </w:tbl>
    <w:p w14:paraId="0B7E5D04" w14:textId="03624973" w:rsidR="00561670" w:rsidRPr="00160D62" w:rsidRDefault="00561670" w:rsidP="001F7BB5">
      <w:pPr>
        <w:jc w:val="center"/>
        <w:rPr>
          <w:b/>
          <w:bCs/>
          <w:sz w:val="22"/>
          <w:szCs w:val="22"/>
        </w:rPr>
      </w:pPr>
    </w:p>
    <w:p w14:paraId="6E19D187" w14:textId="5ACDFCC0" w:rsidR="00561670" w:rsidRPr="00160D62" w:rsidRDefault="00561670" w:rsidP="00561670">
      <w:pPr>
        <w:jc w:val="both"/>
        <w:rPr>
          <w:bCs/>
          <w:i/>
          <w:iCs/>
          <w:sz w:val="22"/>
          <w:szCs w:val="22"/>
          <w:lang w:val="ba-RU"/>
        </w:rPr>
      </w:pPr>
      <w:bookmarkStart w:id="0" w:name="_Hlk181802425"/>
      <w:bookmarkStart w:id="1" w:name="_Hlk221888732"/>
      <w:r w:rsidRPr="00160D62">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bookmarkEnd w:id="1"/>
    </w:p>
    <w:p w14:paraId="2B663D20" w14:textId="29978EE8" w:rsidR="00160D62" w:rsidRDefault="00160D62" w:rsidP="00160D62">
      <w:pPr>
        <w:jc w:val="right"/>
        <w:rPr>
          <w:bCs/>
          <w:sz w:val="22"/>
          <w:szCs w:val="22"/>
          <w:lang w:val="ba-RU"/>
        </w:rPr>
      </w:pPr>
      <w:r>
        <w:rPr>
          <w:bCs/>
          <w:sz w:val="22"/>
          <w:szCs w:val="22"/>
          <w:lang w:val="ba-RU"/>
        </w:rPr>
        <w:t>Таблица № 1</w:t>
      </w:r>
    </w:p>
    <w:p w14:paraId="36522D3A" w14:textId="74DA99F8" w:rsidR="00647643" w:rsidRPr="00647643" w:rsidRDefault="00647643" w:rsidP="00647643">
      <w:pPr>
        <w:jc w:val="center"/>
        <w:rPr>
          <w:b/>
          <w:sz w:val="22"/>
          <w:szCs w:val="22"/>
          <w:lang w:val="ba-RU"/>
        </w:rPr>
      </w:pPr>
      <w:r w:rsidRPr="00647643">
        <w:rPr>
          <w:b/>
          <w:sz w:val="22"/>
          <w:szCs w:val="22"/>
          <w:lang w:val="ba-RU"/>
        </w:rPr>
        <w:t xml:space="preserve">Технические и функциональные характеристики </w:t>
      </w:r>
    </w:p>
    <w:p w14:paraId="0151AA05" w14:textId="77777777" w:rsidR="00647643" w:rsidRPr="00160D62" w:rsidRDefault="00647643" w:rsidP="00647643">
      <w:pPr>
        <w:jc w:val="center"/>
        <w:rPr>
          <w:bCs/>
          <w:sz w:val="22"/>
          <w:szCs w:val="22"/>
          <w:lang w:val="ba-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1" w:type="dxa"/>
          <w:right w:w="0" w:type="dxa"/>
        </w:tblCellMar>
        <w:tblLook w:val="04A0" w:firstRow="1" w:lastRow="0" w:firstColumn="1" w:lastColumn="0" w:noHBand="0" w:noVBand="1"/>
      </w:tblPr>
      <w:tblGrid>
        <w:gridCol w:w="648"/>
        <w:gridCol w:w="6628"/>
        <w:gridCol w:w="1619"/>
        <w:gridCol w:w="1158"/>
      </w:tblGrid>
      <w:tr w:rsidR="00160D62" w:rsidRPr="00160D62" w14:paraId="1A326690" w14:textId="77777777" w:rsidTr="00FD275B">
        <w:trPr>
          <w:trHeight w:val="20"/>
          <w:tblCellSpacing w:w="0" w:type="dxa"/>
        </w:trPr>
        <w:tc>
          <w:tcPr>
            <w:tcW w:w="648" w:type="dxa"/>
            <w:tcMar>
              <w:top w:w="0" w:type="dxa"/>
              <w:left w:w="108" w:type="dxa"/>
              <w:bottom w:w="0" w:type="dxa"/>
              <w:right w:w="108" w:type="dxa"/>
            </w:tcMar>
            <w:hideMark/>
          </w:tcPr>
          <w:p w14:paraId="7B311DA2" w14:textId="77777777" w:rsidR="00160D62" w:rsidRPr="00160D62" w:rsidRDefault="00160D62" w:rsidP="00160D62">
            <w:pPr>
              <w:overflowPunct/>
              <w:autoSpaceDE/>
              <w:autoSpaceDN/>
              <w:adjustRightInd/>
              <w:ind w:left="-5" w:hanging="197"/>
              <w:jc w:val="center"/>
              <w:textAlignment w:val="auto"/>
              <w:rPr>
                <w:sz w:val="22"/>
                <w:szCs w:val="22"/>
              </w:rPr>
            </w:pPr>
            <w:r w:rsidRPr="00160D62">
              <w:rPr>
                <w:b/>
                <w:bCs/>
                <w:color w:val="000000"/>
                <w:sz w:val="22"/>
                <w:szCs w:val="22"/>
              </w:rPr>
              <w:t>№</w:t>
            </w:r>
          </w:p>
          <w:p w14:paraId="264AC3FE" w14:textId="77777777" w:rsidR="00160D62" w:rsidRPr="00160D62" w:rsidRDefault="00160D62" w:rsidP="00160D62">
            <w:pPr>
              <w:overflowPunct/>
              <w:autoSpaceDE/>
              <w:autoSpaceDN/>
              <w:adjustRightInd/>
              <w:ind w:left="-5" w:hanging="197"/>
              <w:jc w:val="center"/>
              <w:textAlignment w:val="auto"/>
              <w:rPr>
                <w:sz w:val="22"/>
                <w:szCs w:val="22"/>
              </w:rPr>
            </w:pPr>
            <w:r w:rsidRPr="00160D62">
              <w:rPr>
                <w:b/>
                <w:bCs/>
                <w:color w:val="000000"/>
                <w:sz w:val="22"/>
                <w:szCs w:val="22"/>
              </w:rPr>
              <w:t>п/п</w:t>
            </w:r>
          </w:p>
        </w:tc>
        <w:tc>
          <w:tcPr>
            <w:tcW w:w="6628" w:type="dxa"/>
            <w:tcMar>
              <w:top w:w="0" w:type="dxa"/>
              <w:left w:w="108" w:type="dxa"/>
              <w:bottom w:w="0" w:type="dxa"/>
              <w:right w:w="108" w:type="dxa"/>
            </w:tcMar>
            <w:hideMark/>
          </w:tcPr>
          <w:p w14:paraId="1D4DAFBB" w14:textId="77777777" w:rsidR="00160D62" w:rsidRPr="00160D62" w:rsidRDefault="00160D62" w:rsidP="00160D62">
            <w:pPr>
              <w:overflowPunct/>
              <w:autoSpaceDE/>
              <w:autoSpaceDN/>
              <w:adjustRightInd/>
              <w:ind w:right="1"/>
              <w:jc w:val="center"/>
              <w:textAlignment w:val="auto"/>
              <w:rPr>
                <w:sz w:val="22"/>
                <w:szCs w:val="22"/>
              </w:rPr>
            </w:pPr>
            <w:r w:rsidRPr="00160D62">
              <w:rPr>
                <w:b/>
                <w:bCs/>
                <w:color w:val="000000"/>
                <w:sz w:val="22"/>
                <w:szCs w:val="22"/>
              </w:rPr>
              <w:t>Программный продукт</w:t>
            </w:r>
          </w:p>
        </w:tc>
        <w:tc>
          <w:tcPr>
            <w:tcW w:w="1619" w:type="dxa"/>
            <w:tcMar>
              <w:top w:w="0" w:type="dxa"/>
              <w:left w:w="108" w:type="dxa"/>
              <w:bottom w:w="0" w:type="dxa"/>
              <w:right w:w="108" w:type="dxa"/>
            </w:tcMar>
            <w:hideMark/>
          </w:tcPr>
          <w:p w14:paraId="485B6536" w14:textId="77777777" w:rsidR="00160D62" w:rsidRPr="00160D62" w:rsidRDefault="00160D62" w:rsidP="00160D62">
            <w:pPr>
              <w:overflowPunct/>
              <w:autoSpaceDE/>
              <w:autoSpaceDN/>
              <w:adjustRightInd/>
              <w:ind w:left="51"/>
              <w:jc w:val="center"/>
              <w:textAlignment w:val="auto"/>
              <w:rPr>
                <w:sz w:val="22"/>
                <w:szCs w:val="22"/>
              </w:rPr>
            </w:pPr>
            <w:r w:rsidRPr="00160D62">
              <w:rPr>
                <w:b/>
                <w:bCs/>
                <w:color w:val="000000"/>
                <w:sz w:val="22"/>
                <w:szCs w:val="22"/>
              </w:rPr>
              <w:t>Срок действия прав</w:t>
            </w:r>
          </w:p>
        </w:tc>
        <w:tc>
          <w:tcPr>
            <w:tcW w:w="1158" w:type="dxa"/>
            <w:tcMar>
              <w:top w:w="0" w:type="dxa"/>
              <w:left w:w="108" w:type="dxa"/>
              <w:bottom w:w="0" w:type="dxa"/>
              <w:right w:w="108" w:type="dxa"/>
            </w:tcMar>
            <w:hideMark/>
          </w:tcPr>
          <w:p w14:paraId="314EFA20" w14:textId="77777777" w:rsidR="00160D62" w:rsidRPr="00160D62" w:rsidRDefault="00160D62" w:rsidP="00160D62">
            <w:pPr>
              <w:overflowPunct/>
              <w:autoSpaceDE/>
              <w:autoSpaceDN/>
              <w:adjustRightInd/>
              <w:ind w:left="156"/>
              <w:jc w:val="center"/>
              <w:textAlignment w:val="auto"/>
              <w:rPr>
                <w:sz w:val="22"/>
                <w:szCs w:val="22"/>
              </w:rPr>
            </w:pPr>
            <w:r w:rsidRPr="00160D62">
              <w:rPr>
                <w:b/>
                <w:bCs/>
                <w:color w:val="000000"/>
                <w:sz w:val="22"/>
                <w:szCs w:val="22"/>
              </w:rPr>
              <w:t>Кол-во</w:t>
            </w:r>
          </w:p>
          <w:p w14:paraId="3DDE74C4" w14:textId="77777777" w:rsidR="00160D62" w:rsidRPr="00160D62" w:rsidRDefault="00160D62" w:rsidP="00160D62">
            <w:pPr>
              <w:overflowPunct/>
              <w:autoSpaceDE/>
              <w:autoSpaceDN/>
              <w:adjustRightInd/>
              <w:ind w:right="45"/>
              <w:jc w:val="center"/>
              <w:textAlignment w:val="auto"/>
              <w:rPr>
                <w:sz w:val="22"/>
                <w:szCs w:val="22"/>
              </w:rPr>
            </w:pPr>
            <w:r w:rsidRPr="00160D62">
              <w:rPr>
                <w:b/>
                <w:bCs/>
                <w:color w:val="000000"/>
                <w:sz w:val="22"/>
                <w:szCs w:val="22"/>
              </w:rPr>
              <w:t>(шт.)</w:t>
            </w:r>
          </w:p>
        </w:tc>
      </w:tr>
      <w:tr w:rsidR="00160D62" w:rsidRPr="00160D62" w14:paraId="135B4DC0" w14:textId="77777777" w:rsidTr="00FD275B">
        <w:trPr>
          <w:trHeight w:val="20"/>
          <w:tblCellSpacing w:w="0" w:type="dxa"/>
        </w:trPr>
        <w:tc>
          <w:tcPr>
            <w:tcW w:w="648" w:type="dxa"/>
            <w:tcMar>
              <w:top w:w="0" w:type="dxa"/>
              <w:left w:w="108" w:type="dxa"/>
              <w:bottom w:w="0" w:type="dxa"/>
              <w:right w:w="108" w:type="dxa"/>
            </w:tcMar>
            <w:hideMark/>
          </w:tcPr>
          <w:p w14:paraId="1A95503F"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1.</w:t>
            </w:r>
          </w:p>
        </w:tc>
        <w:tc>
          <w:tcPr>
            <w:tcW w:w="6628" w:type="dxa"/>
            <w:tcMar>
              <w:top w:w="0" w:type="dxa"/>
              <w:left w:w="108" w:type="dxa"/>
              <w:bottom w:w="0" w:type="dxa"/>
              <w:right w:w="108" w:type="dxa"/>
            </w:tcMar>
            <w:hideMark/>
          </w:tcPr>
          <w:p w14:paraId="6D34419F"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1</w:t>
            </w:r>
            <w:proofErr w:type="gramStart"/>
            <w:r w:rsidRPr="00160D62">
              <w:rPr>
                <w:color w:val="000000"/>
                <w:sz w:val="22"/>
                <w:szCs w:val="22"/>
              </w:rPr>
              <w:t>С:Предприятие</w:t>
            </w:r>
            <w:proofErr w:type="gramEnd"/>
            <w:r w:rsidRPr="00160D62">
              <w:rPr>
                <w:color w:val="000000"/>
                <w:sz w:val="22"/>
                <w:szCs w:val="22"/>
              </w:rPr>
              <w:t xml:space="preserve"> 8. Управление </w:t>
            </w:r>
            <w:proofErr w:type="spellStart"/>
            <w:r w:rsidRPr="00160D62">
              <w:rPr>
                <w:color w:val="000000"/>
                <w:sz w:val="22"/>
                <w:szCs w:val="22"/>
              </w:rPr>
              <w:t>тепловодоканалом</w:t>
            </w:r>
            <w:proofErr w:type="spellEnd"/>
            <w:r w:rsidRPr="00160D62">
              <w:rPr>
                <w:color w:val="000000"/>
                <w:sz w:val="22"/>
                <w:szCs w:val="22"/>
              </w:rPr>
              <w:t xml:space="preserve"> 2. Электронная поставка</w:t>
            </w:r>
          </w:p>
        </w:tc>
        <w:tc>
          <w:tcPr>
            <w:tcW w:w="1619" w:type="dxa"/>
            <w:tcMar>
              <w:top w:w="0" w:type="dxa"/>
              <w:left w:w="108" w:type="dxa"/>
              <w:bottom w:w="0" w:type="dxa"/>
              <w:right w:w="108" w:type="dxa"/>
            </w:tcMar>
            <w:hideMark/>
          </w:tcPr>
          <w:p w14:paraId="3F8C899E" w14:textId="77777777" w:rsidR="00160D62" w:rsidRPr="00160D62" w:rsidRDefault="00160D62" w:rsidP="00160D62">
            <w:pPr>
              <w:overflowPunct/>
              <w:autoSpaceDE/>
              <w:autoSpaceDN/>
              <w:adjustRightInd/>
              <w:ind w:left="51"/>
              <w:jc w:val="center"/>
              <w:textAlignment w:val="auto"/>
              <w:rPr>
                <w:sz w:val="22"/>
                <w:szCs w:val="22"/>
              </w:rPr>
            </w:pPr>
            <w:r w:rsidRPr="00160D62">
              <w:rPr>
                <w:color w:val="000000"/>
                <w:sz w:val="22"/>
                <w:szCs w:val="22"/>
              </w:rPr>
              <w:t>Бессрочно</w:t>
            </w:r>
          </w:p>
        </w:tc>
        <w:tc>
          <w:tcPr>
            <w:tcW w:w="1158" w:type="dxa"/>
            <w:tcMar>
              <w:top w:w="0" w:type="dxa"/>
              <w:left w:w="108" w:type="dxa"/>
              <w:bottom w:w="0" w:type="dxa"/>
              <w:right w:w="108" w:type="dxa"/>
            </w:tcMar>
            <w:hideMark/>
          </w:tcPr>
          <w:p w14:paraId="3E9FCBD4"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18BB3B0E" w14:textId="77777777" w:rsidTr="00FD275B">
        <w:trPr>
          <w:trHeight w:val="20"/>
          <w:tblCellSpacing w:w="0" w:type="dxa"/>
        </w:trPr>
        <w:tc>
          <w:tcPr>
            <w:tcW w:w="648" w:type="dxa"/>
            <w:tcMar>
              <w:top w:w="0" w:type="dxa"/>
              <w:left w:w="108" w:type="dxa"/>
              <w:bottom w:w="0" w:type="dxa"/>
              <w:right w:w="108" w:type="dxa"/>
            </w:tcMar>
            <w:hideMark/>
          </w:tcPr>
          <w:p w14:paraId="30C26809"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2.</w:t>
            </w:r>
          </w:p>
        </w:tc>
        <w:tc>
          <w:tcPr>
            <w:tcW w:w="6628" w:type="dxa"/>
            <w:tcMar>
              <w:top w:w="0" w:type="dxa"/>
              <w:left w:w="108" w:type="dxa"/>
              <w:bottom w:w="0" w:type="dxa"/>
              <w:right w:w="108" w:type="dxa"/>
            </w:tcMar>
            <w:hideMark/>
          </w:tcPr>
          <w:p w14:paraId="2D1DFE55"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1</w:t>
            </w:r>
            <w:proofErr w:type="gramStart"/>
            <w:r w:rsidRPr="00160D62">
              <w:rPr>
                <w:color w:val="000000"/>
                <w:sz w:val="22"/>
                <w:szCs w:val="22"/>
              </w:rPr>
              <w:t>С:Управление</w:t>
            </w:r>
            <w:proofErr w:type="gramEnd"/>
            <w:r w:rsidRPr="00160D62">
              <w:rPr>
                <w:color w:val="000000"/>
                <w:sz w:val="22"/>
                <w:szCs w:val="22"/>
              </w:rPr>
              <w:t> </w:t>
            </w:r>
            <w:proofErr w:type="spellStart"/>
            <w:r w:rsidRPr="00160D62">
              <w:rPr>
                <w:color w:val="000000"/>
                <w:sz w:val="22"/>
                <w:szCs w:val="22"/>
              </w:rPr>
              <w:t>тепловодоканалом</w:t>
            </w:r>
            <w:proofErr w:type="spellEnd"/>
            <w:r w:rsidRPr="00160D62">
              <w:rPr>
                <w:color w:val="000000"/>
                <w:sz w:val="22"/>
                <w:szCs w:val="22"/>
              </w:rPr>
              <w:t xml:space="preserve"> 2. Клиентская лицензия на 10 рабочих мест. Электронная поставка</w:t>
            </w:r>
          </w:p>
        </w:tc>
        <w:tc>
          <w:tcPr>
            <w:tcW w:w="1619" w:type="dxa"/>
            <w:tcMar>
              <w:top w:w="0" w:type="dxa"/>
              <w:left w:w="108" w:type="dxa"/>
              <w:bottom w:w="0" w:type="dxa"/>
              <w:right w:w="108" w:type="dxa"/>
            </w:tcMar>
            <w:hideMark/>
          </w:tcPr>
          <w:p w14:paraId="507A2B28" w14:textId="6A3188E7" w:rsidR="00160D62" w:rsidRPr="00160D62" w:rsidRDefault="00160D62" w:rsidP="00160D62">
            <w:pPr>
              <w:overflowPunct/>
              <w:autoSpaceDE/>
              <w:autoSpaceDN/>
              <w:adjustRightInd/>
              <w:jc w:val="center"/>
              <w:textAlignment w:val="auto"/>
              <w:rPr>
                <w:sz w:val="22"/>
                <w:szCs w:val="22"/>
              </w:rPr>
            </w:pPr>
            <w:r w:rsidRPr="00160D62">
              <w:rPr>
                <w:sz w:val="22"/>
                <w:szCs w:val="22"/>
              </w:rPr>
              <w:t> </w:t>
            </w:r>
            <w:r w:rsidRPr="00160D62">
              <w:rPr>
                <w:color w:val="000000"/>
                <w:sz w:val="22"/>
                <w:szCs w:val="22"/>
              </w:rPr>
              <w:t>Бессрочно</w:t>
            </w:r>
          </w:p>
        </w:tc>
        <w:tc>
          <w:tcPr>
            <w:tcW w:w="1158" w:type="dxa"/>
            <w:tcMar>
              <w:top w:w="0" w:type="dxa"/>
              <w:left w:w="108" w:type="dxa"/>
              <w:bottom w:w="0" w:type="dxa"/>
              <w:right w:w="108" w:type="dxa"/>
            </w:tcMar>
            <w:hideMark/>
          </w:tcPr>
          <w:p w14:paraId="345AC16D"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4FB50C2D" w14:textId="77777777" w:rsidTr="00FD275B">
        <w:trPr>
          <w:trHeight w:val="20"/>
          <w:tblCellSpacing w:w="0" w:type="dxa"/>
        </w:trPr>
        <w:tc>
          <w:tcPr>
            <w:tcW w:w="648" w:type="dxa"/>
            <w:tcMar>
              <w:top w:w="0" w:type="dxa"/>
              <w:left w:w="108" w:type="dxa"/>
              <w:bottom w:w="0" w:type="dxa"/>
              <w:right w:w="108" w:type="dxa"/>
            </w:tcMar>
            <w:hideMark/>
          </w:tcPr>
          <w:p w14:paraId="61D5545C"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3.</w:t>
            </w:r>
          </w:p>
        </w:tc>
        <w:tc>
          <w:tcPr>
            <w:tcW w:w="6628" w:type="dxa"/>
            <w:tcMar>
              <w:top w:w="0" w:type="dxa"/>
              <w:left w:w="108" w:type="dxa"/>
              <w:bottom w:w="0" w:type="dxa"/>
              <w:right w:w="108" w:type="dxa"/>
            </w:tcMar>
            <w:hideMark/>
          </w:tcPr>
          <w:p w14:paraId="50124A2D"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Сетевые решения: Ассистент ГИС ЖКХ. Стандарт. Электронная поставка</w:t>
            </w:r>
          </w:p>
        </w:tc>
        <w:tc>
          <w:tcPr>
            <w:tcW w:w="1619" w:type="dxa"/>
            <w:tcMar>
              <w:top w:w="0" w:type="dxa"/>
              <w:left w:w="108" w:type="dxa"/>
              <w:bottom w:w="0" w:type="dxa"/>
              <w:right w:w="108" w:type="dxa"/>
            </w:tcMar>
            <w:hideMark/>
          </w:tcPr>
          <w:p w14:paraId="713B9887" w14:textId="77777777" w:rsidR="00160D62" w:rsidRPr="00160D62" w:rsidRDefault="00160D62" w:rsidP="00160D62">
            <w:pPr>
              <w:overflowPunct/>
              <w:autoSpaceDE/>
              <w:autoSpaceDN/>
              <w:adjustRightInd/>
              <w:jc w:val="center"/>
              <w:textAlignment w:val="auto"/>
              <w:rPr>
                <w:sz w:val="22"/>
                <w:szCs w:val="22"/>
              </w:rPr>
            </w:pPr>
            <w:r w:rsidRPr="00160D62">
              <w:rPr>
                <w:color w:val="000000"/>
                <w:sz w:val="22"/>
                <w:szCs w:val="22"/>
              </w:rPr>
              <w:t>Бессрочно</w:t>
            </w:r>
          </w:p>
        </w:tc>
        <w:tc>
          <w:tcPr>
            <w:tcW w:w="1158" w:type="dxa"/>
            <w:tcMar>
              <w:top w:w="0" w:type="dxa"/>
              <w:left w:w="108" w:type="dxa"/>
              <w:bottom w:w="0" w:type="dxa"/>
              <w:right w:w="108" w:type="dxa"/>
            </w:tcMar>
            <w:hideMark/>
          </w:tcPr>
          <w:p w14:paraId="2F9A5B80"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30622AF2" w14:textId="77777777" w:rsidTr="00FD275B">
        <w:trPr>
          <w:trHeight w:val="20"/>
          <w:tblCellSpacing w:w="0" w:type="dxa"/>
        </w:trPr>
        <w:tc>
          <w:tcPr>
            <w:tcW w:w="648" w:type="dxa"/>
            <w:tcMar>
              <w:top w:w="0" w:type="dxa"/>
              <w:left w:w="108" w:type="dxa"/>
              <w:bottom w:w="0" w:type="dxa"/>
              <w:right w:w="108" w:type="dxa"/>
            </w:tcMar>
            <w:hideMark/>
          </w:tcPr>
          <w:p w14:paraId="6FA0E98B"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4.</w:t>
            </w:r>
          </w:p>
        </w:tc>
        <w:tc>
          <w:tcPr>
            <w:tcW w:w="6628" w:type="dxa"/>
            <w:tcMar>
              <w:top w:w="0" w:type="dxa"/>
              <w:left w:w="108" w:type="dxa"/>
              <w:bottom w:w="0" w:type="dxa"/>
              <w:right w:w="108" w:type="dxa"/>
            </w:tcMar>
            <w:hideMark/>
          </w:tcPr>
          <w:p w14:paraId="0B2C797A"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 xml:space="preserve">Софт-портал: Личный кабинет абонента (физического лица) </w:t>
            </w:r>
            <w:proofErr w:type="spellStart"/>
            <w:r w:rsidRPr="00160D62">
              <w:rPr>
                <w:color w:val="000000"/>
                <w:sz w:val="22"/>
                <w:szCs w:val="22"/>
              </w:rPr>
              <w:t>тепловодоканала</w:t>
            </w:r>
            <w:proofErr w:type="spellEnd"/>
          </w:p>
        </w:tc>
        <w:tc>
          <w:tcPr>
            <w:tcW w:w="1619" w:type="dxa"/>
            <w:tcMar>
              <w:top w:w="0" w:type="dxa"/>
              <w:left w:w="108" w:type="dxa"/>
              <w:bottom w:w="0" w:type="dxa"/>
              <w:right w:w="108" w:type="dxa"/>
            </w:tcMar>
            <w:hideMark/>
          </w:tcPr>
          <w:p w14:paraId="725303BE" w14:textId="72A87846" w:rsidR="00160D62" w:rsidRPr="00160D62" w:rsidRDefault="00160D62" w:rsidP="00160D62">
            <w:pPr>
              <w:overflowPunct/>
              <w:autoSpaceDE/>
              <w:autoSpaceDN/>
              <w:adjustRightInd/>
              <w:jc w:val="center"/>
              <w:textAlignment w:val="auto"/>
              <w:rPr>
                <w:sz w:val="22"/>
                <w:szCs w:val="22"/>
              </w:rPr>
            </w:pPr>
            <w:r w:rsidRPr="00160D62">
              <w:rPr>
                <w:sz w:val="22"/>
                <w:szCs w:val="22"/>
              </w:rPr>
              <w:t> </w:t>
            </w:r>
            <w:r w:rsidRPr="00160D62">
              <w:rPr>
                <w:color w:val="000000"/>
                <w:sz w:val="22"/>
                <w:szCs w:val="22"/>
              </w:rPr>
              <w:t>Бессрочно</w:t>
            </w:r>
          </w:p>
        </w:tc>
        <w:tc>
          <w:tcPr>
            <w:tcW w:w="1158" w:type="dxa"/>
            <w:tcMar>
              <w:top w:w="0" w:type="dxa"/>
              <w:left w:w="108" w:type="dxa"/>
              <w:bottom w:w="0" w:type="dxa"/>
              <w:right w:w="108" w:type="dxa"/>
            </w:tcMar>
            <w:hideMark/>
          </w:tcPr>
          <w:p w14:paraId="689828CD"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27B2FAE6" w14:textId="77777777" w:rsidTr="00FD275B">
        <w:trPr>
          <w:trHeight w:val="20"/>
          <w:tblCellSpacing w:w="0" w:type="dxa"/>
        </w:trPr>
        <w:tc>
          <w:tcPr>
            <w:tcW w:w="648" w:type="dxa"/>
            <w:tcMar>
              <w:top w:w="0" w:type="dxa"/>
              <w:left w:w="108" w:type="dxa"/>
              <w:bottom w:w="0" w:type="dxa"/>
              <w:right w:w="108" w:type="dxa"/>
            </w:tcMar>
            <w:hideMark/>
          </w:tcPr>
          <w:p w14:paraId="41166406"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5.</w:t>
            </w:r>
          </w:p>
        </w:tc>
        <w:tc>
          <w:tcPr>
            <w:tcW w:w="6628" w:type="dxa"/>
            <w:tcMar>
              <w:top w:w="0" w:type="dxa"/>
              <w:left w:w="108" w:type="dxa"/>
              <w:bottom w:w="0" w:type="dxa"/>
              <w:right w:w="108" w:type="dxa"/>
            </w:tcMar>
            <w:hideMark/>
          </w:tcPr>
          <w:p w14:paraId="1308196B"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 xml:space="preserve">Софт-портал: Личный кабинет абонента (юридического лица) </w:t>
            </w:r>
            <w:proofErr w:type="spellStart"/>
            <w:r w:rsidRPr="00160D62">
              <w:rPr>
                <w:color w:val="000000"/>
                <w:sz w:val="22"/>
                <w:szCs w:val="22"/>
              </w:rPr>
              <w:t>тепловодоканала</w:t>
            </w:r>
            <w:proofErr w:type="spellEnd"/>
          </w:p>
        </w:tc>
        <w:tc>
          <w:tcPr>
            <w:tcW w:w="1619" w:type="dxa"/>
            <w:tcMar>
              <w:top w:w="0" w:type="dxa"/>
              <w:left w:w="108" w:type="dxa"/>
              <w:bottom w:w="0" w:type="dxa"/>
              <w:right w:w="108" w:type="dxa"/>
            </w:tcMar>
            <w:hideMark/>
          </w:tcPr>
          <w:p w14:paraId="4A7CBDED" w14:textId="441B079F" w:rsidR="00160D62" w:rsidRPr="00160D62" w:rsidRDefault="00160D62" w:rsidP="00160D62">
            <w:pPr>
              <w:overflowPunct/>
              <w:autoSpaceDE/>
              <w:autoSpaceDN/>
              <w:adjustRightInd/>
              <w:jc w:val="center"/>
              <w:textAlignment w:val="auto"/>
              <w:rPr>
                <w:sz w:val="22"/>
                <w:szCs w:val="22"/>
              </w:rPr>
            </w:pPr>
            <w:r w:rsidRPr="00160D62">
              <w:rPr>
                <w:sz w:val="22"/>
                <w:szCs w:val="22"/>
              </w:rPr>
              <w:t> </w:t>
            </w:r>
            <w:r w:rsidRPr="00160D62">
              <w:rPr>
                <w:color w:val="000000"/>
                <w:sz w:val="22"/>
                <w:szCs w:val="22"/>
              </w:rPr>
              <w:t>Бессрочно</w:t>
            </w:r>
          </w:p>
        </w:tc>
        <w:tc>
          <w:tcPr>
            <w:tcW w:w="1158" w:type="dxa"/>
            <w:tcMar>
              <w:top w:w="0" w:type="dxa"/>
              <w:left w:w="108" w:type="dxa"/>
              <w:bottom w:w="0" w:type="dxa"/>
              <w:right w:w="108" w:type="dxa"/>
            </w:tcMar>
            <w:hideMark/>
          </w:tcPr>
          <w:p w14:paraId="42573C59"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4B813988" w14:textId="77777777" w:rsidTr="00FD275B">
        <w:trPr>
          <w:trHeight w:val="20"/>
          <w:tblCellSpacing w:w="0" w:type="dxa"/>
        </w:trPr>
        <w:tc>
          <w:tcPr>
            <w:tcW w:w="648" w:type="dxa"/>
            <w:tcMar>
              <w:top w:w="0" w:type="dxa"/>
              <w:left w:w="108" w:type="dxa"/>
              <w:bottom w:w="0" w:type="dxa"/>
              <w:right w:w="108" w:type="dxa"/>
            </w:tcMar>
            <w:hideMark/>
          </w:tcPr>
          <w:p w14:paraId="185017DC"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 xml:space="preserve">6. </w:t>
            </w:r>
          </w:p>
        </w:tc>
        <w:tc>
          <w:tcPr>
            <w:tcW w:w="6628" w:type="dxa"/>
            <w:tcMar>
              <w:top w:w="0" w:type="dxa"/>
              <w:left w:w="108" w:type="dxa"/>
              <w:bottom w:w="0" w:type="dxa"/>
              <w:right w:w="108" w:type="dxa"/>
            </w:tcMar>
            <w:hideMark/>
          </w:tcPr>
          <w:p w14:paraId="53AFFF47"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 xml:space="preserve">Софт-портал: Мобильное приложение абонента (физического лица) </w:t>
            </w:r>
            <w:proofErr w:type="spellStart"/>
            <w:r w:rsidRPr="00160D62">
              <w:rPr>
                <w:color w:val="000000"/>
                <w:sz w:val="22"/>
                <w:szCs w:val="22"/>
              </w:rPr>
              <w:t>тепловодоканала</w:t>
            </w:r>
            <w:proofErr w:type="spellEnd"/>
            <w:r w:rsidRPr="00160D62">
              <w:rPr>
                <w:color w:val="000000"/>
                <w:sz w:val="22"/>
                <w:szCs w:val="22"/>
              </w:rPr>
              <w:t> </w:t>
            </w:r>
          </w:p>
          <w:p w14:paraId="21E13504"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(0-50 тыс. лицевых счетов)</w:t>
            </w:r>
          </w:p>
        </w:tc>
        <w:tc>
          <w:tcPr>
            <w:tcW w:w="1619" w:type="dxa"/>
            <w:tcMar>
              <w:top w:w="0" w:type="dxa"/>
              <w:left w:w="108" w:type="dxa"/>
              <w:bottom w:w="0" w:type="dxa"/>
              <w:right w:w="108" w:type="dxa"/>
            </w:tcMar>
            <w:hideMark/>
          </w:tcPr>
          <w:p w14:paraId="525D4854" w14:textId="5C0031B5" w:rsidR="00160D62" w:rsidRPr="00160D62" w:rsidRDefault="00160D62" w:rsidP="00160D62">
            <w:pPr>
              <w:overflowPunct/>
              <w:autoSpaceDE/>
              <w:autoSpaceDN/>
              <w:adjustRightInd/>
              <w:jc w:val="center"/>
              <w:textAlignment w:val="auto"/>
              <w:rPr>
                <w:sz w:val="22"/>
                <w:szCs w:val="22"/>
              </w:rPr>
            </w:pPr>
            <w:r w:rsidRPr="00160D62">
              <w:rPr>
                <w:sz w:val="22"/>
                <w:szCs w:val="22"/>
              </w:rPr>
              <w:t> </w:t>
            </w:r>
            <w:r w:rsidRPr="00160D62">
              <w:rPr>
                <w:color w:val="000000"/>
                <w:sz w:val="22"/>
                <w:szCs w:val="22"/>
              </w:rPr>
              <w:t>Бессрочно</w:t>
            </w:r>
          </w:p>
        </w:tc>
        <w:tc>
          <w:tcPr>
            <w:tcW w:w="1158" w:type="dxa"/>
            <w:tcMar>
              <w:top w:w="0" w:type="dxa"/>
              <w:left w:w="108" w:type="dxa"/>
              <w:bottom w:w="0" w:type="dxa"/>
              <w:right w:w="108" w:type="dxa"/>
            </w:tcMar>
            <w:hideMark/>
          </w:tcPr>
          <w:p w14:paraId="7D65F552"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r w:rsidR="00160D62" w:rsidRPr="00160D62" w14:paraId="01415CF4" w14:textId="77777777" w:rsidTr="00FD275B">
        <w:trPr>
          <w:trHeight w:val="20"/>
          <w:tblCellSpacing w:w="0" w:type="dxa"/>
        </w:trPr>
        <w:tc>
          <w:tcPr>
            <w:tcW w:w="648" w:type="dxa"/>
            <w:tcMar>
              <w:top w:w="0" w:type="dxa"/>
              <w:left w:w="108" w:type="dxa"/>
              <w:bottom w:w="0" w:type="dxa"/>
              <w:right w:w="108" w:type="dxa"/>
            </w:tcMar>
            <w:hideMark/>
          </w:tcPr>
          <w:p w14:paraId="3789023B" w14:textId="77777777" w:rsidR="00160D62" w:rsidRPr="00160D62" w:rsidRDefault="00160D62" w:rsidP="00160D62">
            <w:pPr>
              <w:overflowPunct/>
              <w:autoSpaceDE/>
              <w:autoSpaceDN/>
              <w:adjustRightInd/>
              <w:ind w:left="-5" w:hanging="197"/>
              <w:jc w:val="center"/>
              <w:textAlignment w:val="auto"/>
              <w:rPr>
                <w:sz w:val="22"/>
                <w:szCs w:val="22"/>
              </w:rPr>
            </w:pPr>
            <w:r w:rsidRPr="00160D62">
              <w:rPr>
                <w:color w:val="000000"/>
                <w:sz w:val="22"/>
                <w:szCs w:val="22"/>
              </w:rPr>
              <w:t>7.</w:t>
            </w:r>
          </w:p>
        </w:tc>
        <w:tc>
          <w:tcPr>
            <w:tcW w:w="6628" w:type="dxa"/>
            <w:tcMar>
              <w:top w:w="0" w:type="dxa"/>
              <w:left w:w="108" w:type="dxa"/>
              <w:bottom w:w="0" w:type="dxa"/>
              <w:right w:w="108" w:type="dxa"/>
            </w:tcMar>
            <w:hideMark/>
          </w:tcPr>
          <w:p w14:paraId="1E275386" w14:textId="77777777" w:rsidR="00160D62" w:rsidRPr="00160D62" w:rsidRDefault="00160D62" w:rsidP="00160D62">
            <w:pPr>
              <w:overflowPunct/>
              <w:autoSpaceDE/>
              <w:autoSpaceDN/>
              <w:adjustRightInd/>
              <w:ind w:right="1"/>
              <w:jc w:val="center"/>
              <w:textAlignment w:val="auto"/>
              <w:rPr>
                <w:sz w:val="22"/>
                <w:szCs w:val="22"/>
              </w:rPr>
            </w:pPr>
            <w:r w:rsidRPr="00160D62">
              <w:rPr>
                <w:color w:val="000000"/>
                <w:sz w:val="22"/>
                <w:szCs w:val="22"/>
              </w:rPr>
              <w:t>1</w:t>
            </w:r>
            <w:proofErr w:type="gramStart"/>
            <w:r w:rsidRPr="00160D62">
              <w:rPr>
                <w:color w:val="000000"/>
                <w:sz w:val="22"/>
                <w:szCs w:val="22"/>
              </w:rPr>
              <w:t>С:КП</w:t>
            </w:r>
            <w:proofErr w:type="gramEnd"/>
            <w:r w:rsidRPr="00160D62">
              <w:rPr>
                <w:color w:val="000000"/>
                <w:sz w:val="22"/>
                <w:szCs w:val="22"/>
              </w:rPr>
              <w:t xml:space="preserve"> Отраслевой ПРОФ, 4-я Категория</w:t>
            </w:r>
          </w:p>
        </w:tc>
        <w:tc>
          <w:tcPr>
            <w:tcW w:w="1619" w:type="dxa"/>
            <w:tcMar>
              <w:top w:w="0" w:type="dxa"/>
              <w:left w:w="108" w:type="dxa"/>
              <w:bottom w:w="0" w:type="dxa"/>
              <w:right w:w="108" w:type="dxa"/>
            </w:tcMar>
            <w:hideMark/>
          </w:tcPr>
          <w:p w14:paraId="65BBF719" w14:textId="5DCB97CE" w:rsidR="00160D62" w:rsidRPr="00160D62" w:rsidRDefault="00160D62" w:rsidP="00160D62">
            <w:pPr>
              <w:overflowPunct/>
              <w:autoSpaceDE/>
              <w:autoSpaceDN/>
              <w:adjustRightInd/>
              <w:ind w:left="51"/>
              <w:jc w:val="center"/>
              <w:textAlignment w:val="auto"/>
              <w:rPr>
                <w:sz w:val="22"/>
                <w:szCs w:val="22"/>
              </w:rPr>
            </w:pPr>
            <w:r w:rsidRPr="00160D62">
              <w:rPr>
                <w:color w:val="000000"/>
                <w:sz w:val="22"/>
                <w:szCs w:val="22"/>
              </w:rPr>
              <w:t>не менее 12 месяцев</w:t>
            </w:r>
          </w:p>
        </w:tc>
        <w:tc>
          <w:tcPr>
            <w:tcW w:w="1158" w:type="dxa"/>
            <w:tcMar>
              <w:top w:w="0" w:type="dxa"/>
              <w:left w:w="108" w:type="dxa"/>
              <w:bottom w:w="0" w:type="dxa"/>
              <w:right w:w="108" w:type="dxa"/>
            </w:tcMar>
            <w:hideMark/>
          </w:tcPr>
          <w:p w14:paraId="55F3B3B0" w14:textId="77777777" w:rsidR="00160D62" w:rsidRPr="00160D62" w:rsidRDefault="00160D62" w:rsidP="00160D62">
            <w:pPr>
              <w:overflowPunct/>
              <w:autoSpaceDE/>
              <w:autoSpaceDN/>
              <w:adjustRightInd/>
              <w:ind w:left="156"/>
              <w:jc w:val="center"/>
              <w:textAlignment w:val="auto"/>
              <w:rPr>
                <w:sz w:val="22"/>
                <w:szCs w:val="22"/>
              </w:rPr>
            </w:pPr>
            <w:r w:rsidRPr="00160D62">
              <w:rPr>
                <w:color w:val="000000"/>
                <w:sz w:val="22"/>
                <w:szCs w:val="22"/>
              </w:rPr>
              <w:t>1</w:t>
            </w:r>
          </w:p>
        </w:tc>
      </w:tr>
    </w:tbl>
    <w:p w14:paraId="32F2FD6C" w14:textId="50350EC6" w:rsidR="00FD275B" w:rsidRPr="00FD275B" w:rsidRDefault="00FD275B" w:rsidP="00FD275B">
      <w:pPr>
        <w:jc w:val="both"/>
        <w:rPr>
          <w:i/>
          <w:iCs/>
          <w:sz w:val="22"/>
          <w:szCs w:val="22"/>
          <w:lang w:val="ba-RU"/>
        </w:rPr>
      </w:pPr>
      <w:bookmarkStart w:id="2" w:name="_Hlk198644066"/>
      <w:bookmarkStart w:id="3" w:name="_Hlk224745757"/>
      <w:r w:rsidRPr="00FD275B">
        <w:rPr>
          <w:i/>
          <w:iCs/>
          <w:sz w:val="22"/>
          <w:szCs w:val="22"/>
          <w:lang w:val="ba-RU"/>
        </w:rPr>
        <w:t xml:space="preserve">Необходимо обеспечить совместимость </w:t>
      </w:r>
      <w:bookmarkEnd w:id="2"/>
      <w:r w:rsidRPr="00FD275B">
        <w:rPr>
          <w:i/>
          <w:iCs/>
          <w:sz w:val="22"/>
          <w:szCs w:val="22"/>
          <w:lang w:val="ba-RU"/>
        </w:rPr>
        <w:t>разрабатываемой программы с установленным программным обеспечением Заказчика.</w:t>
      </w:r>
      <w:bookmarkEnd w:id="3"/>
    </w:p>
    <w:p w14:paraId="1C410BDA" w14:textId="77777777" w:rsidR="00160D62" w:rsidRPr="00647643" w:rsidRDefault="00160D62" w:rsidP="00561670">
      <w:pPr>
        <w:jc w:val="both"/>
        <w:rPr>
          <w:bCs/>
          <w:sz w:val="22"/>
          <w:szCs w:val="22"/>
          <w:lang w:val="ba-RU"/>
        </w:rPr>
      </w:pPr>
    </w:p>
    <w:p w14:paraId="35AB113A" w14:textId="35FF6CE2" w:rsidR="00561670" w:rsidRDefault="00561670" w:rsidP="001F7BB5">
      <w:pPr>
        <w:jc w:val="center"/>
        <w:rPr>
          <w:b/>
          <w:bCs/>
          <w:sz w:val="22"/>
          <w:szCs w:val="22"/>
        </w:rPr>
      </w:pPr>
    </w:p>
    <w:p w14:paraId="2300F032" w14:textId="77777777" w:rsidR="00CE1B6C" w:rsidRPr="00160D62" w:rsidRDefault="00CE1B6C" w:rsidP="001F7BB5">
      <w:pPr>
        <w:jc w:val="center"/>
        <w:rPr>
          <w:b/>
          <w:bCs/>
          <w:sz w:val="22"/>
          <w:szCs w:val="22"/>
        </w:rPr>
      </w:pPr>
    </w:p>
    <w:tbl>
      <w:tblPr>
        <w:tblW w:w="10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551"/>
        <w:gridCol w:w="7514"/>
      </w:tblGrid>
      <w:tr w:rsidR="00C06AAE" w:rsidRPr="00160D62" w14:paraId="12A475D0" w14:textId="77777777" w:rsidTr="00B41F06">
        <w:trPr>
          <w:trHeight w:val="425"/>
        </w:trPr>
        <w:tc>
          <w:tcPr>
            <w:tcW w:w="852" w:type="dxa"/>
          </w:tcPr>
          <w:p w14:paraId="3E94182D" w14:textId="77777777" w:rsidR="00326F1E" w:rsidRPr="00160D62" w:rsidRDefault="00C06AAE" w:rsidP="00C06AAE">
            <w:pPr>
              <w:rPr>
                <w:sz w:val="22"/>
                <w:szCs w:val="22"/>
              </w:rPr>
            </w:pPr>
            <w:r w:rsidRPr="00160D62">
              <w:rPr>
                <w:sz w:val="22"/>
                <w:szCs w:val="22"/>
              </w:rPr>
              <w:lastRenderedPageBreak/>
              <w:t>№</w:t>
            </w:r>
          </w:p>
          <w:p w14:paraId="527041E0" w14:textId="77777777" w:rsidR="00C06AAE" w:rsidRPr="00160D62" w:rsidRDefault="00C06AAE" w:rsidP="00C06AAE">
            <w:pPr>
              <w:rPr>
                <w:sz w:val="22"/>
                <w:szCs w:val="22"/>
              </w:rPr>
            </w:pPr>
            <w:r w:rsidRPr="00160D62">
              <w:rPr>
                <w:sz w:val="22"/>
                <w:szCs w:val="22"/>
              </w:rPr>
              <w:t>п/п</w:t>
            </w:r>
          </w:p>
        </w:tc>
        <w:tc>
          <w:tcPr>
            <w:tcW w:w="2551" w:type="dxa"/>
          </w:tcPr>
          <w:p w14:paraId="379C0BD0" w14:textId="77777777" w:rsidR="00C06AAE" w:rsidRPr="00160D62" w:rsidRDefault="00C06AAE" w:rsidP="005F4EC1">
            <w:pPr>
              <w:jc w:val="center"/>
              <w:rPr>
                <w:sz w:val="22"/>
                <w:szCs w:val="22"/>
              </w:rPr>
            </w:pPr>
            <w:r w:rsidRPr="00160D62">
              <w:rPr>
                <w:b/>
                <w:bCs/>
                <w:color w:val="000000"/>
                <w:sz w:val="22"/>
                <w:szCs w:val="22"/>
              </w:rPr>
              <w:t>Перечень основных данных и требований</w:t>
            </w:r>
          </w:p>
        </w:tc>
        <w:tc>
          <w:tcPr>
            <w:tcW w:w="7514" w:type="dxa"/>
          </w:tcPr>
          <w:p w14:paraId="787DF171" w14:textId="77777777" w:rsidR="00C06AAE" w:rsidRPr="00160D62" w:rsidRDefault="00C06AAE" w:rsidP="005F4EC1">
            <w:pPr>
              <w:jc w:val="center"/>
              <w:rPr>
                <w:sz w:val="22"/>
                <w:szCs w:val="22"/>
              </w:rPr>
            </w:pPr>
            <w:r w:rsidRPr="00160D62">
              <w:rPr>
                <w:b/>
                <w:bCs/>
                <w:color w:val="000000"/>
                <w:sz w:val="22"/>
                <w:szCs w:val="22"/>
              </w:rPr>
              <w:t>Содержание основных данных и требований</w:t>
            </w:r>
          </w:p>
        </w:tc>
      </w:tr>
      <w:tr w:rsidR="001F7BB5" w:rsidRPr="00160D62" w14:paraId="107FDD3D" w14:textId="77777777" w:rsidTr="00B41F06">
        <w:trPr>
          <w:trHeight w:val="343"/>
        </w:trPr>
        <w:tc>
          <w:tcPr>
            <w:tcW w:w="852" w:type="dxa"/>
          </w:tcPr>
          <w:p w14:paraId="4A48667B" w14:textId="77777777" w:rsidR="001F7BB5" w:rsidRPr="00160D62" w:rsidRDefault="001F7BB5" w:rsidP="00326F1E">
            <w:pPr>
              <w:numPr>
                <w:ilvl w:val="0"/>
                <w:numId w:val="1"/>
              </w:numPr>
              <w:rPr>
                <w:sz w:val="22"/>
                <w:szCs w:val="22"/>
              </w:rPr>
            </w:pPr>
          </w:p>
        </w:tc>
        <w:tc>
          <w:tcPr>
            <w:tcW w:w="2551" w:type="dxa"/>
          </w:tcPr>
          <w:p w14:paraId="5690662E" w14:textId="21F5573F" w:rsidR="001F7BB5" w:rsidRPr="00160D62" w:rsidRDefault="001F7BB5" w:rsidP="002B0716">
            <w:pPr>
              <w:rPr>
                <w:sz w:val="22"/>
                <w:szCs w:val="22"/>
                <w:highlight w:val="yellow"/>
              </w:rPr>
            </w:pPr>
            <w:r w:rsidRPr="00160D62">
              <w:rPr>
                <w:sz w:val="22"/>
                <w:szCs w:val="22"/>
              </w:rPr>
              <w:t xml:space="preserve">Предмет </w:t>
            </w:r>
            <w:r w:rsidR="00561670" w:rsidRPr="00160D62">
              <w:rPr>
                <w:sz w:val="22"/>
                <w:szCs w:val="22"/>
              </w:rPr>
              <w:t>Договора</w:t>
            </w:r>
            <w:r w:rsidRPr="00160D62">
              <w:rPr>
                <w:sz w:val="22"/>
                <w:szCs w:val="22"/>
              </w:rPr>
              <w:t xml:space="preserve"> (наименование)</w:t>
            </w:r>
          </w:p>
        </w:tc>
        <w:tc>
          <w:tcPr>
            <w:tcW w:w="7514" w:type="dxa"/>
          </w:tcPr>
          <w:p w14:paraId="7CACE952" w14:textId="706E180A" w:rsidR="001F7BB5" w:rsidRPr="00160D62" w:rsidRDefault="009E4F6C" w:rsidP="00D8506B">
            <w:pPr>
              <w:jc w:val="both"/>
              <w:rPr>
                <w:sz w:val="22"/>
                <w:szCs w:val="22"/>
                <w:highlight w:val="yellow"/>
              </w:rPr>
            </w:pPr>
            <w:bookmarkStart w:id="4" w:name="_gjdgxs" w:colFirst="0" w:colLast="0"/>
            <w:bookmarkEnd w:id="4"/>
            <w:r w:rsidRPr="00160D62">
              <w:rPr>
                <w:sz w:val="22"/>
                <w:szCs w:val="22"/>
              </w:rPr>
              <w:t>Разработка и поставка отраслевого</w:t>
            </w:r>
            <w:r w:rsidR="00561670" w:rsidRPr="00160D62">
              <w:rPr>
                <w:sz w:val="22"/>
                <w:szCs w:val="22"/>
              </w:rPr>
              <w:t xml:space="preserve"> </w:t>
            </w:r>
            <w:r w:rsidRPr="00160D62">
              <w:rPr>
                <w:sz w:val="22"/>
                <w:szCs w:val="22"/>
              </w:rPr>
              <w:t xml:space="preserve">решения для автоматизации теплоэнергетических, </w:t>
            </w:r>
            <w:proofErr w:type="spellStart"/>
            <w:r w:rsidRPr="00160D62">
              <w:rPr>
                <w:sz w:val="22"/>
                <w:szCs w:val="22"/>
              </w:rPr>
              <w:t>теплосбытовых</w:t>
            </w:r>
            <w:proofErr w:type="spellEnd"/>
            <w:r w:rsidRPr="00160D62">
              <w:rPr>
                <w:sz w:val="22"/>
                <w:szCs w:val="22"/>
              </w:rPr>
              <w:t xml:space="preserve"> компаний, тепловых сетей, тепловых и инженерных сетей на базе платформы 1С:</w:t>
            </w:r>
            <w:r w:rsidR="0045394F" w:rsidRPr="00160D62">
              <w:rPr>
                <w:sz w:val="22"/>
                <w:szCs w:val="22"/>
              </w:rPr>
              <w:t xml:space="preserve"> </w:t>
            </w:r>
            <w:r w:rsidRPr="00160D62">
              <w:rPr>
                <w:sz w:val="22"/>
                <w:szCs w:val="22"/>
              </w:rPr>
              <w:t>Предприятие 8.3</w:t>
            </w:r>
            <w:r w:rsidR="00FF6B71" w:rsidRPr="00160D62">
              <w:rPr>
                <w:sz w:val="22"/>
                <w:szCs w:val="22"/>
              </w:rPr>
              <w:t>, а также услуга по настройке, адаптации, модификации, внедрению и сопровождению программ для ЭВМ, баз данных.</w:t>
            </w:r>
          </w:p>
        </w:tc>
      </w:tr>
      <w:tr w:rsidR="00905025" w:rsidRPr="00160D62" w14:paraId="245FDC18" w14:textId="77777777" w:rsidTr="00B41F06">
        <w:trPr>
          <w:trHeight w:val="343"/>
        </w:trPr>
        <w:tc>
          <w:tcPr>
            <w:tcW w:w="852" w:type="dxa"/>
          </w:tcPr>
          <w:p w14:paraId="145716C0" w14:textId="77777777" w:rsidR="00905025" w:rsidRPr="00160D62" w:rsidRDefault="00905025" w:rsidP="00326F1E">
            <w:pPr>
              <w:numPr>
                <w:ilvl w:val="0"/>
                <w:numId w:val="1"/>
              </w:numPr>
              <w:rPr>
                <w:sz w:val="22"/>
                <w:szCs w:val="22"/>
              </w:rPr>
            </w:pPr>
          </w:p>
        </w:tc>
        <w:tc>
          <w:tcPr>
            <w:tcW w:w="2551" w:type="dxa"/>
          </w:tcPr>
          <w:p w14:paraId="6C106FF5" w14:textId="77777777" w:rsidR="00905025" w:rsidRPr="00160D62" w:rsidRDefault="00905025" w:rsidP="002B0716">
            <w:pPr>
              <w:rPr>
                <w:sz w:val="22"/>
                <w:szCs w:val="22"/>
              </w:rPr>
            </w:pPr>
            <w:r w:rsidRPr="00160D62">
              <w:rPr>
                <w:sz w:val="22"/>
                <w:szCs w:val="22"/>
              </w:rPr>
              <w:t>Заказчик</w:t>
            </w:r>
          </w:p>
        </w:tc>
        <w:tc>
          <w:tcPr>
            <w:tcW w:w="7514" w:type="dxa"/>
          </w:tcPr>
          <w:p w14:paraId="4DA3EA49" w14:textId="77777777" w:rsidR="00905025" w:rsidRPr="00160D62" w:rsidRDefault="009E4F6C" w:rsidP="00156F0D">
            <w:pPr>
              <w:jc w:val="both"/>
              <w:rPr>
                <w:sz w:val="22"/>
                <w:szCs w:val="22"/>
              </w:rPr>
            </w:pPr>
            <w:r w:rsidRPr="00160D62">
              <w:rPr>
                <w:sz w:val="22"/>
                <w:szCs w:val="22"/>
              </w:rPr>
              <w:t>МУП г. Новоалтайска «</w:t>
            </w:r>
            <w:proofErr w:type="spellStart"/>
            <w:r w:rsidRPr="00160D62">
              <w:rPr>
                <w:sz w:val="22"/>
                <w:szCs w:val="22"/>
              </w:rPr>
              <w:t>Новоалтайские</w:t>
            </w:r>
            <w:proofErr w:type="spellEnd"/>
            <w:r w:rsidRPr="00160D62">
              <w:rPr>
                <w:sz w:val="22"/>
                <w:szCs w:val="22"/>
              </w:rPr>
              <w:t xml:space="preserve"> тепловые сети» (НТС) — основное предприятие по производству и подаче тепла в Новоалтайске (Алтайский край), расположенное по адресу: 7-й микрорайон, 25. Компания занимается теплоснабжением, работает с клиентами по вопросам оплаты и передачи показаний.</w:t>
            </w:r>
          </w:p>
        </w:tc>
      </w:tr>
      <w:tr w:rsidR="00FE7F78" w:rsidRPr="00160D62" w14:paraId="62B82ECD" w14:textId="77777777" w:rsidTr="00B41F06">
        <w:trPr>
          <w:trHeight w:val="343"/>
        </w:trPr>
        <w:tc>
          <w:tcPr>
            <w:tcW w:w="852" w:type="dxa"/>
          </w:tcPr>
          <w:p w14:paraId="0C8B5BF0" w14:textId="77777777" w:rsidR="00FE7F78" w:rsidRPr="00160D62" w:rsidRDefault="00FE7F78" w:rsidP="00326F1E">
            <w:pPr>
              <w:numPr>
                <w:ilvl w:val="0"/>
                <w:numId w:val="1"/>
              </w:numPr>
              <w:rPr>
                <w:sz w:val="22"/>
                <w:szCs w:val="22"/>
              </w:rPr>
            </w:pPr>
          </w:p>
        </w:tc>
        <w:tc>
          <w:tcPr>
            <w:tcW w:w="2551" w:type="dxa"/>
          </w:tcPr>
          <w:p w14:paraId="5952CA25" w14:textId="77777777" w:rsidR="00FE7F78" w:rsidRPr="00160D62" w:rsidRDefault="009E4F6C" w:rsidP="002B0716">
            <w:pPr>
              <w:rPr>
                <w:sz w:val="22"/>
                <w:szCs w:val="22"/>
              </w:rPr>
            </w:pPr>
            <w:r w:rsidRPr="00160D62">
              <w:rPr>
                <w:sz w:val="22"/>
                <w:szCs w:val="22"/>
              </w:rPr>
              <w:t>Место нахождения, почтовый адрес и адрес электронной почты, номер контактного телефона Заказчика, с указанием информации об уполномоченном лице Заказчика.</w:t>
            </w:r>
          </w:p>
        </w:tc>
        <w:tc>
          <w:tcPr>
            <w:tcW w:w="7514" w:type="dxa"/>
          </w:tcPr>
          <w:p w14:paraId="5821E3FA" w14:textId="77777777" w:rsidR="009E4F6C" w:rsidRPr="00160D62" w:rsidRDefault="009E4F6C" w:rsidP="009E4F6C">
            <w:pPr>
              <w:jc w:val="both"/>
              <w:rPr>
                <w:sz w:val="22"/>
                <w:szCs w:val="22"/>
              </w:rPr>
            </w:pPr>
            <w:r w:rsidRPr="00160D62">
              <w:rPr>
                <w:sz w:val="22"/>
                <w:szCs w:val="22"/>
              </w:rPr>
              <w:t>Место нахождения заказчика: Новоалтайск (Алтайский край, 7-й микрорайон, 25</w:t>
            </w:r>
          </w:p>
          <w:p w14:paraId="2733D54C" w14:textId="77777777" w:rsidR="009E4F6C" w:rsidRPr="00160D62" w:rsidRDefault="009E4F6C" w:rsidP="009E4F6C">
            <w:pPr>
              <w:jc w:val="both"/>
              <w:rPr>
                <w:sz w:val="22"/>
                <w:szCs w:val="22"/>
              </w:rPr>
            </w:pPr>
            <w:r w:rsidRPr="00160D62">
              <w:rPr>
                <w:sz w:val="22"/>
                <w:szCs w:val="22"/>
              </w:rPr>
              <w:t>Почтовый адрес заказчика: Новоалтайск (Алтайский край, 7-й микрорайон, 25</w:t>
            </w:r>
          </w:p>
          <w:p w14:paraId="0A8A9888" w14:textId="77777777" w:rsidR="009E4F6C" w:rsidRPr="00160D62" w:rsidRDefault="009E4F6C" w:rsidP="009E4F6C">
            <w:pPr>
              <w:jc w:val="both"/>
              <w:rPr>
                <w:sz w:val="22"/>
                <w:szCs w:val="22"/>
              </w:rPr>
            </w:pPr>
            <w:r w:rsidRPr="00160D62">
              <w:rPr>
                <w:sz w:val="22"/>
                <w:szCs w:val="22"/>
              </w:rPr>
              <w:t>Эл. общий адрес mup-nts22@yandex.ru</w:t>
            </w:r>
          </w:p>
          <w:p w14:paraId="020A5DAC" w14:textId="77777777" w:rsidR="00FE7F78" w:rsidRPr="00160D62" w:rsidRDefault="00FE7F78" w:rsidP="009E4F6C">
            <w:pPr>
              <w:jc w:val="both"/>
              <w:rPr>
                <w:sz w:val="22"/>
                <w:szCs w:val="22"/>
              </w:rPr>
            </w:pPr>
          </w:p>
        </w:tc>
      </w:tr>
      <w:tr w:rsidR="00F510FA" w:rsidRPr="00160D62" w14:paraId="1183B938" w14:textId="77777777" w:rsidTr="00B41F06">
        <w:trPr>
          <w:trHeight w:val="343"/>
        </w:trPr>
        <w:tc>
          <w:tcPr>
            <w:tcW w:w="852" w:type="dxa"/>
          </w:tcPr>
          <w:p w14:paraId="6D627B3C" w14:textId="77777777" w:rsidR="00F510FA" w:rsidRPr="00160D62" w:rsidRDefault="00F510FA" w:rsidP="00326F1E">
            <w:pPr>
              <w:numPr>
                <w:ilvl w:val="0"/>
                <w:numId w:val="1"/>
              </w:numPr>
              <w:rPr>
                <w:sz w:val="22"/>
                <w:szCs w:val="22"/>
              </w:rPr>
            </w:pPr>
          </w:p>
        </w:tc>
        <w:tc>
          <w:tcPr>
            <w:tcW w:w="2551" w:type="dxa"/>
          </w:tcPr>
          <w:p w14:paraId="761EAEDF" w14:textId="77777777" w:rsidR="00F510FA" w:rsidRPr="00160D62" w:rsidRDefault="00F510FA" w:rsidP="002B0716">
            <w:pPr>
              <w:rPr>
                <w:sz w:val="22"/>
                <w:szCs w:val="22"/>
              </w:rPr>
            </w:pPr>
            <w:r w:rsidRPr="00160D62">
              <w:rPr>
                <w:sz w:val="22"/>
                <w:szCs w:val="22"/>
              </w:rPr>
              <w:t>Источник финансирования</w:t>
            </w:r>
          </w:p>
        </w:tc>
        <w:tc>
          <w:tcPr>
            <w:tcW w:w="7514" w:type="dxa"/>
          </w:tcPr>
          <w:p w14:paraId="12278771" w14:textId="77777777" w:rsidR="00F510FA" w:rsidRPr="00160D62" w:rsidRDefault="009E4F6C" w:rsidP="00232DCB">
            <w:pPr>
              <w:rPr>
                <w:rFonts w:eastAsia="Calibri"/>
                <w:sz w:val="22"/>
                <w:szCs w:val="22"/>
                <w:lang w:eastAsia="en-US"/>
              </w:rPr>
            </w:pPr>
            <w:r w:rsidRPr="00160D62">
              <w:rPr>
                <w:rFonts w:eastAsia="Calibri"/>
                <w:sz w:val="22"/>
                <w:szCs w:val="22"/>
                <w:lang w:eastAsia="en-US"/>
              </w:rPr>
              <w:t>Собственные средства предприятия</w:t>
            </w:r>
          </w:p>
        </w:tc>
      </w:tr>
      <w:tr w:rsidR="00946E59" w:rsidRPr="00160D62" w14:paraId="0E09887B" w14:textId="77777777" w:rsidTr="00B41F06">
        <w:trPr>
          <w:trHeight w:val="343"/>
        </w:trPr>
        <w:tc>
          <w:tcPr>
            <w:tcW w:w="852" w:type="dxa"/>
          </w:tcPr>
          <w:p w14:paraId="0565518B" w14:textId="77777777" w:rsidR="00946E59" w:rsidRPr="00160D62" w:rsidRDefault="00946E59" w:rsidP="00326F1E">
            <w:pPr>
              <w:numPr>
                <w:ilvl w:val="0"/>
                <w:numId w:val="1"/>
              </w:numPr>
              <w:rPr>
                <w:sz w:val="22"/>
                <w:szCs w:val="22"/>
              </w:rPr>
            </w:pPr>
          </w:p>
        </w:tc>
        <w:tc>
          <w:tcPr>
            <w:tcW w:w="2551" w:type="dxa"/>
          </w:tcPr>
          <w:p w14:paraId="1AF5FDD1" w14:textId="77777777" w:rsidR="00946E59" w:rsidRPr="00160D62" w:rsidRDefault="009E4F6C" w:rsidP="002B0716">
            <w:pPr>
              <w:rPr>
                <w:sz w:val="22"/>
                <w:szCs w:val="22"/>
              </w:rPr>
            </w:pPr>
            <w:r w:rsidRPr="00160D62">
              <w:rPr>
                <w:sz w:val="22"/>
                <w:szCs w:val="22"/>
              </w:rPr>
              <w:t>Количество поставляемого товара, объема выполняемых работ, оказываемых услуг, а также краткое описание предмета закупки</w:t>
            </w:r>
          </w:p>
        </w:tc>
        <w:tc>
          <w:tcPr>
            <w:tcW w:w="7514" w:type="dxa"/>
          </w:tcPr>
          <w:p w14:paraId="6A16F6DE" w14:textId="1408B7AB" w:rsidR="004E44A1" w:rsidRPr="00160D62" w:rsidRDefault="009E4F6C" w:rsidP="00647643">
            <w:pPr>
              <w:shd w:val="clear" w:color="auto" w:fill="FFFFFF"/>
              <w:overflowPunct/>
              <w:autoSpaceDE/>
              <w:autoSpaceDN/>
              <w:adjustRightInd/>
              <w:textAlignment w:val="auto"/>
              <w:rPr>
                <w:sz w:val="22"/>
                <w:szCs w:val="22"/>
                <w:shd w:val="clear" w:color="auto" w:fill="FFFFFF"/>
              </w:rPr>
            </w:pPr>
            <w:r w:rsidRPr="00160D62">
              <w:rPr>
                <w:sz w:val="22"/>
                <w:szCs w:val="22"/>
              </w:rPr>
              <w:t xml:space="preserve">В соответствие с </w:t>
            </w:r>
            <w:r w:rsidR="00160D62">
              <w:rPr>
                <w:sz w:val="22"/>
                <w:szCs w:val="22"/>
              </w:rPr>
              <w:t>Таблицей № 1</w:t>
            </w:r>
            <w:r w:rsidR="00647643">
              <w:rPr>
                <w:sz w:val="22"/>
                <w:szCs w:val="22"/>
              </w:rPr>
              <w:t xml:space="preserve"> </w:t>
            </w:r>
            <w:r w:rsidR="00647643" w:rsidRPr="00647643">
              <w:rPr>
                <w:sz w:val="22"/>
                <w:szCs w:val="22"/>
              </w:rPr>
              <w:t xml:space="preserve">Технические и функциональные характеристики </w:t>
            </w:r>
            <w:r w:rsidR="00647643">
              <w:rPr>
                <w:sz w:val="22"/>
                <w:szCs w:val="22"/>
              </w:rPr>
              <w:t xml:space="preserve">и Таблицей № 2 </w:t>
            </w:r>
            <w:r w:rsidR="00647643" w:rsidRPr="00647643">
              <w:rPr>
                <w:sz w:val="22"/>
                <w:szCs w:val="22"/>
              </w:rPr>
              <w:t>Календарный план оказания услуг</w:t>
            </w:r>
            <w:r w:rsidRPr="00160D62">
              <w:rPr>
                <w:sz w:val="22"/>
                <w:szCs w:val="22"/>
              </w:rPr>
              <w:t>.</w:t>
            </w:r>
          </w:p>
        </w:tc>
      </w:tr>
      <w:tr w:rsidR="009E4F6C" w:rsidRPr="00160D62" w14:paraId="11CFD6CB" w14:textId="77777777" w:rsidTr="00B41F06">
        <w:trPr>
          <w:trHeight w:val="383"/>
        </w:trPr>
        <w:tc>
          <w:tcPr>
            <w:tcW w:w="852" w:type="dxa"/>
          </w:tcPr>
          <w:p w14:paraId="1EC58464" w14:textId="77777777" w:rsidR="009E4F6C" w:rsidRPr="00160D62" w:rsidRDefault="009E4F6C" w:rsidP="00326F1E">
            <w:pPr>
              <w:numPr>
                <w:ilvl w:val="0"/>
                <w:numId w:val="1"/>
              </w:numPr>
              <w:rPr>
                <w:sz w:val="22"/>
                <w:szCs w:val="22"/>
              </w:rPr>
            </w:pPr>
          </w:p>
        </w:tc>
        <w:tc>
          <w:tcPr>
            <w:tcW w:w="2551" w:type="dxa"/>
          </w:tcPr>
          <w:p w14:paraId="1A74C287" w14:textId="77777777" w:rsidR="009E4F6C" w:rsidRPr="00160D62" w:rsidRDefault="009E4F6C" w:rsidP="002B0716">
            <w:pPr>
              <w:rPr>
                <w:sz w:val="22"/>
                <w:szCs w:val="22"/>
              </w:rPr>
            </w:pPr>
            <w:r w:rsidRPr="00160D62">
              <w:rPr>
                <w:sz w:val="22"/>
                <w:szCs w:val="22"/>
              </w:rPr>
              <w:t>Место поставки товара (выполнения работ, оказания услуг)</w:t>
            </w:r>
          </w:p>
        </w:tc>
        <w:tc>
          <w:tcPr>
            <w:tcW w:w="7514" w:type="dxa"/>
          </w:tcPr>
          <w:p w14:paraId="0C57727D" w14:textId="77777777" w:rsidR="009E4F6C" w:rsidRPr="00160D62" w:rsidRDefault="009E4F6C" w:rsidP="00BA78A3">
            <w:pPr>
              <w:spacing w:before="20" w:after="20"/>
              <w:rPr>
                <w:sz w:val="22"/>
                <w:szCs w:val="22"/>
                <w:highlight w:val="yellow"/>
              </w:rPr>
            </w:pPr>
            <w:proofErr w:type="gramStart"/>
            <w:r w:rsidRPr="00160D62">
              <w:rPr>
                <w:sz w:val="22"/>
                <w:szCs w:val="22"/>
              </w:rPr>
              <w:t>город  Новоалтайск</w:t>
            </w:r>
            <w:proofErr w:type="gramEnd"/>
            <w:r w:rsidRPr="00160D62">
              <w:rPr>
                <w:sz w:val="22"/>
                <w:szCs w:val="22"/>
              </w:rPr>
              <w:t xml:space="preserve"> (Алтайский край, 7-й микрорайон, 25, по эл. адресу mup-nts22@yandex.ru</w:t>
            </w:r>
          </w:p>
        </w:tc>
      </w:tr>
      <w:tr w:rsidR="006A0BB8" w:rsidRPr="00160D62" w14:paraId="0E726B8B" w14:textId="77777777" w:rsidTr="00B41F06">
        <w:trPr>
          <w:trHeight w:val="349"/>
        </w:trPr>
        <w:tc>
          <w:tcPr>
            <w:tcW w:w="852" w:type="dxa"/>
          </w:tcPr>
          <w:p w14:paraId="6D6FD1C1" w14:textId="77777777" w:rsidR="006A0BB8" w:rsidRPr="00160D62" w:rsidRDefault="006A0BB8" w:rsidP="00326F1E">
            <w:pPr>
              <w:numPr>
                <w:ilvl w:val="0"/>
                <w:numId w:val="1"/>
              </w:numPr>
              <w:rPr>
                <w:sz w:val="22"/>
                <w:szCs w:val="22"/>
              </w:rPr>
            </w:pPr>
          </w:p>
        </w:tc>
        <w:tc>
          <w:tcPr>
            <w:tcW w:w="2551" w:type="dxa"/>
          </w:tcPr>
          <w:p w14:paraId="75CED92A" w14:textId="77777777" w:rsidR="006A0BB8" w:rsidRPr="00160D62" w:rsidRDefault="009E4F6C" w:rsidP="002B0716">
            <w:pPr>
              <w:rPr>
                <w:sz w:val="22"/>
                <w:szCs w:val="22"/>
              </w:rPr>
            </w:pPr>
            <w:r w:rsidRPr="00160D62">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514" w:type="dxa"/>
          </w:tcPr>
          <w:p w14:paraId="1B6E0A6F" w14:textId="77777777" w:rsidR="009E4F6C" w:rsidRPr="00160D62" w:rsidRDefault="009E4F6C" w:rsidP="009E4F6C">
            <w:pPr>
              <w:rPr>
                <w:sz w:val="22"/>
                <w:szCs w:val="22"/>
              </w:rPr>
            </w:pPr>
            <w:r w:rsidRPr="00160D62">
              <w:rPr>
                <w:sz w:val="22"/>
                <w:szCs w:val="22"/>
              </w:rPr>
              <w:t xml:space="preserve">Цена Договора включает в себя: стоимость права использования программ, все налоги, сборы и другие обязательные платежи, установленные законодательством Российской Федерации, затраты, издержки и иные расходы (в т. ч. причитающееся вознаграждение) сублицензиата, связанные с исполнением настоящего договора в полном объеме и надлежащего качества. </w:t>
            </w:r>
          </w:p>
          <w:p w14:paraId="679306A2" w14:textId="77777777" w:rsidR="006A0BB8" w:rsidRPr="00160D62" w:rsidRDefault="006A0BB8" w:rsidP="009B7D2D">
            <w:pPr>
              <w:jc w:val="center"/>
              <w:rPr>
                <w:sz w:val="22"/>
                <w:szCs w:val="22"/>
              </w:rPr>
            </w:pPr>
          </w:p>
        </w:tc>
      </w:tr>
      <w:tr w:rsidR="00DD3258" w:rsidRPr="00160D62" w14:paraId="6497F1B8" w14:textId="77777777" w:rsidTr="00B41F06">
        <w:trPr>
          <w:trHeight w:val="345"/>
        </w:trPr>
        <w:tc>
          <w:tcPr>
            <w:tcW w:w="852" w:type="dxa"/>
          </w:tcPr>
          <w:p w14:paraId="7E1169D8" w14:textId="77777777" w:rsidR="00DD3258" w:rsidRPr="00160D62" w:rsidRDefault="00DD3258" w:rsidP="00326F1E">
            <w:pPr>
              <w:numPr>
                <w:ilvl w:val="0"/>
                <w:numId w:val="1"/>
              </w:numPr>
              <w:rPr>
                <w:sz w:val="22"/>
                <w:szCs w:val="22"/>
              </w:rPr>
            </w:pPr>
          </w:p>
        </w:tc>
        <w:tc>
          <w:tcPr>
            <w:tcW w:w="2551" w:type="dxa"/>
          </w:tcPr>
          <w:p w14:paraId="7D1682FE" w14:textId="77777777" w:rsidR="00DD3258" w:rsidRPr="00160D62" w:rsidRDefault="009E4F6C" w:rsidP="002B0716">
            <w:pPr>
              <w:rPr>
                <w:sz w:val="22"/>
                <w:szCs w:val="22"/>
              </w:rPr>
            </w:pPr>
            <w:r w:rsidRPr="00160D62">
              <w:rPr>
                <w:sz w:val="22"/>
                <w:szCs w:val="22"/>
              </w:rPr>
              <w:t>Срок поставки программы</w:t>
            </w:r>
          </w:p>
        </w:tc>
        <w:tc>
          <w:tcPr>
            <w:tcW w:w="7514" w:type="dxa"/>
          </w:tcPr>
          <w:p w14:paraId="63AC5078" w14:textId="41BAAB6E" w:rsidR="00E23E18" w:rsidRPr="00160D62" w:rsidRDefault="009E4F6C" w:rsidP="000376E9">
            <w:pPr>
              <w:shd w:val="clear" w:color="auto" w:fill="FFFFFF"/>
              <w:overflowPunct/>
              <w:autoSpaceDE/>
              <w:autoSpaceDN/>
              <w:adjustRightInd/>
              <w:textAlignment w:val="auto"/>
              <w:rPr>
                <w:color w:val="000000"/>
                <w:sz w:val="22"/>
                <w:szCs w:val="22"/>
              </w:rPr>
            </w:pPr>
            <w:r w:rsidRPr="00160D62">
              <w:rPr>
                <w:sz w:val="22"/>
                <w:szCs w:val="22"/>
                <w:highlight w:val="green"/>
              </w:rPr>
              <w:t xml:space="preserve">В течение 7-и рабочих дней с момента оплаты </w:t>
            </w:r>
            <w:r w:rsidR="00561670" w:rsidRPr="00160D62">
              <w:rPr>
                <w:sz w:val="22"/>
                <w:szCs w:val="22"/>
                <w:highlight w:val="green"/>
              </w:rPr>
              <w:t>аванса</w:t>
            </w:r>
          </w:p>
        </w:tc>
      </w:tr>
      <w:tr w:rsidR="003E6F53" w:rsidRPr="00160D62" w14:paraId="1773DA20" w14:textId="77777777" w:rsidTr="00B41F06">
        <w:trPr>
          <w:trHeight w:val="393"/>
        </w:trPr>
        <w:tc>
          <w:tcPr>
            <w:tcW w:w="852" w:type="dxa"/>
          </w:tcPr>
          <w:p w14:paraId="3E109468" w14:textId="77777777" w:rsidR="003E6F53" w:rsidRPr="00160D62" w:rsidRDefault="003E6F53" w:rsidP="00326F1E">
            <w:pPr>
              <w:numPr>
                <w:ilvl w:val="0"/>
                <w:numId w:val="1"/>
              </w:numPr>
              <w:rPr>
                <w:sz w:val="22"/>
                <w:szCs w:val="22"/>
              </w:rPr>
            </w:pPr>
          </w:p>
        </w:tc>
        <w:tc>
          <w:tcPr>
            <w:tcW w:w="2551" w:type="dxa"/>
          </w:tcPr>
          <w:p w14:paraId="1D1A1DD2" w14:textId="77777777" w:rsidR="003E6F53" w:rsidRPr="00160D62" w:rsidRDefault="009E4F6C" w:rsidP="002B0716">
            <w:pPr>
              <w:rPr>
                <w:sz w:val="22"/>
                <w:szCs w:val="22"/>
              </w:rPr>
            </w:pPr>
            <w:r w:rsidRPr="00160D62">
              <w:rPr>
                <w:sz w:val="22"/>
                <w:szCs w:val="22"/>
              </w:rPr>
              <w:t>Требования к учётной системе</w:t>
            </w:r>
          </w:p>
        </w:tc>
        <w:tc>
          <w:tcPr>
            <w:tcW w:w="7514" w:type="dxa"/>
          </w:tcPr>
          <w:p w14:paraId="0DF6B212" w14:textId="77777777" w:rsidR="009E4F6C" w:rsidRPr="00160D62" w:rsidRDefault="009E4F6C" w:rsidP="009E4F6C">
            <w:pPr>
              <w:rPr>
                <w:sz w:val="22"/>
                <w:szCs w:val="22"/>
              </w:rPr>
            </w:pPr>
            <w:r w:rsidRPr="00160D62">
              <w:rPr>
                <w:sz w:val="22"/>
                <w:szCs w:val="22"/>
              </w:rPr>
              <w:t>• Формирование детализированной иерархической модели сети теплоснабжения:</w:t>
            </w:r>
          </w:p>
          <w:p w14:paraId="4C1A1988" w14:textId="77777777" w:rsidR="009E4F6C" w:rsidRPr="00160D62" w:rsidRDefault="009E4F6C" w:rsidP="009E4F6C">
            <w:pPr>
              <w:rPr>
                <w:sz w:val="22"/>
                <w:szCs w:val="22"/>
              </w:rPr>
            </w:pPr>
            <w:r w:rsidRPr="00160D62">
              <w:rPr>
                <w:sz w:val="22"/>
                <w:szCs w:val="22"/>
              </w:rPr>
              <w:t>• Управление производством тепловой энергии с учетом собственных нужд и потерь:</w:t>
            </w:r>
          </w:p>
          <w:p w14:paraId="20524AB4" w14:textId="77777777" w:rsidR="009E4F6C" w:rsidRPr="00160D62" w:rsidRDefault="009E4F6C" w:rsidP="009E4F6C">
            <w:pPr>
              <w:rPr>
                <w:sz w:val="22"/>
                <w:szCs w:val="22"/>
              </w:rPr>
            </w:pPr>
            <w:r w:rsidRPr="00160D62">
              <w:rPr>
                <w:sz w:val="22"/>
                <w:szCs w:val="22"/>
              </w:rPr>
              <w:t>• Учет данных приборов учета предприятия и абонентов теплоснабжения</w:t>
            </w:r>
            <w:r w:rsidR="00D73F9C" w:rsidRPr="00160D62">
              <w:rPr>
                <w:sz w:val="22"/>
                <w:szCs w:val="22"/>
              </w:rPr>
              <w:t>, горячего водоснабжения</w:t>
            </w:r>
            <w:r w:rsidRPr="00160D62">
              <w:rPr>
                <w:sz w:val="22"/>
                <w:szCs w:val="22"/>
              </w:rPr>
              <w:t>:</w:t>
            </w:r>
          </w:p>
          <w:p w14:paraId="10089C22" w14:textId="77777777" w:rsidR="009E4F6C" w:rsidRPr="00160D62" w:rsidRDefault="009E4F6C" w:rsidP="009E4F6C">
            <w:pPr>
              <w:rPr>
                <w:sz w:val="22"/>
                <w:szCs w:val="22"/>
              </w:rPr>
            </w:pPr>
            <w:r w:rsidRPr="00160D62">
              <w:rPr>
                <w:sz w:val="22"/>
                <w:szCs w:val="22"/>
              </w:rPr>
              <w:t>• Расчеты распределения услуг теплоснабжения по нежилым и производственным помещениям;</w:t>
            </w:r>
          </w:p>
          <w:p w14:paraId="355A756E" w14:textId="77777777" w:rsidR="009E4F6C" w:rsidRPr="00160D62" w:rsidRDefault="009E4F6C" w:rsidP="009E4F6C">
            <w:pPr>
              <w:rPr>
                <w:sz w:val="22"/>
                <w:szCs w:val="22"/>
              </w:rPr>
            </w:pPr>
            <w:r w:rsidRPr="00160D62">
              <w:rPr>
                <w:sz w:val="22"/>
                <w:szCs w:val="22"/>
              </w:rPr>
              <w:t>• Начисление и выставление счетов потребителям услуг теплоснабжения</w:t>
            </w:r>
            <w:r w:rsidR="00D73F9C" w:rsidRPr="00160D62">
              <w:rPr>
                <w:sz w:val="22"/>
                <w:szCs w:val="22"/>
              </w:rPr>
              <w:t>, горячая вода открытая система, горячая вода закрытая система, горячая вода бойлер</w:t>
            </w:r>
            <w:r w:rsidRPr="00160D62">
              <w:rPr>
                <w:sz w:val="22"/>
                <w:szCs w:val="22"/>
              </w:rPr>
              <w:t>:</w:t>
            </w:r>
          </w:p>
          <w:p w14:paraId="6A57D5D3" w14:textId="77777777" w:rsidR="009E4F6C" w:rsidRPr="00160D62" w:rsidRDefault="009E4F6C" w:rsidP="009E4F6C">
            <w:pPr>
              <w:rPr>
                <w:sz w:val="22"/>
                <w:szCs w:val="22"/>
              </w:rPr>
            </w:pPr>
            <w:r w:rsidRPr="00160D62">
              <w:rPr>
                <w:sz w:val="22"/>
                <w:szCs w:val="22"/>
              </w:rPr>
              <w:t>• Обмен информацией с системой ГИС ЖКХ в объёме, предусмотренном приказом Министерства связи и массовых коммуникаций РФ и Министерства строительства и жилищно-коммунального хозяйства РФ от 29 февраля 2016 г. № 74/114/</w:t>
            </w:r>
            <w:proofErr w:type="spellStart"/>
            <w:r w:rsidRPr="00160D62">
              <w:rPr>
                <w:sz w:val="22"/>
                <w:szCs w:val="22"/>
              </w:rPr>
              <w:t>пр</w:t>
            </w:r>
            <w:proofErr w:type="spellEnd"/>
            <w:r w:rsidRPr="00160D62">
              <w:rPr>
                <w:sz w:val="22"/>
                <w:szCs w:val="22"/>
              </w:rPr>
              <w:t xml:space="preserve"> "Об утверждении состава, сроков и периодичности размещения информации поставщиками информации в </w:t>
            </w:r>
            <w:r w:rsidRPr="00160D62">
              <w:rPr>
                <w:sz w:val="22"/>
                <w:szCs w:val="22"/>
              </w:rPr>
              <w:lastRenderedPageBreak/>
              <w:t>государственной информационной системе жилищно-коммунального хозяйства"</w:t>
            </w:r>
          </w:p>
          <w:p w14:paraId="46B2E9D3" w14:textId="77777777" w:rsidR="009E4F6C" w:rsidRPr="00160D62" w:rsidRDefault="009E4F6C" w:rsidP="009E4F6C">
            <w:pPr>
              <w:rPr>
                <w:sz w:val="22"/>
                <w:szCs w:val="22"/>
              </w:rPr>
            </w:pPr>
            <w:r w:rsidRPr="00160D62">
              <w:rPr>
                <w:sz w:val="22"/>
                <w:szCs w:val="22"/>
              </w:rPr>
              <w:t>• Ведение претензионно-исковой деятельности.</w:t>
            </w:r>
          </w:p>
          <w:p w14:paraId="58C12C40" w14:textId="77777777" w:rsidR="009E4F6C" w:rsidRPr="00160D62" w:rsidRDefault="009E4F6C" w:rsidP="009E4F6C">
            <w:pPr>
              <w:rPr>
                <w:sz w:val="22"/>
                <w:szCs w:val="22"/>
              </w:rPr>
            </w:pPr>
            <w:r w:rsidRPr="00160D62">
              <w:rPr>
                <w:sz w:val="22"/>
                <w:szCs w:val="22"/>
              </w:rPr>
              <w:t>• В решении реализован обмен данными с конфигурациями на платформе "1</w:t>
            </w:r>
            <w:proofErr w:type="gramStart"/>
            <w:r w:rsidRPr="00160D62">
              <w:rPr>
                <w:sz w:val="22"/>
                <w:szCs w:val="22"/>
              </w:rPr>
              <w:t>С:Предприятие</w:t>
            </w:r>
            <w:proofErr w:type="gramEnd"/>
            <w:r w:rsidRPr="00160D62">
              <w:rPr>
                <w:sz w:val="22"/>
                <w:szCs w:val="22"/>
              </w:rPr>
              <w:t xml:space="preserve"> 8.3":</w:t>
            </w:r>
          </w:p>
          <w:p w14:paraId="05CB82F9" w14:textId="77777777" w:rsidR="009E4F6C" w:rsidRPr="00160D62" w:rsidRDefault="009E4F6C" w:rsidP="009E4F6C">
            <w:pPr>
              <w:rPr>
                <w:sz w:val="22"/>
                <w:szCs w:val="22"/>
              </w:rPr>
            </w:pPr>
            <w:r w:rsidRPr="00160D62">
              <w:rPr>
                <w:sz w:val="22"/>
                <w:szCs w:val="22"/>
              </w:rPr>
              <w:t>• Формирование детализированной иерархической модели сети теплоснабжения:</w:t>
            </w:r>
          </w:p>
          <w:p w14:paraId="6B6C3743" w14:textId="77777777" w:rsidR="009E4F6C" w:rsidRPr="00160D62" w:rsidRDefault="009E4F6C" w:rsidP="009E4F6C">
            <w:pPr>
              <w:rPr>
                <w:sz w:val="22"/>
                <w:szCs w:val="22"/>
              </w:rPr>
            </w:pPr>
            <w:r w:rsidRPr="00160D62">
              <w:rPr>
                <w:sz w:val="22"/>
                <w:szCs w:val="22"/>
              </w:rPr>
              <w:t>• Хранение данных о детализированной иерархической модели сети;</w:t>
            </w:r>
          </w:p>
          <w:p w14:paraId="3190F702" w14:textId="77777777" w:rsidR="009E4F6C" w:rsidRPr="00160D62" w:rsidRDefault="009E4F6C" w:rsidP="009E4F6C">
            <w:pPr>
              <w:rPr>
                <w:sz w:val="22"/>
                <w:szCs w:val="22"/>
              </w:rPr>
            </w:pPr>
            <w:r w:rsidRPr="00160D62">
              <w:rPr>
                <w:sz w:val="22"/>
                <w:szCs w:val="22"/>
              </w:rPr>
              <w:t xml:space="preserve">• Ведение истории подключений и </w:t>
            </w:r>
            <w:proofErr w:type="spellStart"/>
            <w:r w:rsidRPr="00160D62">
              <w:rPr>
                <w:sz w:val="22"/>
                <w:szCs w:val="22"/>
              </w:rPr>
              <w:t>переподключений</w:t>
            </w:r>
            <w:proofErr w:type="spellEnd"/>
            <w:r w:rsidRPr="00160D62">
              <w:rPr>
                <w:sz w:val="22"/>
                <w:szCs w:val="22"/>
              </w:rPr>
              <w:t xml:space="preserve"> объектов в сети снабжения;</w:t>
            </w:r>
          </w:p>
          <w:p w14:paraId="2160D056" w14:textId="77777777" w:rsidR="009E4F6C" w:rsidRPr="00160D62" w:rsidRDefault="009E4F6C" w:rsidP="009E4F6C">
            <w:pPr>
              <w:rPr>
                <w:sz w:val="22"/>
                <w:szCs w:val="22"/>
              </w:rPr>
            </w:pPr>
            <w:r w:rsidRPr="00160D62">
              <w:rPr>
                <w:sz w:val="22"/>
                <w:szCs w:val="22"/>
              </w:rPr>
              <w:t>• Ведение истории изменений состояний объектов сети снабжения: временное включение/отключение объектов сети с иерархическим наследованием состояний;</w:t>
            </w:r>
          </w:p>
          <w:p w14:paraId="1A252718" w14:textId="77777777" w:rsidR="009E4F6C" w:rsidRPr="00160D62" w:rsidRDefault="009E4F6C" w:rsidP="009E4F6C">
            <w:pPr>
              <w:rPr>
                <w:sz w:val="22"/>
                <w:szCs w:val="22"/>
              </w:rPr>
            </w:pPr>
            <w:r w:rsidRPr="00160D62">
              <w:rPr>
                <w:sz w:val="22"/>
                <w:szCs w:val="22"/>
              </w:rPr>
              <w:t xml:space="preserve">• Ведение истории изменений состояний источников </w:t>
            </w:r>
            <w:proofErr w:type="spellStart"/>
            <w:r w:rsidRPr="00160D62">
              <w:rPr>
                <w:sz w:val="22"/>
                <w:szCs w:val="22"/>
              </w:rPr>
              <w:t>ресурсонабжения</w:t>
            </w:r>
            <w:proofErr w:type="spellEnd"/>
            <w:r w:rsidRPr="00160D62">
              <w:rPr>
                <w:sz w:val="22"/>
                <w:szCs w:val="22"/>
              </w:rPr>
              <w:t xml:space="preserve">: включение/отключение котельных. </w:t>
            </w:r>
          </w:p>
          <w:p w14:paraId="1E5991DF" w14:textId="77777777" w:rsidR="009E4F6C" w:rsidRPr="00160D62" w:rsidRDefault="009E4F6C" w:rsidP="009E4F6C">
            <w:pPr>
              <w:rPr>
                <w:sz w:val="22"/>
                <w:szCs w:val="22"/>
              </w:rPr>
            </w:pPr>
            <w:r w:rsidRPr="00160D62">
              <w:rPr>
                <w:sz w:val="22"/>
                <w:szCs w:val="22"/>
              </w:rPr>
              <w:t xml:space="preserve">• Управление производством тепловой энергии с учетом собственных нужд и потерь: </w:t>
            </w:r>
          </w:p>
          <w:p w14:paraId="6D3DDCCB" w14:textId="77777777" w:rsidR="009E4F6C" w:rsidRPr="00160D62" w:rsidRDefault="009E4F6C" w:rsidP="009E4F6C">
            <w:pPr>
              <w:rPr>
                <w:sz w:val="22"/>
                <w:szCs w:val="22"/>
              </w:rPr>
            </w:pPr>
            <w:r w:rsidRPr="00160D62">
              <w:rPr>
                <w:sz w:val="22"/>
                <w:szCs w:val="22"/>
              </w:rPr>
              <w:t xml:space="preserve">• Паспортизация оборудования котельных и тепловых пунктов; </w:t>
            </w:r>
          </w:p>
          <w:p w14:paraId="794C4E34" w14:textId="77777777" w:rsidR="009E4F6C" w:rsidRPr="00160D62" w:rsidRDefault="009E4F6C" w:rsidP="009E4F6C">
            <w:pPr>
              <w:rPr>
                <w:sz w:val="22"/>
                <w:szCs w:val="22"/>
              </w:rPr>
            </w:pPr>
            <w:r w:rsidRPr="00160D62">
              <w:rPr>
                <w:sz w:val="22"/>
                <w:szCs w:val="22"/>
              </w:rPr>
              <w:t>• Паспортизация магистральных и квартальных сетей;</w:t>
            </w:r>
          </w:p>
          <w:p w14:paraId="7F6127D5" w14:textId="77777777" w:rsidR="009E4F6C" w:rsidRPr="00160D62" w:rsidRDefault="009E4F6C" w:rsidP="009E4F6C">
            <w:pPr>
              <w:rPr>
                <w:sz w:val="22"/>
                <w:szCs w:val="22"/>
              </w:rPr>
            </w:pPr>
            <w:r w:rsidRPr="00160D62">
              <w:rPr>
                <w:sz w:val="22"/>
                <w:szCs w:val="22"/>
              </w:rPr>
              <w:t>• Расчеты потерь в собственных магистральных и квартальных сетях (процентом от общих объемов тепловой энергии);</w:t>
            </w:r>
          </w:p>
          <w:p w14:paraId="4D421BD3" w14:textId="77777777" w:rsidR="009E4F6C" w:rsidRPr="00160D62" w:rsidRDefault="009E4F6C" w:rsidP="009E4F6C">
            <w:pPr>
              <w:rPr>
                <w:sz w:val="22"/>
                <w:szCs w:val="22"/>
              </w:rPr>
            </w:pPr>
            <w:r w:rsidRPr="00160D62">
              <w:rPr>
                <w:sz w:val="22"/>
                <w:szCs w:val="22"/>
              </w:rPr>
              <w:t>• Расчеты производства тепловой энергии;</w:t>
            </w:r>
          </w:p>
          <w:p w14:paraId="7C325AD2" w14:textId="77777777" w:rsidR="009E4F6C" w:rsidRPr="00160D62" w:rsidRDefault="009E4F6C" w:rsidP="009E4F6C">
            <w:pPr>
              <w:rPr>
                <w:sz w:val="22"/>
                <w:szCs w:val="22"/>
              </w:rPr>
            </w:pPr>
            <w:r w:rsidRPr="00160D62">
              <w:rPr>
                <w:sz w:val="22"/>
                <w:szCs w:val="22"/>
              </w:rPr>
              <w:t>• Учет характеристик для расчета расходов на собственные нужды;</w:t>
            </w:r>
          </w:p>
          <w:p w14:paraId="32D31D15" w14:textId="77777777" w:rsidR="009E4F6C" w:rsidRPr="00160D62" w:rsidRDefault="009E4F6C" w:rsidP="009E4F6C">
            <w:pPr>
              <w:rPr>
                <w:sz w:val="22"/>
                <w:szCs w:val="22"/>
              </w:rPr>
            </w:pPr>
            <w:r w:rsidRPr="00160D62">
              <w:rPr>
                <w:sz w:val="22"/>
                <w:szCs w:val="22"/>
              </w:rPr>
              <w:t xml:space="preserve">• Расчеты отпуска тепла на собственные нужды котельных и собственных объектов предприятия. </w:t>
            </w:r>
          </w:p>
          <w:p w14:paraId="680F6C98" w14:textId="77777777" w:rsidR="009E4F6C" w:rsidRPr="00160D62" w:rsidRDefault="009E4F6C" w:rsidP="009E4F6C">
            <w:pPr>
              <w:rPr>
                <w:sz w:val="22"/>
                <w:szCs w:val="22"/>
              </w:rPr>
            </w:pPr>
            <w:r w:rsidRPr="00160D62">
              <w:rPr>
                <w:sz w:val="22"/>
                <w:szCs w:val="22"/>
              </w:rPr>
              <w:t>• Учет данных приборов учета предприятия и абонентов теплоснабжения:</w:t>
            </w:r>
          </w:p>
          <w:p w14:paraId="32C5E560" w14:textId="77777777" w:rsidR="009E4F6C" w:rsidRPr="00160D62" w:rsidRDefault="009E4F6C" w:rsidP="009E4F6C">
            <w:pPr>
              <w:rPr>
                <w:sz w:val="22"/>
                <w:szCs w:val="22"/>
              </w:rPr>
            </w:pPr>
            <w:r w:rsidRPr="00160D62">
              <w:rPr>
                <w:sz w:val="22"/>
                <w:szCs w:val="22"/>
              </w:rPr>
              <w:t>• Паспортизация узлов и приборов учета;</w:t>
            </w:r>
          </w:p>
          <w:p w14:paraId="6CFD6BC3" w14:textId="77777777" w:rsidR="009E4F6C" w:rsidRPr="00160D62" w:rsidRDefault="009E4F6C" w:rsidP="009E4F6C">
            <w:pPr>
              <w:rPr>
                <w:sz w:val="22"/>
                <w:szCs w:val="22"/>
              </w:rPr>
            </w:pPr>
            <w:r w:rsidRPr="00160D62">
              <w:rPr>
                <w:sz w:val="22"/>
                <w:szCs w:val="22"/>
              </w:rPr>
              <w:t>• Учет показаний простых и связанных (каскадных) приборов учета разных типов;</w:t>
            </w:r>
          </w:p>
          <w:p w14:paraId="511C1A84" w14:textId="77777777" w:rsidR="009E4F6C" w:rsidRPr="00160D62" w:rsidRDefault="009E4F6C" w:rsidP="009E4F6C">
            <w:pPr>
              <w:rPr>
                <w:sz w:val="22"/>
                <w:szCs w:val="22"/>
              </w:rPr>
            </w:pPr>
            <w:r w:rsidRPr="00160D62">
              <w:rPr>
                <w:sz w:val="22"/>
                <w:szCs w:val="22"/>
              </w:rPr>
              <w:t>• Учет времени наработки и бездействия приборов учета;</w:t>
            </w:r>
          </w:p>
          <w:p w14:paraId="3E320B67" w14:textId="77777777" w:rsidR="009E4F6C" w:rsidRPr="00160D62" w:rsidRDefault="009E4F6C" w:rsidP="009E4F6C">
            <w:pPr>
              <w:rPr>
                <w:sz w:val="22"/>
                <w:szCs w:val="22"/>
              </w:rPr>
            </w:pPr>
            <w:r w:rsidRPr="00160D62">
              <w:rPr>
                <w:sz w:val="22"/>
                <w:szCs w:val="22"/>
              </w:rPr>
              <w:t>• Учет поверок приборов учета, с раздельным учетом отдельных узлов приборов;</w:t>
            </w:r>
          </w:p>
          <w:p w14:paraId="20EC32E8" w14:textId="77777777" w:rsidR="009E4F6C" w:rsidRPr="00160D62" w:rsidRDefault="009E4F6C" w:rsidP="009E4F6C">
            <w:pPr>
              <w:rPr>
                <w:sz w:val="22"/>
                <w:szCs w:val="22"/>
              </w:rPr>
            </w:pPr>
            <w:r w:rsidRPr="00160D62">
              <w:rPr>
                <w:sz w:val="22"/>
                <w:szCs w:val="22"/>
              </w:rPr>
              <w:t>• Возможность регистрации в системе процентного распределения показаний приборов учета (указание процентов распределения потребления между объектами, подключенными к прибору учета);</w:t>
            </w:r>
          </w:p>
          <w:p w14:paraId="2069A282" w14:textId="77777777" w:rsidR="009E4F6C" w:rsidRPr="00160D62" w:rsidRDefault="009E4F6C" w:rsidP="009E4F6C">
            <w:pPr>
              <w:rPr>
                <w:sz w:val="22"/>
                <w:szCs w:val="22"/>
              </w:rPr>
            </w:pPr>
            <w:r w:rsidRPr="00160D62">
              <w:rPr>
                <w:sz w:val="22"/>
                <w:szCs w:val="22"/>
              </w:rPr>
              <w:t>по нежилым и производственным помещениям:</w:t>
            </w:r>
          </w:p>
          <w:p w14:paraId="0F8C1FDC" w14:textId="77777777" w:rsidR="009E4F6C" w:rsidRPr="00160D62" w:rsidRDefault="009E4F6C" w:rsidP="009E4F6C">
            <w:pPr>
              <w:rPr>
                <w:sz w:val="22"/>
                <w:szCs w:val="22"/>
              </w:rPr>
            </w:pPr>
            <w:r w:rsidRPr="00160D62">
              <w:rPr>
                <w:sz w:val="22"/>
                <w:szCs w:val="22"/>
              </w:rPr>
              <w:t>• Ведение карточки контрагента, из которой, по выбранному контрагенту, возможно перейти к договорам и договорным расчетам; просмотреть объекты и их состояния, приборы учета и их показания; данные по начислениям и взаиморасчетам;</w:t>
            </w:r>
          </w:p>
          <w:p w14:paraId="0DAEEB1B" w14:textId="77777777" w:rsidR="009E4F6C" w:rsidRPr="00160D62" w:rsidRDefault="009E4F6C" w:rsidP="009E4F6C">
            <w:pPr>
              <w:rPr>
                <w:sz w:val="22"/>
                <w:szCs w:val="22"/>
              </w:rPr>
            </w:pPr>
            <w:r w:rsidRPr="00160D62">
              <w:rPr>
                <w:sz w:val="22"/>
                <w:szCs w:val="22"/>
              </w:rPr>
              <w:t>• Хранение нормативно-справочной информации (типовые нормативные классификаторы, таблицы методик расчета);</w:t>
            </w:r>
          </w:p>
          <w:p w14:paraId="0A7E166C" w14:textId="77777777" w:rsidR="009E4F6C" w:rsidRPr="00160D62" w:rsidRDefault="009E4F6C" w:rsidP="009E4F6C">
            <w:pPr>
              <w:rPr>
                <w:sz w:val="22"/>
                <w:szCs w:val="22"/>
              </w:rPr>
            </w:pPr>
            <w:r w:rsidRPr="00160D62">
              <w:rPr>
                <w:sz w:val="22"/>
                <w:szCs w:val="22"/>
              </w:rPr>
              <w:t xml:space="preserve">• Автоматический расчет нормативных часовых нагрузок объектов и трубопроводов, где к каждому расчету прилагается детальная текстовая расшифровка </w:t>
            </w:r>
            <w:proofErr w:type="gramStart"/>
            <w:r w:rsidRPr="00160D62">
              <w:rPr>
                <w:sz w:val="22"/>
                <w:szCs w:val="22"/>
              </w:rPr>
              <w:t>как</w:t>
            </w:r>
            <w:proofErr w:type="gramEnd"/>
            <w:r w:rsidRPr="00160D62">
              <w:rPr>
                <w:sz w:val="22"/>
                <w:szCs w:val="22"/>
              </w:rPr>
              <w:t xml:space="preserve"> были произведены расчеты (с указанием используемых формул расчета и используемых параметров при расчете каждой нагрузки);</w:t>
            </w:r>
          </w:p>
          <w:p w14:paraId="222ED5C6" w14:textId="77777777" w:rsidR="009E4F6C" w:rsidRPr="00160D62" w:rsidRDefault="009E4F6C" w:rsidP="009E4F6C">
            <w:pPr>
              <w:rPr>
                <w:sz w:val="22"/>
                <w:szCs w:val="22"/>
              </w:rPr>
            </w:pPr>
            <w:r w:rsidRPr="00160D62">
              <w:rPr>
                <w:sz w:val="22"/>
                <w:szCs w:val="22"/>
              </w:rPr>
              <w:t xml:space="preserve">• Регистрация договоров и дополнительных соглашений к договорам, проведение договорных расчетов количественно-суммовых показателей - автоматический расчет графиков отпуска услуг теплоснабжения </w:t>
            </w:r>
            <w:r w:rsidR="00D73F9C" w:rsidRPr="00160D62">
              <w:rPr>
                <w:sz w:val="22"/>
                <w:szCs w:val="22"/>
              </w:rPr>
              <w:t xml:space="preserve">и горячего водоснабжения </w:t>
            </w:r>
            <w:r w:rsidRPr="00160D62">
              <w:rPr>
                <w:sz w:val="22"/>
                <w:szCs w:val="22"/>
              </w:rPr>
              <w:t xml:space="preserve">по объектам договоров; </w:t>
            </w:r>
          </w:p>
          <w:p w14:paraId="79CBCAAB" w14:textId="77777777" w:rsidR="009E4F6C" w:rsidRPr="00160D62" w:rsidRDefault="009E4F6C" w:rsidP="009E4F6C">
            <w:pPr>
              <w:rPr>
                <w:sz w:val="22"/>
                <w:szCs w:val="22"/>
              </w:rPr>
            </w:pPr>
            <w:r w:rsidRPr="00160D62">
              <w:rPr>
                <w:sz w:val="22"/>
                <w:szCs w:val="22"/>
              </w:rPr>
              <w:t>• Автоматический, настраиваемый расчет плановых объемов реализации на любой календарный период;</w:t>
            </w:r>
          </w:p>
          <w:p w14:paraId="1A2AF5BD" w14:textId="77777777" w:rsidR="009E4F6C" w:rsidRPr="00160D62" w:rsidRDefault="009E4F6C" w:rsidP="009E4F6C">
            <w:pPr>
              <w:rPr>
                <w:sz w:val="22"/>
                <w:szCs w:val="22"/>
              </w:rPr>
            </w:pPr>
            <w:r w:rsidRPr="00160D62">
              <w:rPr>
                <w:sz w:val="22"/>
                <w:szCs w:val="22"/>
              </w:rPr>
              <w:t>• Автоматический расчет фактических объемов реализации с учетом параметров окружающей среды каждой местности, данных о включениях и отключениях объектах, договорных условий, суммарных данных по лицевым счетам жилых домов, а также показаний приборов учета (в т. ч. общедомовых и индивидуальных);</w:t>
            </w:r>
          </w:p>
          <w:p w14:paraId="7D22119F" w14:textId="77777777" w:rsidR="009E4F6C" w:rsidRPr="00160D62" w:rsidRDefault="009E4F6C" w:rsidP="009E4F6C">
            <w:pPr>
              <w:rPr>
                <w:sz w:val="22"/>
                <w:szCs w:val="22"/>
              </w:rPr>
            </w:pPr>
            <w:r w:rsidRPr="00160D62">
              <w:rPr>
                <w:sz w:val="22"/>
                <w:szCs w:val="22"/>
              </w:rPr>
              <w:t>• Возможность расчета методом балансового распределения зафиксированных объемов услуг от источника или от сетевого узла учета;</w:t>
            </w:r>
          </w:p>
          <w:p w14:paraId="1F0B0949" w14:textId="77777777" w:rsidR="009E4F6C" w:rsidRPr="00160D62" w:rsidRDefault="009E4F6C" w:rsidP="009E4F6C">
            <w:pPr>
              <w:rPr>
                <w:sz w:val="22"/>
                <w:szCs w:val="22"/>
              </w:rPr>
            </w:pPr>
            <w:r w:rsidRPr="00160D62">
              <w:rPr>
                <w:sz w:val="22"/>
                <w:szCs w:val="22"/>
              </w:rPr>
              <w:lastRenderedPageBreak/>
              <w:t>• Автоматический расчет потребления на общедомовые нужды жилых и нежилых помещений, в том числе для арендаторов в жилых домах;</w:t>
            </w:r>
          </w:p>
          <w:p w14:paraId="056FE733" w14:textId="77777777" w:rsidR="009E4F6C" w:rsidRPr="00160D62" w:rsidRDefault="009E4F6C" w:rsidP="009E4F6C">
            <w:pPr>
              <w:rPr>
                <w:sz w:val="22"/>
                <w:szCs w:val="22"/>
              </w:rPr>
            </w:pPr>
            <w:r w:rsidRPr="00160D62">
              <w:rPr>
                <w:sz w:val="22"/>
                <w:szCs w:val="22"/>
              </w:rPr>
              <w:t>• Возможность ежемесячного ввода актуальных данных, предоставляемых УО, ТСЖ, ЖСК по количеству людей без индивидуальных приборов учета и данных по индивидуальным приборам учета (внутридомовым);</w:t>
            </w:r>
          </w:p>
          <w:p w14:paraId="3105536A" w14:textId="77777777" w:rsidR="009E4F6C" w:rsidRPr="00160D62" w:rsidRDefault="009E4F6C" w:rsidP="009E4F6C">
            <w:pPr>
              <w:rPr>
                <w:sz w:val="22"/>
                <w:szCs w:val="22"/>
              </w:rPr>
            </w:pPr>
            <w:r w:rsidRPr="00160D62">
              <w:rPr>
                <w:sz w:val="22"/>
                <w:szCs w:val="22"/>
              </w:rPr>
              <w:t>• Проведение произвольного числа сравнительных и предварительных плановых и фактических расчетов;</w:t>
            </w:r>
          </w:p>
          <w:p w14:paraId="345DD2B7" w14:textId="77777777" w:rsidR="009E4F6C" w:rsidRPr="00160D62" w:rsidRDefault="009E4F6C" w:rsidP="009E4F6C">
            <w:pPr>
              <w:rPr>
                <w:sz w:val="22"/>
                <w:szCs w:val="22"/>
              </w:rPr>
            </w:pPr>
            <w:r w:rsidRPr="00160D62">
              <w:rPr>
                <w:sz w:val="22"/>
                <w:szCs w:val="22"/>
              </w:rPr>
              <w:t>• Автоматический учет фактического времени работы объектов сети с учетом каскадных отключений;</w:t>
            </w:r>
          </w:p>
          <w:p w14:paraId="0E697BB8" w14:textId="77777777" w:rsidR="009E4F6C" w:rsidRPr="00160D62" w:rsidRDefault="009E4F6C" w:rsidP="009E4F6C">
            <w:pPr>
              <w:rPr>
                <w:sz w:val="22"/>
                <w:szCs w:val="22"/>
              </w:rPr>
            </w:pPr>
            <w:r w:rsidRPr="00160D62">
              <w:rPr>
                <w:sz w:val="22"/>
                <w:szCs w:val="22"/>
              </w:rPr>
              <w:t>• Учет параметров окружающей среды при проведении расчетов в разрезе территориальной принадлежности объектов с разной степенью детализации — от среднегодовых до ежедневных значений;</w:t>
            </w:r>
          </w:p>
          <w:p w14:paraId="7FBBEF06" w14:textId="77777777" w:rsidR="009E4F6C" w:rsidRPr="00160D62" w:rsidRDefault="009E4F6C" w:rsidP="009E4F6C">
            <w:pPr>
              <w:rPr>
                <w:sz w:val="22"/>
                <w:szCs w:val="22"/>
              </w:rPr>
            </w:pPr>
            <w:r w:rsidRPr="00160D62">
              <w:rPr>
                <w:sz w:val="22"/>
                <w:szCs w:val="22"/>
              </w:rPr>
              <w:t>• Учет корректировок, перерасчетов, а также ручных расчетов объемов потребления при проведении расчетов;</w:t>
            </w:r>
          </w:p>
          <w:p w14:paraId="67CDA752" w14:textId="77777777" w:rsidR="009E4F6C" w:rsidRPr="00160D62" w:rsidRDefault="009E4F6C" w:rsidP="009E4F6C">
            <w:pPr>
              <w:rPr>
                <w:sz w:val="22"/>
                <w:szCs w:val="22"/>
              </w:rPr>
            </w:pPr>
            <w:r w:rsidRPr="00160D62">
              <w:rPr>
                <w:sz w:val="22"/>
                <w:szCs w:val="22"/>
              </w:rPr>
              <w:t xml:space="preserve">• Получение расшифровки расчетов потребления в виде текстового описания с указанием использованных формул и </w:t>
            </w:r>
            <w:proofErr w:type="gramStart"/>
            <w:r w:rsidRPr="00160D62">
              <w:rPr>
                <w:sz w:val="22"/>
                <w:szCs w:val="22"/>
              </w:rPr>
              <w:t>значений параметров</w:t>
            </w:r>
            <w:proofErr w:type="gramEnd"/>
            <w:r w:rsidRPr="00160D62">
              <w:rPr>
                <w:sz w:val="22"/>
                <w:szCs w:val="22"/>
              </w:rPr>
              <w:t xml:space="preserve"> использованных при расчете. Предусмотрена детализация по нормативному, фактическому расчетам, а также приборному распределению и распределению от источников;</w:t>
            </w:r>
          </w:p>
          <w:p w14:paraId="5798F597" w14:textId="77777777" w:rsidR="009E4F6C" w:rsidRPr="00160D62" w:rsidRDefault="009E4F6C" w:rsidP="009E4F6C">
            <w:pPr>
              <w:rPr>
                <w:sz w:val="22"/>
                <w:szCs w:val="22"/>
              </w:rPr>
            </w:pPr>
            <w:r w:rsidRPr="00160D62">
              <w:rPr>
                <w:sz w:val="22"/>
                <w:szCs w:val="22"/>
              </w:rPr>
              <w:t>• Расширенные возможности анализа и сравнения результатов различных версий плановых и фактических расчетов;</w:t>
            </w:r>
          </w:p>
          <w:p w14:paraId="221284EA" w14:textId="77777777" w:rsidR="009E4F6C" w:rsidRPr="00160D62" w:rsidRDefault="009E4F6C" w:rsidP="009E4F6C">
            <w:pPr>
              <w:rPr>
                <w:sz w:val="22"/>
                <w:szCs w:val="22"/>
              </w:rPr>
            </w:pPr>
            <w:r w:rsidRPr="00160D62">
              <w:rPr>
                <w:sz w:val="22"/>
                <w:szCs w:val="22"/>
              </w:rPr>
              <w:t>• Сравнительный план-</w:t>
            </w:r>
            <w:proofErr w:type="spellStart"/>
            <w:r w:rsidRPr="00160D62">
              <w:rPr>
                <w:sz w:val="22"/>
                <w:szCs w:val="22"/>
              </w:rPr>
              <w:t>фактный</w:t>
            </w:r>
            <w:proofErr w:type="spellEnd"/>
            <w:r w:rsidRPr="00160D62">
              <w:rPr>
                <w:sz w:val="22"/>
                <w:szCs w:val="22"/>
              </w:rPr>
              <w:t xml:space="preserve"> анализ различных сценариев реализации тепловой энергии;</w:t>
            </w:r>
          </w:p>
          <w:p w14:paraId="3B81BD6E" w14:textId="77777777" w:rsidR="009E4F6C" w:rsidRPr="00160D62" w:rsidRDefault="009E4F6C" w:rsidP="009E4F6C">
            <w:pPr>
              <w:rPr>
                <w:sz w:val="22"/>
                <w:szCs w:val="22"/>
              </w:rPr>
            </w:pPr>
            <w:r w:rsidRPr="00160D62">
              <w:rPr>
                <w:sz w:val="22"/>
                <w:szCs w:val="22"/>
              </w:rPr>
              <w:t>• Гибкое управление процессами расчета плановых и фактических объемов реализации;</w:t>
            </w:r>
          </w:p>
          <w:p w14:paraId="7B4CF62E" w14:textId="77777777" w:rsidR="009E4F6C" w:rsidRPr="00160D62" w:rsidRDefault="009E4F6C" w:rsidP="009E4F6C">
            <w:pPr>
              <w:rPr>
                <w:sz w:val="22"/>
                <w:szCs w:val="22"/>
              </w:rPr>
            </w:pPr>
            <w:r w:rsidRPr="00160D62">
              <w:rPr>
                <w:sz w:val="22"/>
                <w:szCs w:val="22"/>
              </w:rPr>
              <w:t>• Гибкая настройка системы получения аналитической отчетности по результатам расчетов потребления.</w:t>
            </w:r>
          </w:p>
          <w:p w14:paraId="528D3F04" w14:textId="77777777" w:rsidR="009E4F6C" w:rsidRPr="00160D62" w:rsidRDefault="009E4F6C" w:rsidP="009E4F6C">
            <w:pPr>
              <w:rPr>
                <w:sz w:val="22"/>
                <w:szCs w:val="22"/>
              </w:rPr>
            </w:pPr>
            <w:r w:rsidRPr="00160D62">
              <w:rPr>
                <w:sz w:val="22"/>
                <w:szCs w:val="22"/>
              </w:rPr>
              <w:t>• Начисление и выставление счетов потребителям услуг теплоснабжения</w:t>
            </w:r>
            <w:r w:rsidR="00D73F9C" w:rsidRPr="00160D62">
              <w:rPr>
                <w:sz w:val="22"/>
                <w:szCs w:val="22"/>
              </w:rPr>
              <w:t>, горячая вода открытая система, горячая вода закрытая система, горячая вода бойлер</w:t>
            </w:r>
            <w:r w:rsidRPr="00160D62">
              <w:rPr>
                <w:sz w:val="22"/>
                <w:szCs w:val="22"/>
              </w:rPr>
              <w:t>:</w:t>
            </w:r>
          </w:p>
          <w:p w14:paraId="0FB7637C" w14:textId="77777777" w:rsidR="009E4F6C" w:rsidRPr="00160D62" w:rsidRDefault="009E4F6C" w:rsidP="009E4F6C">
            <w:pPr>
              <w:rPr>
                <w:sz w:val="22"/>
                <w:szCs w:val="22"/>
              </w:rPr>
            </w:pPr>
            <w:r w:rsidRPr="00160D62">
              <w:rPr>
                <w:sz w:val="22"/>
                <w:szCs w:val="22"/>
              </w:rPr>
              <w:t>• Гибкая настройка:</w:t>
            </w:r>
          </w:p>
          <w:p w14:paraId="09703629" w14:textId="77777777" w:rsidR="009E4F6C" w:rsidRPr="00160D62" w:rsidRDefault="009E4F6C" w:rsidP="009E4F6C">
            <w:pPr>
              <w:rPr>
                <w:sz w:val="22"/>
                <w:szCs w:val="22"/>
              </w:rPr>
            </w:pPr>
            <w:r w:rsidRPr="00160D62">
              <w:rPr>
                <w:sz w:val="22"/>
                <w:szCs w:val="22"/>
              </w:rPr>
              <w:t>• системы тарификации по услугам теплоснабжения (с возможностью детализации по номенклатуре, источнику услуг, подразделению, группе потребителей и др.);</w:t>
            </w:r>
          </w:p>
          <w:p w14:paraId="30DA7985" w14:textId="77777777" w:rsidR="009E4F6C" w:rsidRPr="00160D62" w:rsidRDefault="009E4F6C" w:rsidP="009E4F6C">
            <w:pPr>
              <w:rPr>
                <w:sz w:val="22"/>
                <w:szCs w:val="22"/>
              </w:rPr>
            </w:pPr>
            <w:r w:rsidRPr="00160D62">
              <w:rPr>
                <w:sz w:val="22"/>
                <w:szCs w:val="22"/>
              </w:rPr>
              <w:t>• состава номенклатуры для отражения реализации услуг;</w:t>
            </w:r>
          </w:p>
          <w:p w14:paraId="4874A6C0" w14:textId="77777777" w:rsidR="009E4F6C" w:rsidRPr="00160D62" w:rsidRDefault="009E4F6C" w:rsidP="009E4F6C">
            <w:pPr>
              <w:rPr>
                <w:sz w:val="22"/>
                <w:szCs w:val="22"/>
              </w:rPr>
            </w:pPr>
            <w:r w:rsidRPr="00160D62">
              <w:rPr>
                <w:sz w:val="22"/>
                <w:szCs w:val="22"/>
              </w:rPr>
              <w:t>• системы получения аналитической отчетности по результатам расчетов реализации;</w:t>
            </w:r>
          </w:p>
          <w:p w14:paraId="3E2DFFDF" w14:textId="77777777" w:rsidR="009E4F6C" w:rsidRPr="00160D62" w:rsidRDefault="009E4F6C" w:rsidP="009E4F6C">
            <w:pPr>
              <w:rPr>
                <w:sz w:val="22"/>
                <w:szCs w:val="22"/>
              </w:rPr>
            </w:pPr>
            <w:r w:rsidRPr="00160D62">
              <w:rPr>
                <w:sz w:val="22"/>
                <w:szCs w:val="22"/>
              </w:rPr>
              <w:t>• Учет корректировок и исправлений документов реализации прошлых периодов;</w:t>
            </w:r>
          </w:p>
          <w:p w14:paraId="05BDEBFA" w14:textId="77777777" w:rsidR="009E4F6C" w:rsidRPr="00160D62" w:rsidRDefault="009E4F6C" w:rsidP="009E4F6C">
            <w:pPr>
              <w:rPr>
                <w:sz w:val="22"/>
                <w:szCs w:val="22"/>
              </w:rPr>
            </w:pPr>
            <w:r w:rsidRPr="00160D62">
              <w:rPr>
                <w:sz w:val="22"/>
                <w:szCs w:val="22"/>
              </w:rPr>
              <w:t>• Фактическое и авансовое выставление счетов потребителям;</w:t>
            </w:r>
          </w:p>
          <w:p w14:paraId="621280C1" w14:textId="77777777" w:rsidR="009E4F6C" w:rsidRPr="00160D62" w:rsidRDefault="009E4F6C" w:rsidP="009E4F6C">
            <w:pPr>
              <w:rPr>
                <w:sz w:val="22"/>
                <w:szCs w:val="22"/>
              </w:rPr>
            </w:pPr>
            <w:r w:rsidRPr="00160D62">
              <w:rPr>
                <w:sz w:val="22"/>
                <w:szCs w:val="22"/>
              </w:rPr>
              <w:t>• Автоматическое формирование и массовая печать документов реализации на основании произведенных расчетов (счет-фактура, акт выполненных работ, счет на оплату и др.);</w:t>
            </w:r>
          </w:p>
          <w:p w14:paraId="7AE24905" w14:textId="77777777" w:rsidR="009E4F6C" w:rsidRPr="00160D62" w:rsidRDefault="009E4F6C" w:rsidP="009E4F6C">
            <w:pPr>
              <w:rPr>
                <w:sz w:val="22"/>
                <w:szCs w:val="22"/>
              </w:rPr>
            </w:pPr>
            <w:r w:rsidRPr="00160D62">
              <w:rPr>
                <w:sz w:val="22"/>
                <w:szCs w:val="22"/>
              </w:rPr>
              <w:t>• Возможность массовой печати с разбивкой на реестры (по группам потребителей, в банк, на руки и т.д.);</w:t>
            </w:r>
          </w:p>
          <w:p w14:paraId="56184E02" w14:textId="77777777" w:rsidR="009E4F6C" w:rsidRPr="00160D62" w:rsidRDefault="009E4F6C" w:rsidP="009E4F6C">
            <w:pPr>
              <w:rPr>
                <w:sz w:val="22"/>
                <w:szCs w:val="22"/>
              </w:rPr>
            </w:pPr>
            <w:r w:rsidRPr="00160D62">
              <w:rPr>
                <w:sz w:val="22"/>
                <w:szCs w:val="22"/>
              </w:rPr>
              <w:t xml:space="preserve">• Произведение начислений и формирование документов реализации по произведенным количественным расчетам. </w:t>
            </w:r>
          </w:p>
          <w:p w14:paraId="7D75930A" w14:textId="77777777" w:rsidR="009E4F6C" w:rsidRPr="00160D62" w:rsidRDefault="009E4F6C" w:rsidP="009E4F6C">
            <w:pPr>
              <w:rPr>
                <w:sz w:val="22"/>
                <w:szCs w:val="22"/>
              </w:rPr>
            </w:pPr>
            <w:r w:rsidRPr="00160D62">
              <w:rPr>
                <w:sz w:val="22"/>
                <w:szCs w:val="22"/>
              </w:rPr>
              <w:t>• Расчет распределения тепловой энергии</w:t>
            </w:r>
            <w:r w:rsidR="00D73F9C" w:rsidRPr="00160D62">
              <w:rPr>
                <w:sz w:val="22"/>
                <w:szCs w:val="22"/>
              </w:rPr>
              <w:t xml:space="preserve"> горячая вода открытая система, горячая вода закрытая система, горячая вода бойлер</w:t>
            </w:r>
            <w:r w:rsidRPr="00160D62">
              <w:rPr>
                <w:sz w:val="22"/>
                <w:szCs w:val="22"/>
              </w:rPr>
              <w:t xml:space="preserve"> по многоквартирным домам и жилым помещениям:</w:t>
            </w:r>
          </w:p>
          <w:p w14:paraId="2296F18D" w14:textId="77777777" w:rsidR="009E4F6C" w:rsidRPr="00160D62" w:rsidRDefault="009E4F6C" w:rsidP="009E4F6C">
            <w:pPr>
              <w:rPr>
                <w:sz w:val="22"/>
                <w:szCs w:val="22"/>
              </w:rPr>
            </w:pPr>
            <w:r w:rsidRPr="00160D62">
              <w:rPr>
                <w:sz w:val="22"/>
                <w:szCs w:val="22"/>
              </w:rPr>
              <w:t>• Регистрация по лицевому счету:</w:t>
            </w:r>
          </w:p>
          <w:p w14:paraId="13BD7F13" w14:textId="77777777" w:rsidR="009E4F6C" w:rsidRPr="00160D62" w:rsidRDefault="009E4F6C" w:rsidP="009E4F6C">
            <w:pPr>
              <w:rPr>
                <w:sz w:val="22"/>
                <w:szCs w:val="22"/>
              </w:rPr>
            </w:pPr>
            <w:r w:rsidRPr="00160D62">
              <w:rPr>
                <w:sz w:val="22"/>
                <w:szCs w:val="22"/>
              </w:rPr>
              <w:t>•  состава жильцов, хранение истории изменений состава жильцов;</w:t>
            </w:r>
          </w:p>
          <w:p w14:paraId="67C0AF00" w14:textId="77777777" w:rsidR="009E4F6C" w:rsidRPr="00160D62" w:rsidRDefault="009E4F6C" w:rsidP="009E4F6C">
            <w:pPr>
              <w:rPr>
                <w:sz w:val="22"/>
                <w:szCs w:val="22"/>
              </w:rPr>
            </w:pPr>
            <w:r w:rsidRPr="00160D62">
              <w:rPr>
                <w:sz w:val="22"/>
                <w:szCs w:val="22"/>
              </w:rPr>
              <w:t>• состава услуг, хранение истории изменений состава услуг;</w:t>
            </w:r>
          </w:p>
          <w:p w14:paraId="66068E8E" w14:textId="77777777" w:rsidR="009E4F6C" w:rsidRPr="00160D62" w:rsidRDefault="009E4F6C" w:rsidP="009E4F6C">
            <w:pPr>
              <w:rPr>
                <w:sz w:val="22"/>
                <w:szCs w:val="22"/>
              </w:rPr>
            </w:pPr>
            <w:r w:rsidRPr="00160D62">
              <w:rPr>
                <w:sz w:val="22"/>
                <w:szCs w:val="22"/>
              </w:rPr>
              <w:t>• Ввод информации по различным видам льгот;</w:t>
            </w:r>
          </w:p>
          <w:p w14:paraId="2497CB95" w14:textId="77777777" w:rsidR="009E4F6C" w:rsidRPr="00160D62" w:rsidRDefault="009E4F6C" w:rsidP="009E4F6C">
            <w:pPr>
              <w:rPr>
                <w:sz w:val="22"/>
                <w:szCs w:val="22"/>
              </w:rPr>
            </w:pPr>
            <w:r w:rsidRPr="00160D62">
              <w:rPr>
                <w:sz w:val="22"/>
                <w:szCs w:val="22"/>
              </w:rPr>
              <w:t>• Назначение льгот физическим лицам;</w:t>
            </w:r>
          </w:p>
          <w:p w14:paraId="6E69DF7A" w14:textId="77777777" w:rsidR="009E4F6C" w:rsidRPr="00160D62" w:rsidRDefault="009E4F6C" w:rsidP="009E4F6C">
            <w:pPr>
              <w:rPr>
                <w:sz w:val="22"/>
                <w:szCs w:val="22"/>
              </w:rPr>
            </w:pPr>
            <w:r w:rsidRPr="00160D62">
              <w:rPr>
                <w:sz w:val="22"/>
                <w:szCs w:val="22"/>
              </w:rPr>
              <w:t>• Паспортизация квартирных и общеквартирных приборов учета;</w:t>
            </w:r>
          </w:p>
          <w:p w14:paraId="6EAF4F0B" w14:textId="77777777" w:rsidR="009E4F6C" w:rsidRPr="00160D62" w:rsidRDefault="009E4F6C" w:rsidP="009E4F6C">
            <w:pPr>
              <w:rPr>
                <w:sz w:val="22"/>
                <w:szCs w:val="22"/>
              </w:rPr>
            </w:pPr>
            <w:r w:rsidRPr="00160D62">
              <w:rPr>
                <w:sz w:val="22"/>
                <w:szCs w:val="22"/>
              </w:rPr>
              <w:t>• Ввод и хранение информации по допускам в эксплуатацию приборов учета;</w:t>
            </w:r>
          </w:p>
          <w:p w14:paraId="56783F6C" w14:textId="77777777" w:rsidR="009E4F6C" w:rsidRPr="00160D62" w:rsidRDefault="009E4F6C" w:rsidP="009E4F6C">
            <w:pPr>
              <w:rPr>
                <w:sz w:val="22"/>
                <w:szCs w:val="22"/>
              </w:rPr>
            </w:pPr>
            <w:r w:rsidRPr="00160D62">
              <w:rPr>
                <w:sz w:val="22"/>
                <w:szCs w:val="22"/>
              </w:rPr>
              <w:t>• Регистрация показаний и расчет среднемесячного потребления по приборам учета;</w:t>
            </w:r>
          </w:p>
          <w:p w14:paraId="5E25F7C3" w14:textId="77777777" w:rsidR="009E4F6C" w:rsidRPr="00160D62" w:rsidRDefault="009E4F6C" w:rsidP="009E4F6C">
            <w:pPr>
              <w:rPr>
                <w:sz w:val="22"/>
                <w:szCs w:val="22"/>
              </w:rPr>
            </w:pPr>
            <w:r w:rsidRPr="00160D62">
              <w:rPr>
                <w:sz w:val="22"/>
                <w:szCs w:val="22"/>
              </w:rPr>
              <w:t>• Ручной ввод потребления по лицевым счетам;</w:t>
            </w:r>
          </w:p>
          <w:p w14:paraId="719ED266" w14:textId="77777777" w:rsidR="009E4F6C" w:rsidRPr="00160D62" w:rsidRDefault="009E4F6C" w:rsidP="009E4F6C">
            <w:pPr>
              <w:rPr>
                <w:sz w:val="22"/>
                <w:szCs w:val="22"/>
              </w:rPr>
            </w:pPr>
            <w:r w:rsidRPr="00160D62">
              <w:rPr>
                <w:sz w:val="22"/>
                <w:szCs w:val="22"/>
              </w:rPr>
              <w:lastRenderedPageBreak/>
              <w:t>• Учет актов о нарушении качества услуг;</w:t>
            </w:r>
          </w:p>
          <w:p w14:paraId="74FA75BB" w14:textId="77777777" w:rsidR="009E4F6C" w:rsidRPr="00160D62" w:rsidRDefault="009E4F6C" w:rsidP="009E4F6C">
            <w:pPr>
              <w:rPr>
                <w:sz w:val="22"/>
                <w:szCs w:val="22"/>
              </w:rPr>
            </w:pPr>
            <w:r w:rsidRPr="00160D62">
              <w:rPr>
                <w:sz w:val="22"/>
                <w:szCs w:val="22"/>
              </w:rPr>
              <w:t>• Количественный расчет потребленных услуг по лицевым счетам за расчетный период с учетом включений/отключений услуг и истории изменений нормативов потребления коммунальных услуг;</w:t>
            </w:r>
          </w:p>
          <w:p w14:paraId="47838FAD" w14:textId="77777777" w:rsidR="009E4F6C" w:rsidRPr="00160D62" w:rsidRDefault="009E4F6C" w:rsidP="009E4F6C">
            <w:pPr>
              <w:rPr>
                <w:sz w:val="22"/>
                <w:szCs w:val="22"/>
              </w:rPr>
            </w:pPr>
            <w:r w:rsidRPr="00160D62">
              <w:rPr>
                <w:sz w:val="22"/>
                <w:szCs w:val="22"/>
              </w:rPr>
              <w:t xml:space="preserve">• Расчет потребления на ОДН по лицевым счетам с учетом площадей, занимаемых арендаторами и их потребленными услугами. </w:t>
            </w:r>
          </w:p>
          <w:p w14:paraId="1D2BCCB9" w14:textId="77777777" w:rsidR="009E4F6C" w:rsidRPr="00160D62" w:rsidRDefault="009E4F6C" w:rsidP="009E4F6C">
            <w:pPr>
              <w:rPr>
                <w:sz w:val="22"/>
                <w:szCs w:val="22"/>
              </w:rPr>
            </w:pPr>
            <w:r w:rsidRPr="00160D62">
              <w:rPr>
                <w:sz w:val="22"/>
                <w:szCs w:val="22"/>
              </w:rPr>
              <w:t>• Начисление и ведение взаиморасчетов по начислениям по лицевым счетам:</w:t>
            </w:r>
          </w:p>
          <w:p w14:paraId="345985C3" w14:textId="77777777" w:rsidR="009E4F6C" w:rsidRPr="00160D62" w:rsidRDefault="009E4F6C" w:rsidP="009E4F6C">
            <w:pPr>
              <w:rPr>
                <w:sz w:val="22"/>
                <w:szCs w:val="22"/>
              </w:rPr>
            </w:pPr>
            <w:r w:rsidRPr="00160D62">
              <w:rPr>
                <w:sz w:val="22"/>
                <w:szCs w:val="22"/>
              </w:rPr>
              <w:t>• Гибкая настройка тарификации по услугам населению;</w:t>
            </w:r>
          </w:p>
          <w:p w14:paraId="696D584A" w14:textId="77777777" w:rsidR="009E4F6C" w:rsidRPr="00160D62" w:rsidRDefault="009E4F6C" w:rsidP="009E4F6C">
            <w:pPr>
              <w:rPr>
                <w:sz w:val="22"/>
                <w:szCs w:val="22"/>
              </w:rPr>
            </w:pPr>
            <w:r w:rsidRPr="00160D62">
              <w:rPr>
                <w:sz w:val="22"/>
                <w:szCs w:val="22"/>
              </w:rPr>
              <w:t>• Проведение суммовых начислений по лицевым счетам за расчетный период;</w:t>
            </w:r>
          </w:p>
          <w:p w14:paraId="22E0EF8B" w14:textId="77777777" w:rsidR="009E4F6C" w:rsidRPr="00160D62" w:rsidRDefault="009E4F6C" w:rsidP="009E4F6C">
            <w:pPr>
              <w:rPr>
                <w:sz w:val="22"/>
                <w:szCs w:val="22"/>
              </w:rPr>
            </w:pPr>
            <w:r w:rsidRPr="00160D62">
              <w:rPr>
                <w:sz w:val="22"/>
                <w:szCs w:val="22"/>
              </w:rPr>
              <w:t>• Автоматизированная корректировка ранее произведенных начислений;</w:t>
            </w:r>
          </w:p>
          <w:p w14:paraId="2A52671D" w14:textId="77777777" w:rsidR="009E4F6C" w:rsidRPr="00160D62" w:rsidRDefault="009E4F6C" w:rsidP="009E4F6C">
            <w:pPr>
              <w:rPr>
                <w:sz w:val="22"/>
                <w:szCs w:val="22"/>
              </w:rPr>
            </w:pPr>
            <w:r w:rsidRPr="00160D62">
              <w:rPr>
                <w:sz w:val="22"/>
                <w:szCs w:val="22"/>
              </w:rPr>
              <w:t>• Формирование реестров платежных документов по физическим лицам;</w:t>
            </w:r>
          </w:p>
          <w:p w14:paraId="364A7F2E" w14:textId="77777777" w:rsidR="009E4F6C" w:rsidRPr="00160D62" w:rsidRDefault="009E4F6C" w:rsidP="009E4F6C">
            <w:pPr>
              <w:rPr>
                <w:sz w:val="22"/>
                <w:szCs w:val="22"/>
              </w:rPr>
            </w:pPr>
            <w:r w:rsidRPr="00160D62">
              <w:rPr>
                <w:sz w:val="22"/>
                <w:szCs w:val="22"/>
              </w:rPr>
              <w:t>• Массовая печать платежных документов по реестрам;</w:t>
            </w:r>
          </w:p>
          <w:p w14:paraId="62FDD1AA" w14:textId="77777777" w:rsidR="009E4F6C" w:rsidRPr="00160D62" w:rsidRDefault="009E4F6C" w:rsidP="009E4F6C">
            <w:pPr>
              <w:rPr>
                <w:sz w:val="22"/>
                <w:szCs w:val="22"/>
              </w:rPr>
            </w:pPr>
            <w:r w:rsidRPr="00160D62">
              <w:rPr>
                <w:sz w:val="22"/>
                <w:szCs w:val="22"/>
              </w:rPr>
              <w:t>• Импорт банковской выписки по физическим лицам;</w:t>
            </w:r>
          </w:p>
          <w:p w14:paraId="3E614B50" w14:textId="77777777" w:rsidR="009E4F6C" w:rsidRPr="00160D62" w:rsidRDefault="009E4F6C" w:rsidP="009E4F6C">
            <w:pPr>
              <w:rPr>
                <w:sz w:val="22"/>
                <w:szCs w:val="22"/>
              </w:rPr>
            </w:pPr>
            <w:r w:rsidRPr="00160D62">
              <w:rPr>
                <w:sz w:val="22"/>
                <w:szCs w:val="22"/>
              </w:rPr>
              <w:t>• Ввод и хранение информации по оплате через банк по физическим лицам;</w:t>
            </w:r>
          </w:p>
          <w:p w14:paraId="35930CC3" w14:textId="77777777" w:rsidR="009E4F6C" w:rsidRPr="00160D62" w:rsidRDefault="009E4F6C" w:rsidP="009E4F6C">
            <w:pPr>
              <w:rPr>
                <w:sz w:val="22"/>
                <w:szCs w:val="22"/>
              </w:rPr>
            </w:pPr>
            <w:r w:rsidRPr="00160D62">
              <w:rPr>
                <w:sz w:val="22"/>
                <w:szCs w:val="22"/>
              </w:rPr>
              <w:t>• Формирование отчетности по задолженности лицевых счетов;</w:t>
            </w:r>
          </w:p>
          <w:p w14:paraId="655D605E" w14:textId="77777777" w:rsidR="009E4F6C" w:rsidRPr="00160D62" w:rsidRDefault="009E4F6C" w:rsidP="009E4F6C">
            <w:pPr>
              <w:rPr>
                <w:sz w:val="22"/>
                <w:szCs w:val="22"/>
              </w:rPr>
            </w:pPr>
            <w:r w:rsidRPr="00160D62">
              <w:rPr>
                <w:sz w:val="22"/>
                <w:szCs w:val="22"/>
              </w:rPr>
              <w:t xml:space="preserve">• Автоматическое взаимодействие с интернет-сайтом "Личный кабинет физического лица" в части обмена данными по начислениям, оплатам, показаниям приборов учета. </w:t>
            </w:r>
          </w:p>
          <w:p w14:paraId="4A46D395" w14:textId="77777777" w:rsidR="009E4F6C" w:rsidRPr="00160D62" w:rsidRDefault="009E4F6C" w:rsidP="009E4F6C">
            <w:pPr>
              <w:rPr>
                <w:sz w:val="22"/>
                <w:szCs w:val="22"/>
              </w:rPr>
            </w:pPr>
            <w:r w:rsidRPr="00160D62">
              <w:rPr>
                <w:sz w:val="22"/>
                <w:szCs w:val="22"/>
              </w:rPr>
              <w:t>• Учет задолженности по лицевым счетам, начисление пени:</w:t>
            </w:r>
          </w:p>
          <w:p w14:paraId="1A2FE861" w14:textId="77777777" w:rsidR="009E4F6C" w:rsidRPr="00160D62" w:rsidRDefault="009E4F6C" w:rsidP="009E4F6C">
            <w:pPr>
              <w:rPr>
                <w:sz w:val="22"/>
                <w:szCs w:val="22"/>
              </w:rPr>
            </w:pPr>
            <w:r w:rsidRPr="00160D62">
              <w:rPr>
                <w:sz w:val="22"/>
                <w:szCs w:val="22"/>
              </w:rPr>
              <w:t>• Разнесение поступившей оплаты по начислениям по лицевым счетам;</w:t>
            </w:r>
          </w:p>
          <w:p w14:paraId="3AF27E45" w14:textId="77777777" w:rsidR="009E4F6C" w:rsidRPr="00160D62" w:rsidRDefault="009E4F6C" w:rsidP="009E4F6C">
            <w:pPr>
              <w:rPr>
                <w:sz w:val="22"/>
                <w:szCs w:val="22"/>
              </w:rPr>
            </w:pPr>
            <w:r w:rsidRPr="00160D62">
              <w:rPr>
                <w:sz w:val="22"/>
                <w:szCs w:val="22"/>
              </w:rPr>
              <w:t>• Учет сроков возникновения задолженности;</w:t>
            </w:r>
          </w:p>
          <w:p w14:paraId="03E2FD47" w14:textId="77777777" w:rsidR="009E4F6C" w:rsidRPr="00160D62" w:rsidRDefault="009E4F6C" w:rsidP="009E4F6C">
            <w:pPr>
              <w:rPr>
                <w:sz w:val="22"/>
                <w:szCs w:val="22"/>
              </w:rPr>
            </w:pPr>
            <w:r w:rsidRPr="00160D62">
              <w:rPr>
                <w:sz w:val="22"/>
                <w:szCs w:val="22"/>
              </w:rPr>
              <w:t xml:space="preserve">• Начисление пени в соответствии с Федеральным законом от 3 ноября 2015 г.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w:t>
            </w:r>
          </w:p>
          <w:p w14:paraId="361B48F6" w14:textId="77777777" w:rsidR="009E4F6C" w:rsidRPr="00160D62" w:rsidRDefault="009E4F6C" w:rsidP="009E4F6C">
            <w:pPr>
              <w:rPr>
                <w:sz w:val="22"/>
                <w:szCs w:val="22"/>
              </w:rPr>
            </w:pPr>
            <w:r w:rsidRPr="00160D62">
              <w:rPr>
                <w:sz w:val="22"/>
                <w:szCs w:val="22"/>
              </w:rPr>
              <w:t>• Учет задолженности по договорам сбыта:</w:t>
            </w:r>
          </w:p>
          <w:p w14:paraId="4FCAD9BC" w14:textId="77777777" w:rsidR="009E4F6C" w:rsidRPr="00160D62" w:rsidRDefault="009E4F6C" w:rsidP="009E4F6C">
            <w:pPr>
              <w:rPr>
                <w:sz w:val="22"/>
                <w:szCs w:val="22"/>
              </w:rPr>
            </w:pPr>
            <w:r w:rsidRPr="00160D62">
              <w:rPr>
                <w:sz w:val="22"/>
                <w:szCs w:val="22"/>
              </w:rPr>
              <w:t>• Учет сроков возникновения задолженности по договорам теплоснабжения;</w:t>
            </w:r>
          </w:p>
          <w:p w14:paraId="340FEF5E" w14:textId="77777777" w:rsidR="009E4F6C" w:rsidRPr="00160D62" w:rsidRDefault="009E4F6C" w:rsidP="009E4F6C">
            <w:pPr>
              <w:rPr>
                <w:sz w:val="22"/>
                <w:szCs w:val="22"/>
              </w:rPr>
            </w:pPr>
            <w:r w:rsidRPr="00160D62">
              <w:rPr>
                <w:sz w:val="22"/>
                <w:szCs w:val="22"/>
              </w:rPr>
              <w:t>• Начисление пени по договорам теплоснабжения в соответствии с Федеральным законом от 3 ноября2015 г.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14:paraId="625EBC78" w14:textId="07762644" w:rsidR="009E4F6C" w:rsidRPr="00160D62" w:rsidRDefault="009E4F6C" w:rsidP="009E4F6C">
            <w:pPr>
              <w:rPr>
                <w:sz w:val="22"/>
                <w:szCs w:val="22"/>
              </w:rPr>
            </w:pPr>
            <w:r w:rsidRPr="00160D62">
              <w:rPr>
                <w:sz w:val="22"/>
                <w:szCs w:val="22"/>
              </w:rPr>
              <w:t xml:space="preserve">• Начисление неустойки по договорам теплоснабжения в соответствии с Гражданским кодексом Российской Федерации (часть первая) от 30.11.1994 N 51-ФЗ Статья 395. Ответственность за неисполнение денежного обязательства. </w:t>
            </w:r>
          </w:p>
          <w:p w14:paraId="677120D5" w14:textId="77777777" w:rsidR="009E4F6C" w:rsidRPr="00160D62" w:rsidRDefault="009E4F6C" w:rsidP="009E4F6C">
            <w:pPr>
              <w:rPr>
                <w:sz w:val="22"/>
                <w:szCs w:val="22"/>
              </w:rPr>
            </w:pPr>
            <w:r w:rsidRPr="00160D62">
              <w:rPr>
                <w:sz w:val="22"/>
                <w:szCs w:val="22"/>
              </w:rPr>
              <w:t>• Обмен информацией с Государственной информационной системой жилищно-коммунального хозяйства (ГИС ЖКХ):</w:t>
            </w:r>
          </w:p>
          <w:p w14:paraId="7A057207" w14:textId="77777777" w:rsidR="009E4F6C" w:rsidRPr="00160D62" w:rsidRDefault="009E4F6C" w:rsidP="009E4F6C">
            <w:pPr>
              <w:rPr>
                <w:sz w:val="22"/>
                <w:szCs w:val="22"/>
              </w:rPr>
            </w:pPr>
            <w:r w:rsidRPr="00160D62">
              <w:rPr>
                <w:sz w:val="22"/>
                <w:szCs w:val="22"/>
              </w:rPr>
              <w:t>• Задание значений "по умолчанию" для выгружаемых объектов;</w:t>
            </w:r>
          </w:p>
          <w:p w14:paraId="3DF470E7" w14:textId="77777777" w:rsidR="009E4F6C" w:rsidRPr="00160D62" w:rsidRDefault="009E4F6C" w:rsidP="009E4F6C">
            <w:pPr>
              <w:rPr>
                <w:sz w:val="22"/>
                <w:szCs w:val="22"/>
              </w:rPr>
            </w:pPr>
            <w:r w:rsidRPr="00160D62">
              <w:rPr>
                <w:sz w:val="22"/>
                <w:szCs w:val="22"/>
              </w:rPr>
              <w:t>• Настройка соответствий синхронизируемых справочников ГИС ЖКХ и справочников конфигурации " (например, соответствие услуг);</w:t>
            </w:r>
          </w:p>
          <w:p w14:paraId="659C1938" w14:textId="77777777" w:rsidR="009E4F6C" w:rsidRPr="00160D62" w:rsidRDefault="009E4F6C" w:rsidP="009E4F6C">
            <w:pPr>
              <w:rPr>
                <w:sz w:val="22"/>
                <w:szCs w:val="22"/>
              </w:rPr>
            </w:pPr>
            <w:r w:rsidRPr="00160D62">
              <w:rPr>
                <w:sz w:val="22"/>
                <w:szCs w:val="22"/>
              </w:rPr>
              <w:t>• Синхронизация данных ГИС ЖКХ с данными конфигурации "Управление теплосетью 2" на основании загруженных правил конвертации данных;</w:t>
            </w:r>
          </w:p>
          <w:p w14:paraId="3080683D" w14:textId="77777777" w:rsidR="009E4F6C" w:rsidRPr="00160D62" w:rsidRDefault="009E4F6C" w:rsidP="009E4F6C">
            <w:pPr>
              <w:rPr>
                <w:sz w:val="22"/>
                <w:szCs w:val="22"/>
              </w:rPr>
            </w:pPr>
            <w:r w:rsidRPr="00160D62">
              <w:rPr>
                <w:sz w:val="22"/>
                <w:szCs w:val="22"/>
              </w:rPr>
              <w:t>• Возможность редактировать и загружать измененные правила конвертации;</w:t>
            </w:r>
          </w:p>
          <w:p w14:paraId="492BBF68" w14:textId="77777777" w:rsidR="009E4F6C" w:rsidRPr="00160D62" w:rsidRDefault="009E4F6C" w:rsidP="009E4F6C">
            <w:pPr>
              <w:rPr>
                <w:sz w:val="22"/>
                <w:szCs w:val="22"/>
              </w:rPr>
            </w:pPr>
            <w:r w:rsidRPr="00160D62">
              <w:rPr>
                <w:sz w:val="22"/>
                <w:szCs w:val="22"/>
              </w:rPr>
              <w:t>• Автоматическое определение кодов ФИАС и ОКТМО для адресов загруженных объектов сети снабжения;</w:t>
            </w:r>
          </w:p>
          <w:p w14:paraId="2E5ACB0E" w14:textId="77777777" w:rsidR="009E4F6C" w:rsidRPr="00160D62" w:rsidRDefault="009E4F6C" w:rsidP="009E4F6C">
            <w:pPr>
              <w:rPr>
                <w:sz w:val="22"/>
                <w:szCs w:val="22"/>
              </w:rPr>
            </w:pPr>
            <w:r w:rsidRPr="00160D62">
              <w:rPr>
                <w:sz w:val="22"/>
                <w:szCs w:val="22"/>
              </w:rPr>
              <w:t xml:space="preserve">• Возможность загрузки </w:t>
            </w:r>
            <w:proofErr w:type="spellStart"/>
            <w:r w:rsidRPr="00160D62">
              <w:rPr>
                <w:sz w:val="22"/>
                <w:szCs w:val="22"/>
              </w:rPr>
              <w:t>Excel</w:t>
            </w:r>
            <w:proofErr w:type="spellEnd"/>
            <w:r w:rsidRPr="00160D62">
              <w:rPr>
                <w:sz w:val="22"/>
                <w:szCs w:val="22"/>
              </w:rPr>
              <w:t xml:space="preserve"> файлов в ГИС ЖКХ;</w:t>
            </w:r>
          </w:p>
          <w:p w14:paraId="6C2C9C7E" w14:textId="77777777" w:rsidR="009E4F6C" w:rsidRPr="00160D62" w:rsidRDefault="009E4F6C" w:rsidP="009E4F6C">
            <w:pPr>
              <w:rPr>
                <w:sz w:val="22"/>
                <w:szCs w:val="22"/>
              </w:rPr>
            </w:pPr>
            <w:r w:rsidRPr="00160D62">
              <w:rPr>
                <w:sz w:val="22"/>
                <w:szCs w:val="22"/>
              </w:rPr>
              <w:t xml:space="preserve">• Выгрузка данных в </w:t>
            </w:r>
            <w:proofErr w:type="spellStart"/>
            <w:r w:rsidRPr="00160D62">
              <w:rPr>
                <w:sz w:val="22"/>
                <w:szCs w:val="22"/>
              </w:rPr>
              <w:t>Excel</w:t>
            </w:r>
            <w:proofErr w:type="spellEnd"/>
            <w:r w:rsidRPr="00160D62">
              <w:rPr>
                <w:sz w:val="22"/>
                <w:szCs w:val="22"/>
              </w:rPr>
              <w:t xml:space="preserve"> из ГИС ЖКХ;</w:t>
            </w:r>
          </w:p>
          <w:p w14:paraId="067C87C3" w14:textId="77777777" w:rsidR="009E4F6C" w:rsidRPr="00160D62" w:rsidRDefault="009E4F6C" w:rsidP="009E4F6C">
            <w:pPr>
              <w:rPr>
                <w:sz w:val="22"/>
                <w:szCs w:val="22"/>
              </w:rPr>
            </w:pPr>
            <w:r w:rsidRPr="00160D62">
              <w:rPr>
                <w:sz w:val="22"/>
                <w:szCs w:val="22"/>
              </w:rPr>
              <w:t xml:space="preserve">• Загрузка ответных файлов, полученных с сайта ГИС ЖКХ, со статусами загрузки и внутренними идентификаторами ГИС ЖКХ. </w:t>
            </w:r>
          </w:p>
          <w:p w14:paraId="7270EC39" w14:textId="77777777" w:rsidR="009E4F6C" w:rsidRPr="00160D62" w:rsidRDefault="009E4F6C" w:rsidP="009E4F6C">
            <w:pPr>
              <w:rPr>
                <w:sz w:val="22"/>
                <w:szCs w:val="22"/>
              </w:rPr>
            </w:pPr>
            <w:r w:rsidRPr="00160D62">
              <w:rPr>
                <w:sz w:val="22"/>
                <w:szCs w:val="22"/>
              </w:rPr>
              <w:t>• Претензионно-исковая работа:</w:t>
            </w:r>
          </w:p>
          <w:p w14:paraId="7123433C" w14:textId="77777777" w:rsidR="009E4F6C" w:rsidRPr="00160D62" w:rsidRDefault="009E4F6C" w:rsidP="009E4F6C">
            <w:pPr>
              <w:rPr>
                <w:sz w:val="22"/>
                <w:szCs w:val="22"/>
              </w:rPr>
            </w:pPr>
            <w:r w:rsidRPr="00160D62">
              <w:rPr>
                <w:sz w:val="22"/>
                <w:szCs w:val="22"/>
              </w:rPr>
              <w:t xml:space="preserve">•  Настройка различных сценариев ведения претензионно-исковой работы; </w:t>
            </w:r>
          </w:p>
          <w:p w14:paraId="70D750CD" w14:textId="77777777" w:rsidR="009E4F6C" w:rsidRPr="00160D62" w:rsidRDefault="009E4F6C" w:rsidP="009E4F6C">
            <w:pPr>
              <w:rPr>
                <w:sz w:val="22"/>
                <w:szCs w:val="22"/>
              </w:rPr>
            </w:pPr>
            <w:r w:rsidRPr="00160D62">
              <w:rPr>
                <w:sz w:val="22"/>
                <w:szCs w:val="22"/>
              </w:rPr>
              <w:t>• Ввод, хранение и печать исковых заявлений;</w:t>
            </w:r>
          </w:p>
          <w:p w14:paraId="0F43B9FE" w14:textId="77777777" w:rsidR="009E4F6C" w:rsidRPr="00160D62" w:rsidRDefault="009E4F6C" w:rsidP="009E4F6C">
            <w:pPr>
              <w:rPr>
                <w:sz w:val="22"/>
                <w:szCs w:val="22"/>
              </w:rPr>
            </w:pPr>
            <w:r w:rsidRPr="00160D62">
              <w:rPr>
                <w:sz w:val="22"/>
                <w:szCs w:val="22"/>
              </w:rPr>
              <w:t>• Гибкая настройка системы ведения исковой и претензионной работы на базе механизма бизнес-процессов;</w:t>
            </w:r>
          </w:p>
          <w:p w14:paraId="3442FFF1" w14:textId="77777777" w:rsidR="009E4F6C" w:rsidRPr="00160D62" w:rsidRDefault="009E4F6C" w:rsidP="009E4F6C">
            <w:pPr>
              <w:rPr>
                <w:sz w:val="22"/>
                <w:szCs w:val="22"/>
              </w:rPr>
            </w:pPr>
            <w:r w:rsidRPr="00160D62">
              <w:rPr>
                <w:sz w:val="22"/>
                <w:szCs w:val="22"/>
              </w:rPr>
              <w:t>• Гибкая настройка системы получения аналитической отчетности по мероприятиям урегулирования задолженности.</w:t>
            </w:r>
          </w:p>
          <w:p w14:paraId="0961A303" w14:textId="2E29033A" w:rsidR="009E4F6C" w:rsidRPr="00160D62" w:rsidRDefault="009E4F6C" w:rsidP="009E4F6C">
            <w:pPr>
              <w:rPr>
                <w:sz w:val="22"/>
                <w:szCs w:val="22"/>
              </w:rPr>
            </w:pPr>
            <w:r w:rsidRPr="00160D62">
              <w:rPr>
                <w:sz w:val="22"/>
                <w:szCs w:val="22"/>
              </w:rPr>
              <w:t>•  Учётная система разработана на новейшей версии технологической платформы "1С:</w:t>
            </w:r>
            <w:r w:rsidR="0045394F" w:rsidRPr="00160D62">
              <w:rPr>
                <w:sz w:val="22"/>
                <w:szCs w:val="22"/>
              </w:rPr>
              <w:t xml:space="preserve"> </w:t>
            </w:r>
            <w:r w:rsidRPr="00160D62">
              <w:rPr>
                <w:sz w:val="22"/>
                <w:szCs w:val="22"/>
              </w:rPr>
              <w:t>Предприятие 8.3", которая позволяет:</w:t>
            </w:r>
          </w:p>
          <w:p w14:paraId="70B02AD0" w14:textId="77777777" w:rsidR="009E4F6C" w:rsidRPr="00160D62" w:rsidRDefault="009E4F6C" w:rsidP="009E4F6C">
            <w:pPr>
              <w:rPr>
                <w:sz w:val="22"/>
                <w:szCs w:val="22"/>
              </w:rPr>
            </w:pPr>
            <w:r w:rsidRPr="00160D62">
              <w:rPr>
                <w:sz w:val="22"/>
                <w:szCs w:val="22"/>
              </w:rPr>
              <w:lastRenderedPageBreak/>
              <w:t>• обеспечить высокую надежность, производительность и масштабируемость системы;</w:t>
            </w:r>
          </w:p>
          <w:p w14:paraId="316766E0" w14:textId="77777777" w:rsidR="009E4F6C" w:rsidRPr="00160D62" w:rsidRDefault="009E4F6C" w:rsidP="009E4F6C">
            <w:pPr>
              <w:rPr>
                <w:sz w:val="22"/>
                <w:szCs w:val="22"/>
              </w:rPr>
            </w:pPr>
            <w:r w:rsidRPr="00160D62">
              <w:rPr>
                <w:sz w:val="22"/>
                <w:szCs w:val="22"/>
              </w:rPr>
              <w:t>• организовать работу с системой через Интернет, в режиме тонкого клиента или веб-клиента (через обычный интернет-браузер), в том числе в "облачном" режиме;</w:t>
            </w:r>
          </w:p>
          <w:p w14:paraId="66E26CC6" w14:textId="77777777" w:rsidR="003E6F53" w:rsidRPr="00160D62" w:rsidRDefault="009E4F6C" w:rsidP="009E4F6C">
            <w:pPr>
              <w:rPr>
                <w:sz w:val="22"/>
                <w:szCs w:val="22"/>
              </w:rPr>
            </w:pPr>
            <w:r w:rsidRPr="00160D62">
              <w:rPr>
                <w:sz w:val="22"/>
                <w:szCs w:val="22"/>
              </w:rPr>
              <w:t>• настраивать интерфейс для конкретного пользователя или группы пользователей с учетом роли пользователя, его прав доступа и индивидуальных настроек.</w:t>
            </w:r>
          </w:p>
        </w:tc>
      </w:tr>
    </w:tbl>
    <w:p w14:paraId="2C26A79D" w14:textId="3D9783FD" w:rsidR="00D6597E" w:rsidRDefault="00D6597E" w:rsidP="002C6B8F">
      <w:pPr>
        <w:spacing w:line="360" w:lineRule="auto"/>
        <w:jc w:val="center"/>
        <w:rPr>
          <w:sz w:val="22"/>
          <w:szCs w:val="22"/>
        </w:rPr>
      </w:pPr>
    </w:p>
    <w:p w14:paraId="78AF6430" w14:textId="5E375404" w:rsidR="00647643" w:rsidRDefault="00647643" w:rsidP="00647643">
      <w:pPr>
        <w:spacing w:line="360" w:lineRule="auto"/>
        <w:jc w:val="right"/>
        <w:rPr>
          <w:sz w:val="22"/>
          <w:szCs w:val="22"/>
        </w:rPr>
      </w:pPr>
      <w:r>
        <w:rPr>
          <w:sz w:val="22"/>
          <w:szCs w:val="22"/>
        </w:rPr>
        <w:t>Таблица № 2</w:t>
      </w:r>
    </w:p>
    <w:p w14:paraId="7F7171B0" w14:textId="77777777" w:rsidR="00647643" w:rsidRPr="00647643" w:rsidRDefault="00647643" w:rsidP="00647643">
      <w:pPr>
        <w:overflowPunct/>
        <w:autoSpaceDE/>
        <w:autoSpaceDN/>
        <w:adjustRightInd/>
        <w:ind w:left="709"/>
        <w:jc w:val="center"/>
        <w:textAlignment w:val="auto"/>
        <w:rPr>
          <w:rFonts w:eastAsia="Calibri"/>
          <w:b/>
          <w:bCs/>
          <w:sz w:val="22"/>
          <w:szCs w:val="22"/>
          <w:lang w:eastAsia="en-US"/>
        </w:rPr>
      </w:pPr>
      <w:r w:rsidRPr="00647643">
        <w:rPr>
          <w:rFonts w:eastAsia="Calibri"/>
          <w:b/>
          <w:bCs/>
          <w:sz w:val="22"/>
          <w:szCs w:val="22"/>
          <w:lang w:eastAsia="en-US"/>
        </w:rPr>
        <w:t>Календарный план оказания услуг</w:t>
      </w:r>
    </w:p>
    <w:p w14:paraId="3E236413" w14:textId="77777777" w:rsidR="00647643" w:rsidRPr="00647643" w:rsidRDefault="00647643" w:rsidP="00647643">
      <w:pPr>
        <w:overflowPunct/>
        <w:autoSpaceDE/>
        <w:autoSpaceDN/>
        <w:adjustRightInd/>
        <w:ind w:left="709"/>
        <w:jc w:val="center"/>
        <w:textAlignment w:val="auto"/>
        <w:rPr>
          <w:rFonts w:eastAsia="Calibri"/>
          <w:b/>
          <w:bCs/>
          <w:sz w:val="22"/>
          <w:szCs w:val="22"/>
          <w:lang w:eastAsia="en-US"/>
        </w:rPr>
      </w:pPr>
    </w:p>
    <w:tbl>
      <w:tblPr>
        <w:tblW w:w="1077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6237"/>
        <w:gridCol w:w="2127"/>
        <w:gridCol w:w="1304"/>
      </w:tblGrid>
      <w:tr w:rsidR="00647643" w:rsidRPr="00647643" w14:paraId="5440444A" w14:textId="77777777" w:rsidTr="00647643">
        <w:trPr>
          <w:cantSplit/>
          <w:tblHeader/>
        </w:trPr>
        <w:tc>
          <w:tcPr>
            <w:tcW w:w="1106" w:type="dxa"/>
            <w:shd w:val="clear" w:color="auto" w:fill="CCCCCC"/>
            <w:vAlign w:val="center"/>
          </w:tcPr>
          <w:p w14:paraId="6EC2FF8C" w14:textId="77777777" w:rsidR="00647643" w:rsidRPr="00647643" w:rsidRDefault="00647643" w:rsidP="00647643">
            <w:pPr>
              <w:overflowPunct/>
              <w:autoSpaceDE/>
              <w:autoSpaceDN/>
              <w:adjustRightInd/>
              <w:snapToGrid w:val="0"/>
              <w:ind w:left="8" w:hanging="8"/>
              <w:jc w:val="center"/>
              <w:textAlignment w:val="auto"/>
              <w:rPr>
                <w:rFonts w:eastAsia="Calibri"/>
                <w:bCs/>
                <w:sz w:val="22"/>
                <w:szCs w:val="22"/>
                <w:lang w:eastAsia="en-US"/>
              </w:rPr>
            </w:pPr>
            <w:r w:rsidRPr="00647643">
              <w:rPr>
                <w:rFonts w:eastAsia="Calibri"/>
                <w:bCs/>
                <w:sz w:val="22"/>
                <w:szCs w:val="22"/>
                <w:lang w:eastAsia="en-US"/>
              </w:rPr>
              <w:t>№</w:t>
            </w:r>
            <w:r w:rsidRPr="00647643">
              <w:rPr>
                <w:rFonts w:eastAsia="Arial"/>
                <w:bCs/>
                <w:sz w:val="22"/>
                <w:szCs w:val="22"/>
                <w:lang w:eastAsia="en-US"/>
              </w:rPr>
              <w:t xml:space="preserve"> </w:t>
            </w:r>
            <w:r w:rsidRPr="00647643">
              <w:rPr>
                <w:rFonts w:eastAsia="Calibri"/>
                <w:bCs/>
                <w:sz w:val="22"/>
                <w:szCs w:val="22"/>
                <w:lang w:eastAsia="en-US"/>
              </w:rPr>
              <w:t>Этапа</w:t>
            </w:r>
          </w:p>
        </w:tc>
        <w:tc>
          <w:tcPr>
            <w:tcW w:w="6237" w:type="dxa"/>
            <w:shd w:val="clear" w:color="auto" w:fill="CCCCCC"/>
            <w:vAlign w:val="center"/>
          </w:tcPr>
          <w:p w14:paraId="49D2851C" w14:textId="77777777" w:rsidR="00647643" w:rsidRPr="00647643" w:rsidRDefault="00647643" w:rsidP="00647643">
            <w:pPr>
              <w:overflowPunct/>
              <w:autoSpaceDE/>
              <w:autoSpaceDN/>
              <w:adjustRightInd/>
              <w:snapToGrid w:val="0"/>
              <w:ind w:left="8" w:hanging="8"/>
              <w:jc w:val="center"/>
              <w:textAlignment w:val="auto"/>
              <w:rPr>
                <w:rFonts w:eastAsia="Calibri"/>
                <w:bCs/>
                <w:sz w:val="22"/>
                <w:szCs w:val="22"/>
                <w:lang w:eastAsia="en-US"/>
              </w:rPr>
            </w:pPr>
            <w:r w:rsidRPr="00647643">
              <w:rPr>
                <w:rFonts w:eastAsia="Calibri"/>
                <w:bCs/>
                <w:sz w:val="22"/>
                <w:szCs w:val="22"/>
                <w:lang w:eastAsia="en-US"/>
              </w:rPr>
              <w:t>Наименование этапа, содержание услуг</w:t>
            </w:r>
          </w:p>
        </w:tc>
        <w:tc>
          <w:tcPr>
            <w:tcW w:w="2127" w:type="dxa"/>
            <w:shd w:val="clear" w:color="auto" w:fill="CCCCCC"/>
            <w:vAlign w:val="center"/>
          </w:tcPr>
          <w:p w14:paraId="2C4968B4" w14:textId="77777777" w:rsidR="00647643" w:rsidRPr="00647643" w:rsidRDefault="00647643" w:rsidP="00647643">
            <w:pPr>
              <w:overflowPunct/>
              <w:autoSpaceDE/>
              <w:autoSpaceDN/>
              <w:adjustRightInd/>
              <w:snapToGrid w:val="0"/>
              <w:ind w:left="8" w:hanging="8"/>
              <w:jc w:val="center"/>
              <w:textAlignment w:val="auto"/>
              <w:rPr>
                <w:rFonts w:eastAsia="Calibri"/>
                <w:bCs/>
                <w:sz w:val="22"/>
                <w:szCs w:val="22"/>
                <w:lang w:eastAsia="en-US"/>
              </w:rPr>
            </w:pPr>
            <w:r w:rsidRPr="00647643">
              <w:rPr>
                <w:rFonts w:eastAsia="Calibri"/>
                <w:bCs/>
                <w:sz w:val="22"/>
                <w:szCs w:val="22"/>
                <w:lang w:eastAsia="en-US"/>
              </w:rPr>
              <w:t>Результаты по этапу</w:t>
            </w:r>
          </w:p>
        </w:tc>
        <w:tc>
          <w:tcPr>
            <w:tcW w:w="1304" w:type="dxa"/>
            <w:shd w:val="clear" w:color="auto" w:fill="CCCCCC"/>
            <w:vAlign w:val="center"/>
          </w:tcPr>
          <w:p w14:paraId="17427997" w14:textId="77777777" w:rsidR="00647643" w:rsidRPr="00647643" w:rsidRDefault="00647643" w:rsidP="00647643">
            <w:pPr>
              <w:overflowPunct/>
              <w:autoSpaceDE/>
              <w:autoSpaceDN/>
              <w:adjustRightInd/>
              <w:snapToGrid w:val="0"/>
              <w:ind w:left="8" w:hanging="8"/>
              <w:jc w:val="center"/>
              <w:textAlignment w:val="auto"/>
              <w:rPr>
                <w:rFonts w:eastAsia="Calibri"/>
                <w:bCs/>
                <w:sz w:val="22"/>
                <w:szCs w:val="22"/>
                <w:lang w:eastAsia="en-US"/>
              </w:rPr>
            </w:pPr>
            <w:r w:rsidRPr="00647643">
              <w:rPr>
                <w:rFonts w:eastAsia="Calibri"/>
                <w:bCs/>
                <w:sz w:val="22"/>
                <w:szCs w:val="22"/>
                <w:lang w:eastAsia="en-US"/>
              </w:rPr>
              <w:t>Сроки</w:t>
            </w:r>
          </w:p>
        </w:tc>
      </w:tr>
      <w:tr w:rsidR="00647643" w:rsidRPr="00647643" w14:paraId="28124B55" w14:textId="77777777" w:rsidTr="00647643">
        <w:trPr>
          <w:cantSplit/>
          <w:trHeight w:val="2136"/>
        </w:trPr>
        <w:tc>
          <w:tcPr>
            <w:tcW w:w="1106" w:type="dxa"/>
            <w:vAlign w:val="center"/>
          </w:tcPr>
          <w:p w14:paraId="4088B0B6" w14:textId="77777777" w:rsidR="00647643" w:rsidRPr="00647643" w:rsidRDefault="00647643" w:rsidP="00647643">
            <w:pPr>
              <w:overflowPunct/>
              <w:autoSpaceDE/>
              <w:autoSpaceDN/>
              <w:adjustRightInd/>
              <w:snapToGrid w:val="0"/>
              <w:ind w:left="8" w:hanging="8"/>
              <w:jc w:val="both"/>
              <w:textAlignment w:val="auto"/>
              <w:rPr>
                <w:rFonts w:eastAsia="Calibri"/>
                <w:sz w:val="22"/>
                <w:szCs w:val="22"/>
                <w:lang w:eastAsia="en-US"/>
              </w:rPr>
            </w:pPr>
            <w:r w:rsidRPr="00647643">
              <w:rPr>
                <w:rFonts w:eastAsia="Calibri"/>
                <w:sz w:val="22"/>
                <w:szCs w:val="22"/>
                <w:lang w:eastAsia="en-US"/>
              </w:rPr>
              <w:t>1</w:t>
            </w:r>
          </w:p>
        </w:tc>
        <w:tc>
          <w:tcPr>
            <w:tcW w:w="6237" w:type="dxa"/>
          </w:tcPr>
          <w:p w14:paraId="56F00A30" w14:textId="77777777" w:rsidR="00647643" w:rsidRPr="00647643" w:rsidRDefault="00647643" w:rsidP="00647643">
            <w:pPr>
              <w:overflowPunct/>
              <w:autoSpaceDE/>
              <w:autoSpaceDN/>
              <w:adjustRightInd/>
              <w:ind w:left="8" w:hanging="8"/>
              <w:textAlignment w:val="auto"/>
              <w:rPr>
                <w:rFonts w:eastAsia="Calibri"/>
                <w:b/>
                <w:bCs/>
                <w:sz w:val="22"/>
                <w:szCs w:val="22"/>
                <w:lang w:eastAsia="en-US"/>
              </w:rPr>
            </w:pPr>
            <w:r w:rsidRPr="00647643">
              <w:rPr>
                <w:rFonts w:eastAsia="Calibri"/>
                <w:b/>
                <w:bCs/>
                <w:color w:val="000000"/>
                <w:sz w:val="22"/>
                <w:szCs w:val="22"/>
                <w:lang w:eastAsia="en-US"/>
              </w:rPr>
              <w:t>Проведение контрольного примера (КП)  по модулям: сбыт ЮЛ, сбыт ФЛ:</w:t>
            </w:r>
            <w:r w:rsidRPr="00647643">
              <w:rPr>
                <w:rFonts w:eastAsia="Calibri"/>
                <w:b/>
                <w:bCs/>
                <w:color w:val="000000"/>
                <w:sz w:val="22"/>
                <w:szCs w:val="22"/>
                <w:lang w:eastAsia="en-US"/>
              </w:rPr>
              <w:br/>
            </w:r>
            <w:r w:rsidRPr="00647643">
              <w:rPr>
                <w:rFonts w:eastAsia="Calibri"/>
                <w:color w:val="000000"/>
                <w:sz w:val="22"/>
                <w:szCs w:val="22"/>
                <w:lang w:eastAsia="en-US"/>
              </w:rPr>
              <w:t>Сбор данных для контрольного примера</w:t>
            </w:r>
            <w:r w:rsidRPr="00647643">
              <w:rPr>
                <w:rFonts w:eastAsia="Calibri"/>
                <w:color w:val="000000"/>
                <w:sz w:val="22"/>
                <w:szCs w:val="22"/>
                <w:lang w:eastAsia="en-US"/>
              </w:rPr>
              <w:br/>
              <w:t>Первоначальная настройка программы</w:t>
            </w:r>
            <w:r w:rsidRPr="00647643">
              <w:rPr>
                <w:rFonts w:eastAsia="Calibri"/>
                <w:color w:val="000000"/>
                <w:sz w:val="22"/>
                <w:szCs w:val="22"/>
                <w:lang w:eastAsia="en-US"/>
              </w:rPr>
              <w:br/>
              <w:t>Ввод данных КП в базу</w:t>
            </w:r>
            <w:r w:rsidRPr="00647643">
              <w:rPr>
                <w:rFonts w:eastAsia="Calibri"/>
                <w:color w:val="000000"/>
                <w:sz w:val="22"/>
                <w:szCs w:val="22"/>
                <w:lang w:eastAsia="en-US"/>
              </w:rPr>
              <w:br/>
              <w:t>Демонстрация результатов проведения КП</w:t>
            </w:r>
            <w:r w:rsidRPr="00647643">
              <w:rPr>
                <w:rFonts w:eastAsia="Calibri"/>
                <w:color w:val="000000"/>
                <w:sz w:val="22"/>
                <w:szCs w:val="22"/>
                <w:lang w:eastAsia="en-US"/>
              </w:rPr>
              <w:br/>
              <w:t>Формирование перечня доработок</w:t>
            </w:r>
            <w:r w:rsidRPr="00647643">
              <w:rPr>
                <w:rFonts w:eastAsia="Calibri"/>
                <w:color w:val="000000"/>
                <w:sz w:val="22"/>
                <w:szCs w:val="22"/>
                <w:lang w:eastAsia="en-US"/>
              </w:rPr>
              <w:br/>
              <w:t>Формирование и согласование протокола проведения КП</w:t>
            </w:r>
          </w:p>
          <w:p w14:paraId="51C3A5A2" w14:textId="77777777" w:rsidR="00647643" w:rsidRPr="00647643" w:rsidRDefault="00647643" w:rsidP="00647643">
            <w:pPr>
              <w:overflowPunct/>
              <w:autoSpaceDE/>
              <w:autoSpaceDN/>
              <w:adjustRightInd/>
              <w:ind w:left="8" w:hanging="8"/>
              <w:textAlignment w:val="auto"/>
              <w:rPr>
                <w:kern w:val="1"/>
                <w:sz w:val="22"/>
                <w:szCs w:val="22"/>
                <w:lang w:eastAsia="ar-SA"/>
              </w:rPr>
            </w:pPr>
          </w:p>
          <w:p w14:paraId="59B61BA8" w14:textId="77777777" w:rsidR="00647643" w:rsidRPr="00647643" w:rsidRDefault="00647643" w:rsidP="00647643">
            <w:pPr>
              <w:overflowPunct/>
              <w:autoSpaceDE/>
              <w:autoSpaceDN/>
              <w:adjustRightInd/>
              <w:ind w:left="8" w:hanging="8"/>
              <w:textAlignment w:val="auto"/>
              <w:rPr>
                <w:bCs/>
                <w:kern w:val="1"/>
                <w:sz w:val="22"/>
                <w:szCs w:val="22"/>
                <w:lang w:eastAsia="ar-SA"/>
              </w:rPr>
            </w:pPr>
            <w:r w:rsidRPr="00647643">
              <w:rPr>
                <w:b/>
                <w:bCs/>
                <w:kern w:val="1"/>
                <w:sz w:val="22"/>
                <w:szCs w:val="22"/>
                <w:lang w:eastAsia="ar-SA"/>
              </w:rPr>
              <w:t>Ограничения</w:t>
            </w:r>
            <w:r w:rsidRPr="00647643">
              <w:rPr>
                <w:bCs/>
                <w:kern w:val="1"/>
                <w:sz w:val="22"/>
                <w:szCs w:val="22"/>
                <w:lang w:eastAsia="ar-SA"/>
              </w:rPr>
              <w:t>:</w:t>
            </w:r>
          </w:p>
          <w:p w14:paraId="3A4FD3C6" w14:textId="77777777" w:rsidR="00647643" w:rsidRPr="00647643" w:rsidRDefault="00647643" w:rsidP="00647643">
            <w:pPr>
              <w:overflowPunct/>
              <w:autoSpaceDE/>
              <w:autoSpaceDN/>
              <w:adjustRightInd/>
              <w:ind w:left="8" w:hanging="8"/>
              <w:textAlignment w:val="auto"/>
              <w:rPr>
                <w:sz w:val="22"/>
                <w:szCs w:val="22"/>
                <w:lang w:eastAsia="en-US"/>
              </w:rPr>
            </w:pPr>
            <w:r w:rsidRPr="00647643">
              <w:rPr>
                <w:sz w:val="22"/>
                <w:szCs w:val="22"/>
                <w:lang w:eastAsia="en-US"/>
              </w:rPr>
              <w:t>Контрольный пример проводится только на ограниченном объёме данных:</w:t>
            </w:r>
            <w:r w:rsidRPr="00647643">
              <w:rPr>
                <w:sz w:val="22"/>
                <w:szCs w:val="22"/>
                <w:lang w:eastAsia="en-US"/>
              </w:rPr>
              <w:br/>
              <w:t>- не более 20 объектов расчётов (помещений абонентов);</w:t>
            </w:r>
            <w:r w:rsidRPr="00647643">
              <w:rPr>
                <w:sz w:val="22"/>
                <w:szCs w:val="22"/>
                <w:lang w:eastAsia="en-US"/>
              </w:rPr>
              <w:br/>
              <w:t>- не более 5 лицевых счетов по ФЛ иили ЧС;</w:t>
            </w:r>
            <w:r w:rsidRPr="00647643">
              <w:rPr>
                <w:sz w:val="22"/>
                <w:szCs w:val="22"/>
                <w:lang w:eastAsia="en-US"/>
              </w:rPr>
              <w:br/>
              <w:t>- не более 5 договоров с юридическими лицами</w:t>
            </w:r>
          </w:p>
        </w:tc>
        <w:tc>
          <w:tcPr>
            <w:tcW w:w="2127" w:type="dxa"/>
          </w:tcPr>
          <w:p w14:paraId="237C214F" w14:textId="77777777" w:rsidR="00647643" w:rsidRPr="00647643" w:rsidRDefault="00647643" w:rsidP="00647643">
            <w:pPr>
              <w:overflowPunct/>
              <w:autoSpaceDE/>
              <w:autoSpaceDN/>
              <w:adjustRightInd/>
              <w:ind w:left="8" w:hanging="8"/>
              <w:jc w:val="both"/>
              <w:textAlignment w:val="auto"/>
              <w:rPr>
                <w:rFonts w:eastAsia="Calibri"/>
                <w:color w:val="000000"/>
                <w:sz w:val="22"/>
                <w:szCs w:val="22"/>
                <w:lang w:eastAsia="en-US"/>
              </w:rPr>
            </w:pPr>
            <w:r w:rsidRPr="00647643">
              <w:rPr>
                <w:rFonts w:eastAsia="Calibri"/>
                <w:color w:val="000000"/>
                <w:sz w:val="22"/>
                <w:szCs w:val="22"/>
                <w:lang w:eastAsia="en-US"/>
              </w:rPr>
              <w:t>Согласованный контрольный пример.</w:t>
            </w:r>
          </w:p>
          <w:p w14:paraId="6C168706" w14:textId="77777777" w:rsidR="00647643" w:rsidRPr="00647643" w:rsidRDefault="00647643" w:rsidP="00647643">
            <w:pPr>
              <w:overflowPunct/>
              <w:autoSpaceDE/>
              <w:autoSpaceDN/>
              <w:adjustRightInd/>
              <w:ind w:left="8" w:hanging="8"/>
              <w:jc w:val="both"/>
              <w:textAlignment w:val="auto"/>
              <w:rPr>
                <w:rFonts w:eastAsia="Calibri"/>
                <w:color w:val="000000"/>
                <w:sz w:val="22"/>
                <w:szCs w:val="22"/>
                <w:lang w:eastAsia="en-US"/>
              </w:rPr>
            </w:pPr>
            <w:r w:rsidRPr="00647643">
              <w:rPr>
                <w:rFonts w:eastAsia="Calibri"/>
                <w:color w:val="000000"/>
                <w:sz w:val="22"/>
                <w:szCs w:val="22"/>
                <w:lang w:eastAsia="en-US"/>
              </w:rPr>
              <w:br/>
              <w:t>Протокол демонстрации контрольного примера.</w:t>
            </w:r>
          </w:p>
          <w:p w14:paraId="3746DB47" w14:textId="77777777" w:rsidR="00647643" w:rsidRPr="00647643" w:rsidRDefault="00647643" w:rsidP="00647643">
            <w:pPr>
              <w:overflowPunct/>
              <w:autoSpaceDE/>
              <w:autoSpaceDN/>
              <w:adjustRightInd/>
              <w:ind w:left="8" w:hanging="8"/>
              <w:jc w:val="both"/>
              <w:textAlignment w:val="auto"/>
              <w:rPr>
                <w:rFonts w:eastAsia="Calibri"/>
                <w:sz w:val="22"/>
                <w:szCs w:val="22"/>
                <w:lang w:eastAsia="en-US"/>
              </w:rPr>
            </w:pPr>
            <w:r w:rsidRPr="00647643">
              <w:rPr>
                <w:rFonts w:eastAsia="Calibri"/>
                <w:color w:val="000000"/>
                <w:sz w:val="22"/>
                <w:szCs w:val="22"/>
                <w:lang w:eastAsia="en-US"/>
              </w:rPr>
              <w:br/>
              <w:t>Перечень доработок.</w:t>
            </w:r>
            <w:r w:rsidRPr="00647643">
              <w:rPr>
                <w:rFonts w:eastAsia="Calibri"/>
                <w:color w:val="000000"/>
                <w:sz w:val="22"/>
                <w:szCs w:val="22"/>
                <w:lang w:eastAsia="en-US"/>
              </w:rPr>
              <w:br/>
              <w:t>Акт выполненных работ.</w:t>
            </w:r>
          </w:p>
          <w:p w14:paraId="3457146D" w14:textId="77777777" w:rsidR="00647643" w:rsidRPr="00647643" w:rsidRDefault="00647643" w:rsidP="00647643">
            <w:pPr>
              <w:overflowPunct/>
              <w:autoSpaceDE/>
              <w:autoSpaceDN/>
              <w:adjustRightInd/>
              <w:ind w:left="8" w:hanging="8"/>
              <w:jc w:val="both"/>
              <w:textAlignment w:val="auto"/>
              <w:rPr>
                <w:rFonts w:eastAsia="Calibri"/>
                <w:sz w:val="22"/>
                <w:szCs w:val="22"/>
                <w:lang w:eastAsia="en-US"/>
              </w:rPr>
            </w:pPr>
          </w:p>
          <w:p w14:paraId="0BB76714" w14:textId="77777777" w:rsidR="00647643" w:rsidRPr="00647643" w:rsidRDefault="00647643" w:rsidP="00647643">
            <w:pPr>
              <w:overflowPunct/>
              <w:autoSpaceDE/>
              <w:autoSpaceDN/>
              <w:adjustRightInd/>
              <w:ind w:left="8" w:hanging="8"/>
              <w:jc w:val="center"/>
              <w:textAlignment w:val="auto"/>
              <w:rPr>
                <w:rFonts w:eastAsia="Calibri"/>
                <w:sz w:val="22"/>
                <w:szCs w:val="22"/>
                <w:lang w:eastAsia="en-US"/>
              </w:rPr>
            </w:pPr>
          </w:p>
        </w:tc>
        <w:tc>
          <w:tcPr>
            <w:tcW w:w="1304" w:type="dxa"/>
          </w:tcPr>
          <w:p w14:paraId="15FA16B3" w14:textId="3A463618" w:rsidR="00647643" w:rsidRPr="00647643" w:rsidRDefault="00647643" w:rsidP="00647643">
            <w:pPr>
              <w:overflowPunct/>
              <w:autoSpaceDE/>
              <w:autoSpaceDN/>
              <w:adjustRightInd/>
              <w:snapToGrid w:val="0"/>
              <w:ind w:left="8" w:hanging="8"/>
              <w:textAlignment w:val="auto"/>
              <w:rPr>
                <w:rFonts w:eastAsia="Calibri"/>
                <w:sz w:val="22"/>
                <w:szCs w:val="22"/>
                <w:lang w:eastAsia="en-US"/>
              </w:rPr>
            </w:pPr>
            <w:r w:rsidRPr="00647643">
              <w:rPr>
                <w:rFonts w:eastAsia="Calibri"/>
                <w:sz w:val="22"/>
                <w:szCs w:val="22"/>
                <w:lang w:eastAsia="en-US"/>
              </w:rPr>
              <w:t>2 месяца</w:t>
            </w:r>
          </w:p>
        </w:tc>
      </w:tr>
    </w:tbl>
    <w:p w14:paraId="69FF3A6E" w14:textId="77777777" w:rsidR="00647643" w:rsidRPr="00160D62" w:rsidRDefault="00647643" w:rsidP="002C6B8F">
      <w:pPr>
        <w:spacing w:line="360" w:lineRule="auto"/>
        <w:jc w:val="center"/>
        <w:rPr>
          <w:sz w:val="22"/>
          <w:szCs w:val="22"/>
        </w:rPr>
      </w:pPr>
    </w:p>
    <w:sectPr w:rsidR="00647643" w:rsidRPr="00160D62" w:rsidSect="00160D62">
      <w:pgSz w:w="11906" w:h="16838"/>
      <w:pgMar w:top="1135" w:right="850" w:bottom="284" w:left="993" w:header="708" w:footer="708" w:gutter="0"/>
      <w:cols w:space="708"/>
      <w:docGrid w:linePitch="360"/>
    </w:sectPr>
    <!-- MKR-11923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2AB5"/>
    <w:multiLevelType w:val="multilevel"/>
    <w:tmpl w:val="25023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F41E9E"/>
    <w:multiLevelType w:val="multilevel"/>
    <w:tmpl w:val="92FEB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B0209B"/>
    <w:multiLevelType w:val="multilevel"/>
    <w:tmpl w:val="28BE7E84"/>
    <w:lvl w:ilvl="0">
      <w:start w:val="5"/>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590644"/>
    <w:multiLevelType w:val="hybridMultilevel"/>
    <w:tmpl w:val="3642F2C6"/>
    <w:lvl w:ilvl="0" w:tplc="94748B90">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4" w15:restartNumberingAfterBreak="0">
    <w:nsid w:val="19D77014"/>
    <w:multiLevelType w:val="multilevel"/>
    <w:tmpl w:val="E9CE2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09523BF"/>
    <w:multiLevelType w:val="multilevel"/>
    <w:tmpl w:val="26B088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27345F"/>
    <w:multiLevelType w:val="multilevel"/>
    <w:tmpl w:val="C35E9752"/>
    <w:lvl w:ilvl="0">
      <w:start w:val="2"/>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644D0C"/>
    <w:multiLevelType w:val="hybridMultilevel"/>
    <w:tmpl w:val="42308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8356F"/>
    <w:multiLevelType w:val="hybridMultilevel"/>
    <w:tmpl w:val="C42AFD72"/>
    <w:lvl w:ilvl="0" w:tplc="125216B0">
      <w:start w:val="21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A737FA"/>
    <w:multiLevelType w:val="multilevel"/>
    <w:tmpl w:val="8064FA6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F8607D4"/>
    <w:multiLevelType w:val="multilevel"/>
    <w:tmpl w:val="21BEEF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48F3A4B"/>
    <w:multiLevelType w:val="hybridMultilevel"/>
    <w:tmpl w:val="A4E6B7C2"/>
    <w:lvl w:ilvl="0" w:tplc="824C307E">
      <w:start w:val="21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C017C9"/>
    <w:multiLevelType w:val="hybridMultilevel"/>
    <w:tmpl w:val="075E1650"/>
    <w:lvl w:ilvl="0" w:tplc="ADE48A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275619"/>
    <w:multiLevelType w:val="hybridMultilevel"/>
    <w:tmpl w:val="2668F0D0"/>
    <w:lvl w:ilvl="0" w:tplc="7AD608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E857D8"/>
    <w:multiLevelType w:val="hybridMultilevel"/>
    <w:tmpl w:val="D5887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E0458E"/>
    <w:multiLevelType w:val="hybridMultilevel"/>
    <w:tmpl w:val="8674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AA42AF"/>
    <w:multiLevelType w:val="multilevel"/>
    <w:tmpl w:val="156AD1AA"/>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1F1A1C"/>
    <w:multiLevelType w:val="hybridMultilevel"/>
    <w:tmpl w:val="45146124"/>
    <w:lvl w:ilvl="0" w:tplc="42BED9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0070DA"/>
    <w:multiLevelType w:val="hybridMultilevel"/>
    <w:tmpl w:val="95964A5A"/>
    <w:lvl w:ilvl="0" w:tplc="5E5A3F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15"/>
  </w:num>
  <w:num w:numId="5">
    <w:abstractNumId w:val="8"/>
  </w:num>
  <w:num w:numId="6">
    <w:abstractNumId w:val="11"/>
  </w:num>
  <w:num w:numId="7">
    <w:abstractNumId w:val="12"/>
  </w:num>
  <w:num w:numId="8">
    <w:abstractNumId w:val="13"/>
  </w:num>
  <w:num w:numId="9">
    <w:abstractNumId w:val="17"/>
  </w:num>
  <w:num w:numId="10">
    <w:abstractNumId w:val="18"/>
  </w:num>
  <w:num w:numId="11">
    <w:abstractNumId w:val="4"/>
  </w:num>
  <w:num w:numId="12">
    <w:abstractNumId w:val="0"/>
  </w:num>
  <w:num w:numId="13">
    <w:abstractNumId w:val="1"/>
  </w:num>
  <w:num w:numId="14">
    <w:abstractNumId w:val="5"/>
  </w:num>
  <w:num w:numId="15">
    <w:abstractNumId w:val="6"/>
  </w:num>
  <w:num w:numId="16">
    <w:abstractNumId w:val="10"/>
  </w:num>
  <w:num w:numId="17">
    <w:abstractNumId w:val="9"/>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B5"/>
    <w:rsid w:val="00000B75"/>
    <w:rsid w:val="00000D6B"/>
    <w:rsid w:val="00013787"/>
    <w:rsid w:val="00013D6B"/>
    <w:rsid w:val="000333A4"/>
    <w:rsid w:val="000376E9"/>
    <w:rsid w:val="0004065D"/>
    <w:rsid w:val="00040E7D"/>
    <w:rsid w:val="000443F9"/>
    <w:rsid w:val="00082837"/>
    <w:rsid w:val="00083672"/>
    <w:rsid w:val="000920F3"/>
    <w:rsid w:val="000947C9"/>
    <w:rsid w:val="000A07F1"/>
    <w:rsid w:val="000A565C"/>
    <w:rsid w:val="000C5B49"/>
    <w:rsid w:val="000C6EF0"/>
    <w:rsid w:val="000E01E9"/>
    <w:rsid w:val="000E03A1"/>
    <w:rsid w:val="000E1FA2"/>
    <w:rsid w:val="000E60F0"/>
    <w:rsid w:val="000F6226"/>
    <w:rsid w:val="0010209E"/>
    <w:rsid w:val="001075BD"/>
    <w:rsid w:val="00117B39"/>
    <w:rsid w:val="0012025D"/>
    <w:rsid w:val="00120379"/>
    <w:rsid w:val="001247C7"/>
    <w:rsid w:val="001264BE"/>
    <w:rsid w:val="00131D0A"/>
    <w:rsid w:val="001326DB"/>
    <w:rsid w:val="00133395"/>
    <w:rsid w:val="00144914"/>
    <w:rsid w:val="001466C7"/>
    <w:rsid w:val="001504B7"/>
    <w:rsid w:val="00150507"/>
    <w:rsid w:val="00150997"/>
    <w:rsid w:val="001524A4"/>
    <w:rsid w:val="00154B96"/>
    <w:rsid w:val="00156F0D"/>
    <w:rsid w:val="00160D62"/>
    <w:rsid w:val="00162E64"/>
    <w:rsid w:val="00165D20"/>
    <w:rsid w:val="00172086"/>
    <w:rsid w:val="00180538"/>
    <w:rsid w:val="001823C0"/>
    <w:rsid w:val="00182909"/>
    <w:rsid w:val="001962A4"/>
    <w:rsid w:val="00197089"/>
    <w:rsid w:val="001A448E"/>
    <w:rsid w:val="001B4FD7"/>
    <w:rsid w:val="001B6323"/>
    <w:rsid w:val="001E7C4B"/>
    <w:rsid w:val="001F7BB5"/>
    <w:rsid w:val="00205A71"/>
    <w:rsid w:val="00212AD4"/>
    <w:rsid w:val="0022217D"/>
    <w:rsid w:val="002237DF"/>
    <w:rsid w:val="002240D0"/>
    <w:rsid w:val="00227A90"/>
    <w:rsid w:val="00230735"/>
    <w:rsid w:val="00230C60"/>
    <w:rsid w:val="00230DF5"/>
    <w:rsid w:val="002313B3"/>
    <w:rsid w:val="00232906"/>
    <w:rsid w:val="00232DCB"/>
    <w:rsid w:val="00242F23"/>
    <w:rsid w:val="00242F7D"/>
    <w:rsid w:val="00246631"/>
    <w:rsid w:val="00250021"/>
    <w:rsid w:val="00262C3D"/>
    <w:rsid w:val="00275141"/>
    <w:rsid w:val="00287406"/>
    <w:rsid w:val="00293DCC"/>
    <w:rsid w:val="00294394"/>
    <w:rsid w:val="0029441B"/>
    <w:rsid w:val="00295F1E"/>
    <w:rsid w:val="002A300E"/>
    <w:rsid w:val="002B0716"/>
    <w:rsid w:val="002B0EAC"/>
    <w:rsid w:val="002B170F"/>
    <w:rsid w:val="002B2DAB"/>
    <w:rsid w:val="002C6B8F"/>
    <w:rsid w:val="002D2F2E"/>
    <w:rsid w:val="002D714C"/>
    <w:rsid w:val="002F0866"/>
    <w:rsid w:val="002F2CFB"/>
    <w:rsid w:val="00304649"/>
    <w:rsid w:val="0030547D"/>
    <w:rsid w:val="00314B04"/>
    <w:rsid w:val="003167E0"/>
    <w:rsid w:val="00324D19"/>
    <w:rsid w:val="00326F1E"/>
    <w:rsid w:val="00331F0A"/>
    <w:rsid w:val="00334ADE"/>
    <w:rsid w:val="0034734A"/>
    <w:rsid w:val="00352AFA"/>
    <w:rsid w:val="003541A0"/>
    <w:rsid w:val="003546B1"/>
    <w:rsid w:val="00361CED"/>
    <w:rsid w:val="00371A67"/>
    <w:rsid w:val="00373C16"/>
    <w:rsid w:val="0038333C"/>
    <w:rsid w:val="0039781C"/>
    <w:rsid w:val="003A4E25"/>
    <w:rsid w:val="003A6661"/>
    <w:rsid w:val="003B4879"/>
    <w:rsid w:val="003C12FA"/>
    <w:rsid w:val="003C1F72"/>
    <w:rsid w:val="003D0E02"/>
    <w:rsid w:val="003D3839"/>
    <w:rsid w:val="003D444C"/>
    <w:rsid w:val="003E6F53"/>
    <w:rsid w:val="003E7014"/>
    <w:rsid w:val="004100B4"/>
    <w:rsid w:val="00420F0D"/>
    <w:rsid w:val="00426255"/>
    <w:rsid w:val="00432A2C"/>
    <w:rsid w:val="00436975"/>
    <w:rsid w:val="0045394F"/>
    <w:rsid w:val="00457477"/>
    <w:rsid w:val="00461E32"/>
    <w:rsid w:val="004657DD"/>
    <w:rsid w:val="00466704"/>
    <w:rsid w:val="00466E8F"/>
    <w:rsid w:val="00474060"/>
    <w:rsid w:val="0048461A"/>
    <w:rsid w:val="004912CE"/>
    <w:rsid w:val="004932B8"/>
    <w:rsid w:val="00495985"/>
    <w:rsid w:val="00495D60"/>
    <w:rsid w:val="004A1262"/>
    <w:rsid w:val="004A1B66"/>
    <w:rsid w:val="004A3E60"/>
    <w:rsid w:val="004A4F1A"/>
    <w:rsid w:val="004C5A1B"/>
    <w:rsid w:val="004C7257"/>
    <w:rsid w:val="004D222F"/>
    <w:rsid w:val="004D27D8"/>
    <w:rsid w:val="004D6902"/>
    <w:rsid w:val="004D6DE3"/>
    <w:rsid w:val="004E44A1"/>
    <w:rsid w:val="004F058F"/>
    <w:rsid w:val="004F093C"/>
    <w:rsid w:val="004F762B"/>
    <w:rsid w:val="0050053B"/>
    <w:rsid w:val="00507B15"/>
    <w:rsid w:val="00512C3F"/>
    <w:rsid w:val="00513E55"/>
    <w:rsid w:val="00514502"/>
    <w:rsid w:val="005213C8"/>
    <w:rsid w:val="00522764"/>
    <w:rsid w:val="0053769E"/>
    <w:rsid w:val="005409EC"/>
    <w:rsid w:val="0054327A"/>
    <w:rsid w:val="00545E90"/>
    <w:rsid w:val="005510CE"/>
    <w:rsid w:val="00561670"/>
    <w:rsid w:val="00564E03"/>
    <w:rsid w:val="005771CF"/>
    <w:rsid w:val="00581294"/>
    <w:rsid w:val="00590C98"/>
    <w:rsid w:val="005967B0"/>
    <w:rsid w:val="00597B57"/>
    <w:rsid w:val="005A2B5E"/>
    <w:rsid w:val="005A47F8"/>
    <w:rsid w:val="005A4923"/>
    <w:rsid w:val="005A4E65"/>
    <w:rsid w:val="005A69D9"/>
    <w:rsid w:val="005A6D31"/>
    <w:rsid w:val="005B67F3"/>
    <w:rsid w:val="005B7E99"/>
    <w:rsid w:val="005D67AF"/>
    <w:rsid w:val="005E59A4"/>
    <w:rsid w:val="005E5BE3"/>
    <w:rsid w:val="005F2ECD"/>
    <w:rsid w:val="005F4B0A"/>
    <w:rsid w:val="005F4EC1"/>
    <w:rsid w:val="00603E4F"/>
    <w:rsid w:val="00604937"/>
    <w:rsid w:val="006067A1"/>
    <w:rsid w:val="006067E4"/>
    <w:rsid w:val="00633B85"/>
    <w:rsid w:val="00640214"/>
    <w:rsid w:val="0064043F"/>
    <w:rsid w:val="00647643"/>
    <w:rsid w:val="006561EF"/>
    <w:rsid w:val="00661F0A"/>
    <w:rsid w:val="0066378F"/>
    <w:rsid w:val="00684BC4"/>
    <w:rsid w:val="0069226A"/>
    <w:rsid w:val="006A0BB8"/>
    <w:rsid w:val="006A1B15"/>
    <w:rsid w:val="006A3D77"/>
    <w:rsid w:val="006A64D3"/>
    <w:rsid w:val="006A700F"/>
    <w:rsid w:val="006B1527"/>
    <w:rsid w:val="006B7ABC"/>
    <w:rsid w:val="006D34F1"/>
    <w:rsid w:val="006E050B"/>
    <w:rsid w:val="006E388D"/>
    <w:rsid w:val="006E511F"/>
    <w:rsid w:val="006E6A3E"/>
    <w:rsid w:val="006E7122"/>
    <w:rsid w:val="006F712D"/>
    <w:rsid w:val="00705908"/>
    <w:rsid w:val="00710791"/>
    <w:rsid w:val="00713325"/>
    <w:rsid w:val="00713F03"/>
    <w:rsid w:val="00715C6C"/>
    <w:rsid w:val="00721FE3"/>
    <w:rsid w:val="00724888"/>
    <w:rsid w:val="007308D5"/>
    <w:rsid w:val="00746928"/>
    <w:rsid w:val="007514FC"/>
    <w:rsid w:val="007539B0"/>
    <w:rsid w:val="007559C5"/>
    <w:rsid w:val="00757902"/>
    <w:rsid w:val="00764136"/>
    <w:rsid w:val="00766999"/>
    <w:rsid w:val="0077328F"/>
    <w:rsid w:val="007748A1"/>
    <w:rsid w:val="00776CED"/>
    <w:rsid w:val="00783A10"/>
    <w:rsid w:val="00792DA5"/>
    <w:rsid w:val="0079564A"/>
    <w:rsid w:val="007A6CF9"/>
    <w:rsid w:val="007B18DD"/>
    <w:rsid w:val="007B6CF8"/>
    <w:rsid w:val="007C41D6"/>
    <w:rsid w:val="007D3289"/>
    <w:rsid w:val="007E0B48"/>
    <w:rsid w:val="007E3A81"/>
    <w:rsid w:val="007F254D"/>
    <w:rsid w:val="0080021C"/>
    <w:rsid w:val="0080254F"/>
    <w:rsid w:val="00803729"/>
    <w:rsid w:val="008225BA"/>
    <w:rsid w:val="0082510B"/>
    <w:rsid w:val="008317B2"/>
    <w:rsid w:val="008405FD"/>
    <w:rsid w:val="008429CF"/>
    <w:rsid w:val="008446AE"/>
    <w:rsid w:val="00845955"/>
    <w:rsid w:val="00851340"/>
    <w:rsid w:val="008523A9"/>
    <w:rsid w:val="00854432"/>
    <w:rsid w:val="008606D3"/>
    <w:rsid w:val="0086541B"/>
    <w:rsid w:val="00876946"/>
    <w:rsid w:val="0088470B"/>
    <w:rsid w:val="008965A4"/>
    <w:rsid w:val="00896BD5"/>
    <w:rsid w:val="00897DE3"/>
    <w:rsid w:val="008B03E5"/>
    <w:rsid w:val="008B0C36"/>
    <w:rsid w:val="008B1E7E"/>
    <w:rsid w:val="008B67ED"/>
    <w:rsid w:val="008C33BA"/>
    <w:rsid w:val="008C5336"/>
    <w:rsid w:val="008D05AD"/>
    <w:rsid w:val="008D7164"/>
    <w:rsid w:val="008E2D24"/>
    <w:rsid w:val="008E38C0"/>
    <w:rsid w:val="008E7409"/>
    <w:rsid w:val="008F331C"/>
    <w:rsid w:val="008F6968"/>
    <w:rsid w:val="008F78BF"/>
    <w:rsid w:val="00904BE9"/>
    <w:rsid w:val="00905025"/>
    <w:rsid w:val="009060CF"/>
    <w:rsid w:val="00910F48"/>
    <w:rsid w:val="0091185D"/>
    <w:rsid w:val="00912533"/>
    <w:rsid w:val="0091629A"/>
    <w:rsid w:val="0091794C"/>
    <w:rsid w:val="009334D0"/>
    <w:rsid w:val="00937CF4"/>
    <w:rsid w:val="00944C5F"/>
    <w:rsid w:val="00946E59"/>
    <w:rsid w:val="00951894"/>
    <w:rsid w:val="00953B99"/>
    <w:rsid w:val="00954904"/>
    <w:rsid w:val="00966C87"/>
    <w:rsid w:val="00980963"/>
    <w:rsid w:val="00981490"/>
    <w:rsid w:val="0098687B"/>
    <w:rsid w:val="00986BFA"/>
    <w:rsid w:val="009A468D"/>
    <w:rsid w:val="009A4823"/>
    <w:rsid w:val="009A4D79"/>
    <w:rsid w:val="009A727F"/>
    <w:rsid w:val="009B6A16"/>
    <w:rsid w:val="009B7D2D"/>
    <w:rsid w:val="009C6E37"/>
    <w:rsid w:val="009D128B"/>
    <w:rsid w:val="009E4F6C"/>
    <w:rsid w:val="009F3C4E"/>
    <w:rsid w:val="00A012A5"/>
    <w:rsid w:val="00A07B85"/>
    <w:rsid w:val="00A1112B"/>
    <w:rsid w:val="00A12287"/>
    <w:rsid w:val="00A162EA"/>
    <w:rsid w:val="00A17060"/>
    <w:rsid w:val="00A248B8"/>
    <w:rsid w:val="00A30D40"/>
    <w:rsid w:val="00A3350D"/>
    <w:rsid w:val="00A42C73"/>
    <w:rsid w:val="00A66385"/>
    <w:rsid w:val="00A70DCF"/>
    <w:rsid w:val="00A71BE7"/>
    <w:rsid w:val="00A73C18"/>
    <w:rsid w:val="00A905C5"/>
    <w:rsid w:val="00A95AC1"/>
    <w:rsid w:val="00A971FF"/>
    <w:rsid w:val="00AA1A73"/>
    <w:rsid w:val="00AA3FE9"/>
    <w:rsid w:val="00AB015E"/>
    <w:rsid w:val="00AB635F"/>
    <w:rsid w:val="00AC0434"/>
    <w:rsid w:val="00AC1A18"/>
    <w:rsid w:val="00AC2B4B"/>
    <w:rsid w:val="00AC38A7"/>
    <w:rsid w:val="00AD07E4"/>
    <w:rsid w:val="00AD6363"/>
    <w:rsid w:val="00AD6558"/>
    <w:rsid w:val="00AE070F"/>
    <w:rsid w:val="00AF64A8"/>
    <w:rsid w:val="00B11C3A"/>
    <w:rsid w:val="00B23ED9"/>
    <w:rsid w:val="00B309D3"/>
    <w:rsid w:val="00B35391"/>
    <w:rsid w:val="00B35CF2"/>
    <w:rsid w:val="00B37A4F"/>
    <w:rsid w:val="00B41F06"/>
    <w:rsid w:val="00B56819"/>
    <w:rsid w:val="00B574EE"/>
    <w:rsid w:val="00B6391F"/>
    <w:rsid w:val="00B64E6D"/>
    <w:rsid w:val="00B73408"/>
    <w:rsid w:val="00B74A53"/>
    <w:rsid w:val="00B81DBD"/>
    <w:rsid w:val="00B85BDE"/>
    <w:rsid w:val="00B87E12"/>
    <w:rsid w:val="00B920C1"/>
    <w:rsid w:val="00B947B7"/>
    <w:rsid w:val="00B95780"/>
    <w:rsid w:val="00B957A8"/>
    <w:rsid w:val="00BA1124"/>
    <w:rsid w:val="00BA5629"/>
    <w:rsid w:val="00BA6BC0"/>
    <w:rsid w:val="00BA773D"/>
    <w:rsid w:val="00BB13E0"/>
    <w:rsid w:val="00BB7253"/>
    <w:rsid w:val="00BC2C9F"/>
    <w:rsid w:val="00BD00F1"/>
    <w:rsid w:val="00BD0B2A"/>
    <w:rsid w:val="00BD375B"/>
    <w:rsid w:val="00BD3D98"/>
    <w:rsid w:val="00BD666F"/>
    <w:rsid w:val="00BE0608"/>
    <w:rsid w:val="00C06732"/>
    <w:rsid w:val="00C06AAE"/>
    <w:rsid w:val="00C0767E"/>
    <w:rsid w:val="00C10D03"/>
    <w:rsid w:val="00C158CB"/>
    <w:rsid w:val="00C17B84"/>
    <w:rsid w:val="00C235B4"/>
    <w:rsid w:val="00C30C80"/>
    <w:rsid w:val="00C333E7"/>
    <w:rsid w:val="00C425DA"/>
    <w:rsid w:val="00C466E8"/>
    <w:rsid w:val="00C4738E"/>
    <w:rsid w:val="00C50913"/>
    <w:rsid w:val="00C50A9B"/>
    <w:rsid w:val="00C52238"/>
    <w:rsid w:val="00C54C4E"/>
    <w:rsid w:val="00C56B20"/>
    <w:rsid w:val="00C65FAC"/>
    <w:rsid w:val="00C72ED1"/>
    <w:rsid w:val="00C74305"/>
    <w:rsid w:val="00C75A3C"/>
    <w:rsid w:val="00C80C70"/>
    <w:rsid w:val="00C83A80"/>
    <w:rsid w:val="00C92FA2"/>
    <w:rsid w:val="00CA1CCE"/>
    <w:rsid w:val="00CA3587"/>
    <w:rsid w:val="00CA7462"/>
    <w:rsid w:val="00CB103F"/>
    <w:rsid w:val="00CD3971"/>
    <w:rsid w:val="00CD491B"/>
    <w:rsid w:val="00CD4EBF"/>
    <w:rsid w:val="00CD505C"/>
    <w:rsid w:val="00CE1B6C"/>
    <w:rsid w:val="00CE509F"/>
    <w:rsid w:val="00CE5F08"/>
    <w:rsid w:val="00CF15ED"/>
    <w:rsid w:val="00D035EC"/>
    <w:rsid w:val="00D11BA9"/>
    <w:rsid w:val="00D16885"/>
    <w:rsid w:val="00D27923"/>
    <w:rsid w:val="00D34638"/>
    <w:rsid w:val="00D369F0"/>
    <w:rsid w:val="00D40499"/>
    <w:rsid w:val="00D438A8"/>
    <w:rsid w:val="00D5244F"/>
    <w:rsid w:val="00D6597E"/>
    <w:rsid w:val="00D73F9C"/>
    <w:rsid w:val="00D74106"/>
    <w:rsid w:val="00D815AD"/>
    <w:rsid w:val="00D83C8D"/>
    <w:rsid w:val="00D8506B"/>
    <w:rsid w:val="00D86C68"/>
    <w:rsid w:val="00D90A07"/>
    <w:rsid w:val="00DA162B"/>
    <w:rsid w:val="00DA6CCC"/>
    <w:rsid w:val="00DA77D3"/>
    <w:rsid w:val="00DC0D53"/>
    <w:rsid w:val="00DC2563"/>
    <w:rsid w:val="00DC7034"/>
    <w:rsid w:val="00DD26D1"/>
    <w:rsid w:val="00DD2C29"/>
    <w:rsid w:val="00DD3258"/>
    <w:rsid w:val="00DD3A4E"/>
    <w:rsid w:val="00DD676A"/>
    <w:rsid w:val="00DF765F"/>
    <w:rsid w:val="00E023DB"/>
    <w:rsid w:val="00E10449"/>
    <w:rsid w:val="00E10892"/>
    <w:rsid w:val="00E13815"/>
    <w:rsid w:val="00E23260"/>
    <w:rsid w:val="00E23E18"/>
    <w:rsid w:val="00E27E8D"/>
    <w:rsid w:val="00E309FF"/>
    <w:rsid w:val="00E45614"/>
    <w:rsid w:val="00E472B8"/>
    <w:rsid w:val="00E73D97"/>
    <w:rsid w:val="00E87F07"/>
    <w:rsid w:val="00E90768"/>
    <w:rsid w:val="00EA1D0B"/>
    <w:rsid w:val="00EA7204"/>
    <w:rsid w:val="00EB5530"/>
    <w:rsid w:val="00EC174F"/>
    <w:rsid w:val="00ED2ADD"/>
    <w:rsid w:val="00ED37EC"/>
    <w:rsid w:val="00ED43E0"/>
    <w:rsid w:val="00ED6DB6"/>
    <w:rsid w:val="00EF257F"/>
    <w:rsid w:val="00EF414C"/>
    <w:rsid w:val="00EF4BB9"/>
    <w:rsid w:val="00EF58D8"/>
    <w:rsid w:val="00F0156D"/>
    <w:rsid w:val="00F02500"/>
    <w:rsid w:val="00F10540"/>
    <w:rsid w:val="00F11B49"/>
    <w:rsid w:val="00F13A21"/>
    <w:rsid w:val="00F17A9B"/>
    <w:rsid w:val="00F2792F"/>
    <w:rsid w:val="00F37A34"/>
    <w:rsid w:val="00F400F4"/>
    <w:rsid w:val="00F43B65"/>
    <w:rsid w:val="00F44E16"/>
    <w:rsid w:val="00F510FA"/>
    <w:rsid w:val="00F5502F"/>
    <w:rsid w:val="00F56DAA"/>
    <w:rsid w:val="00F6183D"/>
    <w:rsid w:val="00F623B4"/>
    <w:rsid w:val="00F62A62"/>
    <w:rsid w:val="00F631AB"/>
    <w:rsid w:val="00F66DA9"/>
    <w:rsid w:val="00F72298"/>
    <w:rsid w:val="00F80B01"/>
    <w:rsid w:val="00F8401C"/>
    <w:rsid w:val="00F9050E"/>
    <w:rsid w:val="00FB2B5B"/>
    <w:rsid w:val="00FB4872"/>
    <w:rsid w:val="00FB5AF3"/>
    <w:rsid w:val="00FC1560"/>
    <w:rsid w:val="00FC3AD2"/>
    <w:rsid w:val="00FC402E"/>
    <w:rsid w:val="00FC7CA1"/>
    <w:rsid w:val="00FD275B"/>
    <w:rsid w:val="00FE376A"/>
    <w:rsid w:val="00FE6343"/>
    <w:rsid w:val="00FE697E"/>
    <w:rsid w:val="00FE7F78"/>
    <w:rsid w:val="00FF467B"/>
    <w:rsid w:val="00FF46FB"/>
    <w:rsid w:val="00FF6372"/>
    <w:rsid w:val="00FF6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AFC2"/>
  <w15:docId w15:val="{2467C254-29C9-420E-948A-1B9D7645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44C5F"/>
    <w:pPr>
      <w:overflowPunct/>
      <w:autoSpaceDE/>
      <w:autoSpaceDN/>
      <w:adjustRightInd/>
      <w:spacing w:before="100" w:beforeAutospacing="1" w:after="100" w:afterAutospacing="1"/>
      <w:textAlignment w:val="auto"/>
      <w:outlineLvl w:val="0"/>
    </w:pPr>
    <w:rPr>
      <w:b/>
      <w:bCs/>
      <w:kern w:val="36"/>
      <w:sz w:val="48"/>
      <w:szCs w:val="48"/>
    </w:rPr>
  </w:style>
  <w:style w:type="paragraph" w:styleId="2">
    <w:name w:val="heading 2"/>
    <w:basedOn w:val="a"/>
    <w:next w:val="a"/>
    <w:link w:val="20"/>
    <w:uiPriority w:val="9"/>
    <w:unhideWhenUsed/>
    <w:qFormat/>
    <w:rsid w:val="004E44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F7BB5"/>
    <w:pPr>
      <w:overflowPunct/>
      <w:autoSpaceDE/>
      <w:autoSpaceDN/>
      <w:adjustRightInd/>
      <w:textAlignment w:val="auto"/>
    </w:pPr>
    <w:rPr>
      <w:rFonts w:ascii="Courier New" w:hAnsi="Courier New"/>
    </w:rPr>
  </w:style>
  <w:style w:type="character" w:customStyle="1" w:styleId="a4">
    <w:name w:val="Текст Знак"/>
    <w:basedOn w:val="a0"/>
    <w:link w:val="a3"/>
    <w:rsid w:val="001F7BB5"/>
    <w:rPr>
      <w:rFonts w:ascii="Courier New" w:eastAsia="Times New Roman" w:hAnsi="Courier New" w:cs="Times New Roman"/>
      <w:sz w:val="20"/>
      <w:szCs w:val="20"/>
      <w:lang w:eastAsia="ru-RU"/>
    </w:rPr>
  </w:style>
  <w:style w:type="paragraph" w:customStyle="1" w:styleId="ConsPlusCell">
    <w:name w:val="ConsPlusCell"/>
    <w:rsid w:val="001F7B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C06AAE"/>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C06AAE"/>
    <w:rPr>
      <w:rFonts w:ascii="Calibri" w:eastAsia="Times New Roman" w:hAnsi="Calibri" w:cs="Times New Roman"/>
    </w:rPr>
  </w:style>
  <w:style w:type="paragraph" w:styleId="a7">
    <w:name w:val="Body Text"/>
    <w:basedOn w:val="a"/>
    <w:link w:val="a8"/>
    <w:rsid w:val="0066378F"/>
    <w:pPr>
      <w:overflowPunct/>
      <w:autoSpaceDE/>
      <w:autoSpaceDN/>
      <w:adjustRightInd/>
      <w:spacing w:after="120"/>
      <w:textAlignment w:val="auto"/>
    </w:pPr>
    <w:rPr>
      <w:sz w:val="24"/>
      <w:szCs w:val="24"/>
    </w:rPr>
  </w:style>
  <w:style w:type="character" w:customStyle="1" w:styleId="a8">
    <w:name w:val="Основной текст Знак"/>
    <w:basedOn w:val="a0"/>
    <w:link w:val="a7"/>
    <w:rsid w:val="0066378F"/>
    <w:rPr>
      <w:rFonts w:ascii="Times New Roman" w:eastAsia="Times New Roman" w:hAnsi="Times New Roman" w:cs="Times New Roman"/>
      <w:sz w:val="24"/>
      <w:szCs w:val="24"/>
      <w:lang w:eastAsia="ru-RU"/>
    </w:rPr>
  </w:style>
  <w:style w:type="character" w:customStyle="1" w:styleId="blk">
    <w:name w:val="blk"/>
    <w:basedOn w:val="a0"/>
    <w:rsid w:val="001E7C4B"/>
  </w:style>
  <w:style w:type="character" w:styleId="a9">
    <w:name w:val="Hyperlink"/>
    <w:basedOn w:val="a0"/>
    <w:uiPriority w:val="99"/>
    <w:unhideWhenUsed/>
    <w:rsid w:val="001E7C4B"/>
    <w:rPr>
      <w:color w:val="0000FF"/>
      <w:u w:val="single"/>
    </w:rPr>
  </w:style>
  <w:style w:type="paragraph" w:styleId="aa">
    <w:name w:val="List Paragraph"/>
    <w:basedOn w:val="a"/>
    <w:uiPriority w:val="34"/>
    <w:qFormat/>
    <w:rsid w:val="00981490"/>
    <w:pPr>
      <w:ind w:left="720"/>
      <w:contextualSpacing/>
    </w:pPr>
  </w:style>
  <w:style w:type="character" w:customStyle="1" w:styleId="apple-converted-space">
    <w:name w:val="apple-converted-space"/>
    <w:basedOn w:val="a0"/>
    <w:rsid w:val="006E6A3E"/>
  </w:style>
  <w:style w:type="character" w:customStyle="1" w:styleId="10">
    <w:name w:val="Заголовок 1 Знак"/>
    <w:basedOn w:val="a0"/>
    <w:link w:val="1"/>
    <w:uiPriority w:val="9"/>
    <w:rsid w:val="00944C5F"/>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82510B"/>
    <w:pPr>
      <w:overflowPunct/>
      <w:autoSpaceDE/>
      <w:autoSpaceDN/>
      <w:adjustRightInd/>
      <w:spacing w:before="100" w:beforeAutospacing="1" w:after="100" w:afterAutospacing="1"/>
      <w:textAlignment w:val="auto"/>
    </w:pPr>
    <w:rPr>
      <w:sz w:val="24"/>
      <w:szCs w:val="24"/>
    </w:rPr>
  </w:style>
  <w:style w:type="paragraph" w:customStyle="1" w:styleId="ac">
    <w:name w:val="Знак Знак Знак Знак Знак Знак Знак Знак Знак Знак"/>
    <w:basedOn w:val="a"/>
    <w:rsid w:val="00F43B65"/>
    <w:pPr>
      <w:overflowPunct/>
      <w:autoSpaceDE/>
      <w:autoSpaceDN/>
      <w:adjustRightInd/>
      <w:spacing w:after="160" w:line="240" w:lineRule="exact"/>
      <w:textAlignment w:val="auto"/>
    </w:pPr>
    <w:rPr>
      <w:rFonts w:ascii="Verdana" w:hAnsi="Verdana" w:cs="Verdana"/>
      <w:lang w:val="en-US" w:eastAsia="en-US"/>
    </w:rPr>
  </w:style>
  <w:style w:type="character" w:customStyle="1" w:styleId="hl">
    <w:name w:val="hl"/>
    <w:basedOn w:val="a0"/>
    <w:rsid w:val="00D16885"/>
  </w:style>
  <w:style w:type="character" w:customStyle="1" w:styleId="20">
    <w:name w:val="Заголовок 2 Знак"/>
    <w:basedOn w:val="a0"/>
    <w:link w:val="2"/>
    <w:uiPriority w:val="9"/>
    <w:rsid w:val="004E44A1"/>
    <w:rPr>
      <w:rFonts w:asciiTheme="majorHAnsi" w:eastAsiaTheme="majorEastAsia" w:hAnsiTheme="majorHAnsi" w:cstheme="majorBidi"/>
      <w:b/>
      <w:bCs/>
      <w:color w:val="4F81BD" w:themeColor="accent1"/>
      <w:sz w:val="26"/>
      <w:szCs w:val="26"/>
      <w:lang w:eastAsia="ru-RU"/>
    </w:rPr>
  </w:style>
  <w:style w:type="paragraph" w:styleId="ad">
    <w:name w:val="Balloon Text"/>
    <w:basedOn w:val="a"/>
    <w:link w:val="ae"/>
    <w:uiPriority w:val="99"/>
    <w:semiHidden/>
    <w:unhideWhenUsed/>
    <w:rsid w:val="009060CF"/>
    <w:rPr>
      <w:rFonts w:ascii="Tahoma" w:hAnsi="Tahoma" w:cs="Tahoma"/>
      <w:sz w:val="16"/>
      <w:szCs w:val="16"/>
    </w:rPr>
  </w:style>
  <w:style w:type="character" w:customStyle="1" w:styleId="ae">
    <w:name w:val="Текст выноски Знак"/>
    <w:basedOn w:val="a0"/>
    <w:link w:val="ad"/>
    <w:uiPriority w:val="99"/>
    <w:semiHidden/>
    <w:rsid w:val="009060CF"/>
    <w:rPr>
      <w:rFonts w:ascii="Tahoma" w:eastAsia="Times New Roman" w:hAnsi="Tahoma" w:cs="Tahoma"/>
      <w:sz w:val="16"/>
      <w:szCs w:val="16"/>
      <w:lang w:eastAsia="ru-RU"/>
    </w:rPr>
  </w:style>
  <w:style w:type="table" w:styleId="af">
    <w:name w:val="Table Grid"/>
    <w:basedOn w:val="a1"/>
    <w:uiPriority w:val="59"/>
    <w:unhideWhenUsed/>
    <w:rsid w:val="0056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16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1787">
      <w:bodyDiv w:val="1"/>
      <w:marLeft w:val="0"/>
      <w:marRight w:val="0"/>
      <w:marTop w:val="0"/>
      <w:marBottom w:val="0"/>
      <w:divBdr>
        <w:top w:val="none" w:sz="0" w:space="0" w:color="auto"/>
        <w:left w:val="none" w:sz="0" w:space="0" w:color="auto"/>
        <w:bottom w:val="none" w:sz="0" w:space="0" w:color="auto"/>
        <w:right w:val="none" w:sz="0" w:space="0" w:color="auto"/>
      </w:divBdr>
    </w:div>
    <w:div w:id="119108260">
      <w:bodyDiv w:val="1"/>
      <w:marLeft w:val="0"/>
      <w:marRight w:val="0"/>
      <w:marTop w:val="0"/>
      <w:marBottom w:val="0"/>
      <w:divBdr>
        <w:top w:val="none" w:sz="0" w:space="0" w:color="auto"/>
        <w:left w:val="none" w:sz="0" w:space="0" w:color="auto"/>
        <w:bottom w:val="none" w:sz="0" w:space="0" w:color="auto"/>
        <w:right w:val="none" w:sz="0" w:space="0" w:color="auto"/>
      </w:divBdr>
    </w:div>
    <w:div w:id="124781853">
      <w:bodyDiv w:val="1"/>
      <w:marLeft w:val="0"/>
      <w:marRight w:val="0"/>
      <w:marTop w:val="0"/>
      <w:marBottom w:val="0"/>
      <w:divBdr>
        <w:top w:val="none" w:sz="0" w:space="0" w:color="auto"/>
        <w:left w:val="none" w:sz="0" w:space="0" w:color="auto"/>
        <w:bottom w:val="none" w:sz="0" w:space="0" w:color="auto"/>
        <w:right w:val="none" w:sz="0" w:space="0" w:color="auto"/>
      </w:divBdr>
    </w:div>
    <w:div w:id="164444268">
      <w:bodyDiv w:val="1"/>
      <w:marLeft w:val="0"/>
      <w:marRight w:val="0"/>
      <w:marTop w:val="0"/>
      <w:marBottom w:val="0"/>
      <w:divBdr>
        <w:top w:val="none" w:sz="0" w:space="0" w:color="auto"/>
        <w:left w:val="none" w:sz="0" w:space="0" w:color="auto"/>
        <w:bottom w:val="none" w:sz="0" w:space="0" w:color="auto"/>
        <w:right w:val="none" w:sz="0" w:space="0" w:color="auto"/>
      </w:divBdr>
    </w:div>
    <w:div w:id="183440924">
      <w:bodyDiv w:val="1"/>
      <w:marLeft w:val="0"/>
      <w:marRight w:val="0"/>
      <w:marTop w:val="0"/>
      <w:marBottom w:val="0"/>
      <w:divBdr>
        <w:top w:val="none" w:sz="0" w:space="0" w:color="auto"/>
        <w:left w:val="none" w:sz="0" w:space="0" w:color="auto"/>
        <w:bottom w:val="none" w:sz="0" w:space="0" w:color="auto"/>
        <w:right w:val="none" w:sz="0" w:space="0" w:color="auto"/>
      </w:divBdr>
    </w:div>
    <w:div w:id="190606923">
      <w:bodyDiv w:val="1"/>
      <w:marLeft w:val="0"/>
      <w:marRight w:val="0"/>
      <w:marTop w:val="0"/>
      <w:marBottom w:val="0"/>
      <w:divBdr>
        <w:top w:val="none" w:sz="0" w:space="0" w:color="auto"/>
        <w:left w:val="none" w:sz="0" w:space="0" w:color="auto"/>
        <w:bottom w:val="none" w:sz="0" w:space="0" w:color="auto"/>
        <w:right w:val="none" w:sz="0" w:space="0" w:color="auto"/>
      </w:divBdr>
    </w:div>
    <w:div w:id="259723345">
      <w:bodyDiv w:val="1"/>
      <w:marLeft w:val="0"/>
      <w:marRight w:val="0"/>
      <w:marTop w:val="0"/>
      <w:marBottom w:val="0"/>
      <w:divBdr>
        <w:top w:val="none" w:sz="0" w:space="0" w:color="auto"/>
        <w:left w:val="none" w:sz="0" w:space="0" w:color="auto"/>
        <w:bottom w:val="none" w:sz="0" w:space="0" w:color="auto"/>
        <w:right w:val="none" w:sz="0" w:space="0" w:color="auto"/>
      </w:divBdr>
    </w:div>
    <w:div w:id="441996045">
      <w:bodyDiv w:val="1"/>
      <w:marLeft w:val="0"/>
      <w:marRight w:val="0"/>
      <w:marTop w:val="0"/>
      <w:marBottom w:val="0"/>
      <w:divBdr>
        <w:top w:val="none" w:sz="0" w:space="0" w:color="auto"/>
        <w:left w:val="none" w:sz="0" w:space="0" w:color="auto"/>
        <w:bottom w:val="none" w:sz="0" w:space="0" w:color="auto"/>
        <w:right w:val="none" w:sz="0" w:space="0" w:color="auto"/>
      </w:divBdr>
    </w:div>
    <w:div w:id="625963866">
      <w:bodyDiv w:val="1"/>
      <w:marLeft w:val="0"/>
      <w:marRight w:val="0"/>
      <w:marTop w:val="0"/>
      <w:marBottom w:val="0"/>
      <w:divBdr>
        <w:top w:val="none" w:sz="0" w:space="0" w:color="auto"/>
        <w:left w:val="none" w:sz="0" w:space="0" w:color="auto"/>
        <w:bottom w:val="none" w:sz="0" w:space="0" w:color="auto"/>
        <w:right w:val="none" w:sz="0" w:space="0" w:color="auto"/>
      </w:divBdr>
    </w:div>
    <w:div w:id="739252432">
      <w:bodyDiv w:val="1"/>
      <w:marLeft w:val="0"/>
      <w:marRight w:val="0"/>
      <w:marTop w:val="0"/>
      <w:marBottom w:val="0"/>
      <w:divBdr>
        <w:top w:val="none" w:sz="0" w:space="0" w:color="auto"/>
        <w:left w:val="none" w:sz="0" w:space="0" w:color="auto"/>
        <w:bottom w:val="none" w:sz="0" w:space="0" w:color="auto"/>
        <w:right w:val="none" w:sz="0" w:space="0" w:color="auto"/>
      </w:divBdr>
    </w:div>
    <w:div w:id="839152450">
      <w:bodyDiv w:val="1"/>
      <w:marLeft w:val="0"/>
      <w:marRight w:val="0"/>
      <w:marTop w:val="0"/>
      <w:marBottom w:val="0"/>
      <w:divBdr>
        <w:top w:val="none" w:sz="0" w:space="0" w:color="auto"/>
        <w:left w:val="none" w:sz="0" w:space="0" w:color="auto"/>
        <w:bottom w:val="none" w:sz="0" w:space="0" w:color="auto"/>
        <w:right w:val="none" w:sz="0" w:space="0" w:color="auto"/>
      </w:divBdr>
    </w:div>
    <w:div w:id="874805064">
      <w:bodyDiv w:val="1"/>
      <w:marLeft w:val="0"/>
      <w:marRight w:val="0"/>
      <w:marTop w:val="0"/>
      <w:marBottom w:val="0"/>
      <w:divBdr>
        <w:top w:val="none" w:sz="0" w:space="0" w:color="auto"/>
        <w:left w:val="none" w:sz="0" w:space="0" w:color="auto"/>
        <w:bottom w:val="none" w:sz="0" w:space="0" w:color="auto"/>
        <w:right w:val="none" w:sz="0" w:space="0" w:color="auto"/>
      </w:divBdr>
    </w:div>
    <w:div w:id="960769040">
      <w:bodyDiv w:val="1"/>
      <w:marLeft w:val="0"/>
      <w:marRight w:val="0"/>
      <w:marTop w:val="0"/>
      <w:marBottom w:val="0"/>
      <w:divBdr>
        <w:top w:val="none" w:sz="0" w:space="0" w:color="auto"/>
        <w:left w:val="none" w:sz="0" w:space="0" w:color="auto"/>
        <w:bottom w:val="none" w:sz="0" w:space="0" w:color="auto"/>
        <w:right w:val="none" w:sz="0" w:space="0" w:color="auto"/>
      </w:divBdr>
    </w:div>
    <w:div w:id="1024399376">
      <w:bodyDiv w:val="1"/>
      <w:marLeft w:val="0"/>
      <w:marRight w:val="0"/>
      <w:marTop w:val="0"/>
      <w:marBottom w:val="0"/>
      <w:divBdr>
        <w:top w:val="none" w:sz="0" w:space="0" w:color="auto"/>
        <w:left w:val="none" w:sz="0" w:space="0" w:color="auto"/>
        <w:bottom w:val="none" w:sz="0" w:space="0" w:color="auto"/>
        <w:right w:val="none" w:sz="0" w:space="0" w:color="auto"/>
      </w:divBdr>
    </w:div>
    <w:div w:id="1044717236">
      <w:bodyDiv w:val="1"/>
      <w:marLeft w:val="0"/>
      <w:marRight w:val="0"/>
      <w:marTop w:val="0"/>
      <w:marBottom w:val="0"/>
      <w:divBdr>
        <w:top w:val="none" w:sz="0" w:space="0" w:color="auto"/>
        <w:left w:val="none" w:sz="0" w:space="0" w:color="auto"/>
        <w:bottom w:val="none" w:sz="0" w:space="0" w:color="auto"/>
        <w:right w:val="none" w:sz="0" w:space="0" w:color="auto"/>
      </w:divBdr>
    </w:div>
    <w:div w:id="1196233409">
      <w:bodyDiv w:val="1"/>
      <w:marLeft w:val="0"/>
      <w:marRight w:val="0"/>
      <w:marTop w:val="0"/>
      <w:marBottom w:val="0"/>
      <w:divBdr>
        <w:top w:val="none" w:sz="0" w:space="0" w:color="auto"/>
        <w:left w:val="none" w:sz="0" w:space="0" w:color="auto"/>
        <w:bottom w:val="none" w:sz="0" w:space="0" w:color="auto"/>
        <w:right w:val="none" w:sz="0" w:space="0" w:color="auto"/>
      </w:divBdr>
    </w:div>
    <w:div w:id="1203595095">
      <w:bodyDiv w:val="1"/>
      <w:marLeft w:val="0"/>
      <w:marRight w:val="0"/>
      <w:marTop w:val="0"/>
      <w:marBottom w:val="0"/>
      <w:divBdr>
        <w:top w:val="none" w:sz="0" w:space="0" w:color="auto"/>
        <w:left w:val="none" w:sz="0" w:space="0" w:color="auto"/>
        <w:bottom w:val="none" w:sz="0" w:space="0" w:color="auto"/>
        <w:right w:val="none" w:sz="0" w:space="0" w:color="auto"/>
      </w:divBdr>
    </w:div>
    <w:div w:id="1406031370">
      <w:bodyDiv w:val="1"/>
      <w:marLeft w:val="0"/>
      <w:marRight w:val="0"/>
      <w:marTop w:val="0"/>
      <w:marBottom w:val="0"/>
      <w:divBdr>
        <w:top w:val="none" w:sz="0" w:space="0" w:color="auto"/>
        <w:left w:val="none" w:sz="0" w:space="0" w:color="auto"/>
        <w:bottom w:val="none" w:sz="0" w:space="0" w:color="auto"/>
        <w:right w:val="none" w:sz="0" w:space="0" w:color="auto"/>
      </w:divBdr>
    </w:div>
    <w:div w:id="1468402264">
      <w:bodyDiv w:val="1"/>
      <w:marLeft w:val="0"/>
      <w:marRight w:val="0"/>
      <w:marTop w:val="0"/>
      <w:marBottom w:val="0"/>
      <w:divBdr>
        <w:top w:val="none" w:sz="0" w:space="0" w:color="auto"/>
        <w:left w:val="none" w:sz="0" w:space="0" w:color="auto"/>
        <w:bottom w:val="none" w:sz="0" w:space="0" w:color="auto"/>
        <w:right w:val="none" w:sz="0" w:space="0" w:color="auto"/>
      </w:divBdr>
    </w:div>
    <w:div w:id="1612081431">
      <w:bodyDiv w:val="1"/>
      <w:marLeft w:val="0"/>
      <w:marRight w:val="0"/>
      <w:marTop w:val="0"/>
      <w:marBottom w:val="0"/>
      <w:divBdr>
        <w:top w:val="none" w:sz="0" w:space="0" w:color="auto"/>
        <w:left w:val="none" w:sz="0" w:space="0" w:color="auto"/>
        <w:bottom w:val="none" w:sz="0" w:space="0" w:color="auto"/>
        <w:right w:val="none" w:sz="0" w:space="0" w:color="auto"/>
      </w:divBdr>
    </w:div>
    <w:div w:id="1626544305">
      <w:bodyDiv w:val="1"/>
      <w:marLeft w:val="0"/>
      <w:marRight w:val="0"/>
      <w:marTop w:val="0"/>
      <w:marBottom w:val="0"/>
      <w:divBdr>
        <w:top w:val="none" w:sz="0" w:space="0" w:color="auto"/>
        <w:left w:val="none" w:sz="0" w:space="0" w:color="auto"/>
        <w:bottom w:val="none" w:sz="0" w:space="0" w:color="auto"/>
        <w:right w:val="none" w:sz="0" w:space="0" w:color="auto"/>
      </w:divBdr>
    </w:div>
    <w:div w:id="1802578244">
      <w:bodyDiv w:val="1"/>
      <w:marLeft w:val="0"/>
      <w:marRight w:val="0"/>
      <w:marTop w:val="0"/>
      <w:marBottom w:val="0"/>
      <w:divBdr>
        <w:top w:val="none" w:sz="0" w:space="0" w:color="auto"/>
        <w:left w:val="none" w:sz="0" w:space="0" w:color="auto"/>
        <w:bottom w:val="none" w:sz="0" w:space="0" w:color="auto"/>
        <w:right w:val="none" w:sz="0" w:space="0" w:color="auto"/>
      </w:divBdr>
    </w:div>
    <w:div w:id="1896962344">
      <w:bodyDiv w:val="1"/>
      <w:marLeft w:val="0"/>
      <w:marRight w:val="0"/>
      <w:marTop w:val="0"/>
      <w:marBottom w:val="0"/>
      <w:divBdr>
        <w:top w:val="none" w:sz="0" w:space="0" w:color="auto"/>
        <w:left w:val="none" w:sz="0" w:space="0" w:color="auto"/>
        <w:bottom w:val="none" w:sz="0" w:space="0" w:color="auto"/>
        <w:right w:val="none" w:sz="0" w:space="0" w:color="auto"/>
      </w:divBdr>
    </w:div>
    <w:div w:id="2002343309">
      <w:bodyDiv w:val="1"/>
      <w:marLeft w:val="0"/>
      <w:marRight w:val="0"/>
      <w:marTop w:val="0"/>
      <w:marBottom w:val="0"/>
      <w:divBdr>
        <w:top w:val="none" w:sz="0" w:space="0" w:color="auto"/>
        <w:left w:val="none" w:sz="0" w:space="0" w:color="auto"/>
        <w:bottom w:val="none" w:sz="0" w:space="0" w:color="auto"/>
        <w:right w:val="none" w:sz="0" w:space="0" w:color="auto"/>
      </w:divBdr>
      <w:divsChild>
        <w:div w:id="780489668">
          <w:marLeft w:val="0"/>
          <w:marRight w:val="0"/>
          <w:marTop w:val="120"/>
          <w:marBottom w:val="0"/>
          <w:divBdr>
            <w:top w:val="none" w:sz="0" w:space="0" w:color="auto"/>
            <w:left w:val="none" w:sz="0" w:space="0" w:color="auto"/>
            <w:bottom w:val="none" w:sz="0" w:space="0" w:color="auto"/>
            <w:right w:val="none" w:sz="0" w:space="0" w:color="auto"/>
          </w:divBdr>
        </w:div>
        <w:div w:id="828326132">
          <w:marLeft w:val="0"/>
          <w:marRight w:val="0"/>
          <w:marTop w:val="120"/>
          <w:marBottom w:val="0"/>
          <w:divBdr>
            <w:top w:val="none" w:sz="0" w:space="0" w:color="auto"/>
            <w:left w:val="none" w:sz="0" w:space="0" w:color="auto"/>
            <w:bottom w:val="none" w:sz="0" w:space="0" w:color="auto"/>
            <w:right w:val="none" w:sz="0" w:space="0" w:color="auto"/>
          </w:divBdr>
        </w:div>
        <w:div w:id="1148790975">
          <w:marLeft w:val="0"/>
          <w:marRight w:val="0"/>
          <w:marTop w:val="120"/>
          <w:marBottom w:val="0"/>
          <w:divBdr>
            <w:top w:val="none" w:sz="0" w:space="0" w:color="auto"/>
            <w:left w:val="none" w:sz="0" w:space="0" w:color="auto"/>
            <w:bottom w:val="none" w:sz="0" w:space="0" w:color="auto"/>
            <w:right w:val="none" w:sz="0" w:space="0" w:color="auto"/>
          </w:divBdr>
        </w:div>
        <w:div w:id="2130934862">
          <w:marLeft w:val="0"/>
          <w:marRight w:val="0"/>
          <w:marTop w:val="120"/>
          <w:marBottom w:val="0"/>
          <w:divBdr>
            <w:top w:val="none" w:sz="0" w:space="0" w:color="auto"/>
            <w:left w:val="none" w:sz="0" w:space="0" w:color="auto"/>
            <w:bottom w:val="none" w:sz="0" w:space="0" w:color="auto"/>
            <w:right w:val="none" w:sz="0" w:space="0" w:color="auto"/>
          </w:divBdr>
        </w:div>
      </w:divsChild>
    </w:div>
    <w:div w:id="20988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927B-4878-4893-958E-7EC9E98D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DOC-MARKER-XQ58iMmYdUCDKc_EYe7NSw</dc:description>
  <cp:lastModifiedBy>Андреева Вероника Ивановна</cp:lastModifiedBy>
  <cp:revision>5</cp:revision>
  <cp:lastPrinted>2026-04-27T08:51:00Z</cp:lastPrinted>
  <dcterms:created xsi:type="dcterms:W3CDTF">2026-05-06T06:27:00Z</dcterms:created>
  <dcterms:modified xsi:type="dcterms:W3CDTF">2026-05-08T06:33:00Z</dcterms:modified>
</cp:coreProperties>
</file>