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001FA" w14:textId="4B980B87" w:rsidR="009273A0" w:rsidRDefault="009273A0" w:rsidP="009273A0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/>
          <w:b/>
          <w:lang w:val="ru-RU" w:eastAsia="ru-RU"/>
        </w:rPr>
      </w:pPr>
      <w:r>
        <w:rPr>
          <w:rFonts w:ascii="Times New Roman" w:eastAsia="Times New Roman" w:hAnsi="Times New Roman"/>
          <w:b/>
          <w:lang w:val="ru-RU" w:eastAsia="ru-RU"/>
        </w:rPr>
        <w:t>Приложение № 1 к извещению</w:t>
      </w:r>
    </w:p>
    <w:p w14:paraId="3AA89A93" w14:textId="77777777" w:rsidR="009273A0" w:rsidRDefault="009273A0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lang w:val="ru-RU" w:eastAsia="ru-RU"/>
        </w:rPr>
      </w:pPr>
    </w:p>
    <w:p w14:paraId="2EE4B296" w14:textId="22769F75" w:rsidR="00870B88" w:rsidRDefault="00000000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lang w:val="ru-RU" w:eastAsia="ru-RU"/>
        </w:rPr>
      </w:pPr>
      <w:r>
        <w:rPr>
          <w:rFonts w:ascii="Times New Roman" w:eastAsia="Times New Roman" w:hAnsi="Times New Roman"/>
          <w:b/>
          <w:lang w:val="ru-RU" w:eastAsia="ru-RU"/>
        </w:rPr>
        <w:t>Техническое задание</w:t>
      </w:r>
    </w:p>
    <w:p w14:paraId="16A3DEB7" w14:textId="0F22AD8F" w:rsidR="00870B88" w:rsidRDefault="00000000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lang w:val="ru-RU" w:eastAsia="ru-RU"/>
        </w:rPr>
      </w:pPr>
      <w:r>
        <w:rPr>
          <w:rFonts w:ascii="Times New Roman" w:eastAsia="Times New Roman" w:hAnsi="Times New Roman"/>
          <w:b/>
          <w:bCs/>
          <w:lang w:val="ru-RU" w:eastAsia="ru-RU"/>
        </w:rPr>
        <w:t>на поставку продуктов питания (фрукты, овощи</w:t>
      </w:r>
      <w:r w:rsidR="00FC46B2">
        <w:rPr>
          <w:rFonts w:ascii="Times New Roman" w:eastAsia="Times New Roman" w:hAnsi="Times New Roman"/>
          <w:b/>
          <w:bCs/>
          <w:lang w:val="ru-RU" w:eastAsia="ru-RU"/>
        </w:rPr>
        <w:t xml:space="preserve"> сезонные</w:t>
      </w:r>
      <w:r>
        <w:rPr>
          <w:rFonts w:ascii="Times New Roman" w:eastAsia="Times New Roman" w:hAnsi="Times New Roman"/>
          <w:b/>
          <w:bCs/>
          <w:lang w:val="ru-RU" w:eastAsia="ru-RU"/>
        </w:rPr>
        <w:t>)</w:t>
      </w:r>
      <w:r w:rsidR="002D50DA">
        <w:rPr>
          <w:rFonts w:ascii="Times New Roman" w:eastAsia="Times New Roman" w:hAnsi="Times New Roman"/>
          <w:b/>
          <w:bCs/>
          <w:lang w:val="ru-RU" w:eastAsia="ru-RU"/>
        </w:rPr>
        <w:t xml:space="preserve"> на 3 квартал 2026 года</w:t>
      </w:r>
    </w:p>
    <w:p w14:paraId="27A3CB21" w14:textId="77777777" w:rsidR="00870B88" w:rsidRDefault="00870B88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lang w:val="ru-RU" w:eastAsia="ru-RU"/>
        </w:rPr>
      </w:pPr>
    </w:p>
    <w:p w14:paraId="51B470C0" w14:textId="77777777" w:rsidR="00870B88" w:rsidRDefault="00000000">
      <w:pPr>
        <w:spacing w:after="0" w:line="240" w:lineRule="auto"/>
        <w:contextualSpacing/>
        <w:outlineLvl w:val="0"/>
        <w:rPr>
          <w:rFonts w:ascii="Times New Roman" w:eastAsia="Times New Roman" w:hAnsi="Times New Roman"/>
          <w:b/>
          <w:bCs/>
          <w:lang w:val="ru-RU" w:eastAsia="ru-RU"/>
        </w:rPr>
      </w:pPr>
      <w:r>
        <w:rPr>
          <w:rFonts w:ascii="Times New Roman" w:eastAsia="Times New Roman" w:hAnsi="Times New Roman"/>
          <w:b/>
          <w:bCs/>
          <w:lang w:val="ru-RU" w:eastAsia="ru-RU"/>
        </w:rPr>
        <w:t xml:space="preserve">1. Объект закупки: </w:t>
      </w:r>
    </w:p>
    <w:tbl>
      <w:tblPr>
        <w:tblW w:w="48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19"/>
        <w:gridCol w:w="1542"/>
        <w:gridCol w:w="4708"/>
        <w:gridCol w:w="709"/>
        <w:gridCol w:w="845"/>
      </w:tblGrid>
      <w:tr w:rsidR="00870B88" w14:paraId="6F8A79CD" w14:textId="77777777">
        <w:trPr>
          <w:trHeight w:val="535"/>
          <w:tblHeader/>
          <w:jc w:val="center"/>
        </w:trPr>
        <w:tc>
          <w:tcPr>
            <w:tcW w:w="675" w:type="dxa"/>
          </w:tcPr>
          <w:p w14:paraId="125665B2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>№ п/п</w:t>
            </w:r>
          </w:p>
        </w:tc>
        <w:tc>
          <w:tcPr>
            <w:tcW w:w="1719" w:type="dxa"/>
          </w:tcPr>
          <w:p w14:paraId="17881F61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>Наименование товара</w:t>
            </w:r>
          </w:p>
        </w:tc>
        <w:tc>
          <w:tcPr>
            <w:tcW w:w="1542" w:type="dxa"/>
          </w:tcPr>
          <w:p w14:paraId="5C288B2D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>ОКПД2</w:t>
            </w:r>
          </w:p>
          <w:p w14:paraId="1A702D5E" w14:textId="77777777" w:rsidR="00870B88" w:rsidRDefault="00870B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</w:p>
        </w:tc>
        <w:tc>
          <w:tcPr>
            <w:tcW w:w="4708" w:type="dxa"/>
          </w:tcPr>
          <w:p w14:paraId="5C8937D4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>Характеристики товара</w:t>
            </w:r>
          </w:p>
        </w:tc>
        <w:tc>
          <w:tcPr>
            <w:tcW w:w="709" w:type="dxa"/>
            <w:vAlign w:val="center"/>
          </w:tcPr>
          <w:p w14:paraId="172FA133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 xml:space="preserve">Ед. </w:t>
            </w:r>
          </w:p>
          <w:p w14:paraId="1947EB8F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>изм.</w:t>
            </w:r>
          </w:p>
        </w:tc>
        <w:tc>
          <w:tcPr>
            <w:tcW w:w="845" w:type="dxa"/>
          </w:tcPr>
          <w:p w14:paraId="7724921B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>Кол-во</w:t>
            </w:r>
          </w:p>
          <w:p w14:paraId="510608BF" w14:textId="77777777" w:rsidR="00870B88" w:rsidRDefault="00870B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</w:p>
        </w:tc>
      </w:tr>
      <w:tr w:rsidR="00870B88" w14:paraId="582D21C1" w14:textId="77777777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9553" w14:textId="77777777" w:rsidR="00870B88" w:rsidRDefault="00870B88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</w:p>
        </w:tc>
        <w:tc>
          <w:tcPr>
            <w:tcW w:w="1719" w:type="dxa"/>
          </w:tcPr>
          <w:p w14:paraId="09C061B4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</w:rPr>
              <w:t>Перец болгарский</w:t>
            </w:r>
          </w:p>
        </w:tc>
        <w:tc>
          <w:tcPr>
            <w:tcW w:w="1542" w:type="dxa"/>
          </w:tcPr>
          <w:p w14:paraId="3470F3FC" w14:textId="77777777" w:rsidR="00870B88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01.13.90.000 (П)</w:t>
            </w:r>
          </w:p>
        </w:tc>
        <w:tc>
          <w:tcPr>
            <w:tcW w:w="4708" w:type="dxa"/>
            <w:tcBorders>
              <w:top w:val="single" w:sz="4" w:space="0" w:color="auto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6C4CC9DC" w14:textId="77777777" w:rsidR="00870B8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>Соответствует требованиям</w:t>
            </w:r>
            <w:r>
              <w:rPr>
                <w:rFonts w:ascii="Times New Roman" w:hAnsi="Times New Roman"/>
                <w:lang w:val="ru-RU"/>
              </w:rPr>
              <w:t xml:space="preserve"> ГОСТ  34325-2017.</w:t>
            </w:r>
            <w:r>
              <w:rPr>
                <w:rFonts w:ascii="Times New Roman" w:eastAsia="Times New Roman" w:hAnsi="Times New Roman"/>
                <w:bCs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Свежий сладкий перец сорт высший. Плоды целые, здоровые чистые, свежие, без механических повреждений и повреждений вызванных низкой температурой, без излишней внешней влажности с плодоножками. Плоды плотные, способные выдержать транспортирование, погрузку, разгрузку и доставку к месту назначения. Запах свойственный данному ботаническому сорту, без постороннего запаха, не  жгучим на вкус.  </w:t>
            </w:r>
          </w:p>
        </w:tc>
        <w:tc>
          <w:tcPr>
            <w:tcW w:w="709" w:type="dxa"/>
            <w:tcBorders>
              <w:top w:val="single" w:sz="4" w:space="0" w:color="auto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58E8E96B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кг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884E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220</w:t>
            </w:r>
          </w:p>
        </w:tc>
      </w:tr>
      <w:tr w:rsidR="00870B88" w14:paraId="65E75C93" w14:textId="77777777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4C80C" w14:textId="77777777" w:rsidR="00870B88" w:rsidRDefault="00870B88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</w:p>
        </w:tc>
        <w:tc>
          <w:tcPr>
            <w:tcW w:w="1719" w:type="dxa"/>
          </w:tcPr>
          <w:p w14:paraId="592B5384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</w:rPr>
              <w:t>Кабачки свежие</w:t>
            </w:r>
          </w:p>
        </w:tc>
        <w:tc>
          <w:tcPr>
            <w:tcW w:w="1542" w:type="dxa"/>
          </w:tcPr>
          <w:p w14:paraId="6E2FE304" w14:textId="77777777" w:rsidR="00870B88" w:rsidRDefault="00870B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7" w:history="1">
              <w:r>
                <w:rPr>
                  <w:rFonts w:ascii="Times New Roman" w:hAnsi="Times New Roman"/>
                </w:rPr>
                <w:t>01.13.39.110</w:t>
              </w:r>
            </w:hyperlink>
            <w:r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</w:rPr>
              <w:t>(П)</w:t>
            </w:r>
          </w:p>
        </w:tc>
        <w:tc>
          <w:tcPr>
            <w:tcW w:w="4708" w:type="dxa"/>
            <w:tcBorders>
              <w:top w:val="none" w:sz="255" w:space="0" w:color="FFFFFF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3E24F828" w14:textId="77777777" w:rsidR="00870B8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>Соответствует требованиям</w:t>
            </w:r>
            <w:r>
              <w:rPr>
                <w:rFonts w:ascii="Times New Roman" w:hAnsi="Times New Roman"/>
                <w:lang w:val="ru-RU"/>
              </w:rPr>
              <w:t xml:space="preserve"> ГОСТ 7176-2017 Описание: Однородный по форме. Клубни целые, здоровые, свежие, полностью покрытые плотной кожурой, без излишней внешней влажности, не проросшие, не увядшие, без повреждений сельскохозяйственными вредителями, типичной для ботанического сорта формы и окраски, без коричневых пятен, вызванных воздействием тепла, не позеленевшие.  </w:t>
            </w:r>
          </w:p>
        </w:tc>
        <w:tc>
          <w:tcPr>
            <w:tcW w:w="709" w:type="dxa"/>
            <w:tcBorders>
              <w:top w:val="single" w:sz="4" w:space="0" w:color="auto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2B50D8FF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кг</w:t>
            </w:r>
          </w:p>
        </w:tc>
        <w:tc>
          <w:tcPr>
            <w:tcW w:w="845" w:type="dxa"/>
            <w:tcBorders>
              <w:top w:val="none" w:sz="255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6688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180</w:t>
            </w:r>
          </w:p>
        </w:tc>
      </w:tr>
      <w:tr w:rsidR="00870B88" w14:paraId="1839D7CB" w14:textId="77777777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6630" w14:textId="77777777" w:rsidR="00870B88" w:rsidRDefault="00870B88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</w:p>
        </w:tc>
        <w:tc>
          <w:tcPr>
            <w:tcW w:w="1719" w:type="dxa"/>
          </w:tcPr>
          <w:p w14:paraId="1D784A22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</w:rPr>
              <w:t>Нектарины свежие</w:t>
            </w:r>
          </w:p>
        </w:tc>
        <w:tc>
          <w:tcPr>
            <w:tcW w:w="1542" w:type="dxa"/>
          </w:tcPr>
          <w:p w14:paraId="2AC0B639" w14:textId="77777777" w:rsidR="00870B88" w:rsidRDefault="00870B88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  <w:hyperlink r:id="rId8" w:history="1">
              <w:r>
                <w:rPr>
                  <w:rFonts w:ascii="Times New Roman" w:hAnsi="Times New Roman"/>
                </w:rPr>
                <w:t>01.24.26.000</w:t>
              </w:r>
            </w:hyperlink>
            <w:r>
              <w:rPr>
                <w:rFonts w:ascii="Times New Roman" w:hAnsi="Times New Roman"/>
                <w:lang w:val="ru-RU"/>
              </w:rPr>
              <w:t xml:space="preserve"> (П)</w:t>
            </w:r>
          </w:p>
        </w:tc>
        <w:tc>
          <w:tcPr>
            <w:tcW w:w="4708" w:type="dxa"/>
            <w:tcBorders>
              <w:top w:val="none" w:sz="255" w:space="0" w:color="FFFFFF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3E1B6134" w14:textId="77777777" w:rsidR="00870B88" w:rsidRDefault="00000000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 xml:space="preserve">Соответствует требованиям </w:t>
            </w:r>
            <w:r>
              <w:rPr>
                <w:rFonts w:ascii="Times New Roman" w:hAnsi="Times New Roman"/>
                <w:lang w:val="ru-RU"/>
              </w:rPr>
              <w:t xml:space="preserve">ГОСТ 34340/2017.   Внешний вид – плоды свежие, целые, чистые, здоровые, по форме и окраске соответствующие данному ботаническому сорту. </w:t>
            </w:r>
          </w:p>
          <w:p w14:paraId="3B6CE015" w14:textId="77777777" w:rsidR="00870B8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Не допускаются к поставке загнивший,  мятый, перезрелый, пораженный болезнями и сельскохозяйственными вредителями, а также с увядшей и надорванной кожицей, подмороженный продукт. </w:t>
            </w:r>
          </w:p>
        </w:tc>
        <w:tc>
          <w:tcPr>
            <w:tcW w:w="709" w:type="dxa"/>
            <w:tcBorders>
              <w:top w:val="single" w:sz="4" w:space="0" w:color="auto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5ADD5773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кг</w:t>
            </w:r>
          </w:p>
        </w:tc>
        <w:tc>
          <w:tcPr>
            <w:tcW w:w="845" w:type="dxa"/>
            <w:tcBorders>
              <w:top w:val="none" w:sz="255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BE1A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160</w:t>
            </w:r>
          </w:p>
        </w:tc>
      </w:tr>
      <w:tr w:rsidR="00870B88" w14:paraId="41527699" w14:textId="77777777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5365" w14:textId="77777777" w:rsidR="00870B88" w:rsidRDefault="00870B88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</w:p>
        </w:tc>
        <w:tc>
          <w:tcPr>
            <w:tcW w:w="1719" w:type="dxa"/>
          </w:tcPr>
          <w:p w14:paraId="064442EE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</w:rPr>
              <w:t>Персики свежие</w:t>
            </w:r>
          </w:p>
        </w:tc>
        <w:tc>
          <w:tcPr>
            <w:tcW w:w="1542" w:type="dxa"/>
          </w:tcPr>
          <w:p w14:paraId="03C8540B" w14:textId="77777777" w:rsidR="00870B88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01.24.25.000</w:t>
            </w:r>
          </w:p>
          <w:p w14:paraId="374CEA96" w14:textId="77777777" w:rsidR="00870B88" w:rsidRDefault="000000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(П)</w:t>
            </w:r>
          </w:p>
        </w:tc>
        <w:tc>
          <w:tcPr>
            <w:tcW w:w="4708" w:type="dxa"/>
            <w:tcBorders>
              <w:top w:val="none" w:sz="255" w:space="0" w:color="FFFFFF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1CD04600" w14:textId="77777777" w:rsidR="00870B88" w:rsidRDefault="00000000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 xml:space="preserve">Соответствует требованиям </w:t>
            </w:r>
            <w:r>
              <w:rPr>
                <w:rFonts w:ascii="Times New Roman" w:hAnsi="Times New Roman"/>
                <w:lang w:val="ru-RU"/>
              </w:rPr>
              <w:t xml:space="preserve">ГОСТ 34340-2017,  Внешний вид – плоды свежие, целые, чистые, здоровые, по форме и окраске соответствующие данному ботаническому сорту. </w:t>
            </w:r>
          </w:p>
          <w:p w14:paraId="7D1A28BE" w14:textId="77777777" w:rsidR="00870B88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Не допускаются к поставке загнивший,  мятый, перезрелый, пораженный болезнями и сельскохозяйственными вредителями, а также с увядшей и надорванной кожицей, подмороженный продукт. </w:t>
            </w:r>
          </w:p>
        </w:tc>
        <w:tc>
          <w:tcPr>
            <w:tcW w:w="709" w:type="dxa"/>
            <w:tcBorders>
              <w:top w:val="single" w:sz="4" w:space="0" w:color="auto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6F99EA72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кг</w:t>
            </w:r>
          </w:p>
        </w:tc>
        <w:tc>
          <w:tcPr>
            <w:tcW w:w="845" w:type="dxa"/>
            <w:tcBorders>
              <w:top w:val="none" w:sz="255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0721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160</w:t>
            </w:r>
          </w:p>
        </w:tc>
      </w:tr>
      <w:tr w:rsidR="00870B88" w14:paraId="03575E54" w14:textId="77777777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9DEE" w14:textId="77777777" w:rsidR="00870B88" w:rsidRDefault="00870B88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</w:p>
        </w:tc>
        <w:tc>
          <w:tcPr>
            <w:tcW w:w="1719" w:type="dxa"/>
          </w:tcPr>
          <w:p w14:paraId="7A637ED6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</w:rPr>
              <w:t>Сливы свежие</w:t>
            </w:r>
          </w:p>
        </w:tc>
        <w:tc>
          <w:tcPr>
            <w:tcW w:w="1542" w:type="dxa"/>
          </w:tcPr>
          <w:p w14:paraId="5605CD9A" w14:textId="77777777" w:rsidR="00870B88" w:rsidRDefault="00870B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9" w:history="1">
              <w:r>
                <w:rPr>
                  <w:rFonts w:ascii="Times New Roman" w:hAnsi="Times New Roman"/>
                </w:rPr>
                <w:t>01.24.27.000</w:t>
              </w:r>
            </w:hyperlink>
            <w:r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</w:rPr>
              <w:t>(П)</w:t>
            </w:r>
          </w:p>
        </w:tc>
        <w:tc>
          <w:tcPr>
            <w:tcW w:w="4708" w:type="dxa"/>
            <w:tcBorders>
              <w:top w:val="single" w:sz="4" w:space="0" w:color="auto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37AD8282" w14:textId="77777777" w:rsidR="00870B88" w:rsidRDefault="00000000">
            <w:pPr>
              <w:spacing w:after="0" w:line="240" w:lineRule="auto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 xml:space="preserve">Соответствует требованиям </w:t>
            </w:r>
            <w:r>
              <w:rPr>
                <w:rFonts w:ascii="Times New Roman" w:hAnsi="Times New Roman"/>
                <w:lang w:val="ru-RU"/>
              </w:rPr>
              <w:t xml:space="preserve">ГОСТ 32286/2013. Внешний вид – плоды свежие, целые, чистые, здоровые, по форме и окраске соответствующие данному ботаническому сорту. </w:t>
            </w:r>
          </w:p>
          <w:p w14:paraId="16748ED8" w14:textId="77777777" w:rsidR="00870B88" w:rsidRDefault="00000000">
            <w:pPr>
              <w:spacing w:after="0" w:line="240" w:lineRule="auto"/>
              <w:ind w:firstLine="33"/>
              <w:jc w:val="both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Не допускаются к поставке загнивший,  мятый, перезрелый, пораженный болезнями и </w:t>
            </w:r>
            <w:r>
              <w:rPr>
                <w:rFonts w:ascii="Times New Roman" w:hAnsi="Times New Roman"/>
                <w:lang w:val="ru-RU"/>
              </w:rPr>
              <w:lastRenderedPageBreak/>
              <w:t xml:space="preserve">сельскохозяйственными вредителями, а также с увядшей и надорванной кожицей, подмороженный продукт. </w:t>
            </w:r>
          </w:p>
        </w:tc>
        <w:tc>
          <w:tcPr>
            <w:tcW w:w="709" w:type="dxa"/>
            <w:tcBorders>
              <w:top w:val="single" w:sz="4" w:space="0" w:color="auto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1098B13D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lastRenderedPageBreak/>
              <w:t>кг</w:t>
            </w:r>
          </w:p>
        </w:tc>
        <w:tc>
          <w:tcPr>
            <w:tcW w:w="845" w:type="dxa"/>
            <w:tcBorders>
              <w:top w:val="none" w:sz="255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308D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160</w:t>
            </w:r>
          </w:p>
        </w:tc>
      </w:tr>
      <w:tr w:rsidR="00870B88" w14:paraId="541BD933" w14:textId="77777777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6C78" w14:textId="77777777" w:rsidR="00870B88" w:rsidRDefault="00870B88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bCs/>
                <w:lang w:val="ru-RU" w:eastAsia="ru-RU"/>
              </w:rPr>
            </w:pPr>
          </w:p>
        </w:tc>
        <w:tc>
          <w:tcPr>
            <w:tcW w:w="1719" w:type="dxa"/>
          </w:tcPr>
          <w:p w14:paraId="75B01B05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</w:rPr>
              <w:t>Абрикосы свежие</w:t>
            </w:r>
          </w:p>
        </w:tc>
        <w:tc>
          <w:tcPr>
            <w:tcW w:w="1542" w:type="dxa"/>
          </w:tcPr>
          <w:p w14:paraId="00099072" w14:textId="77777777" w:rsidR="00870B88" w:rsidRDefault="00870B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10" w:history="1">
              <w:r>
                <w:rPr>
                  <w:rFonts w:ascii="Times New Roman" w:hAnsi="Times New Roman"/>
                </w:rPr>
                <w:t>01.24.23.000</w:t>
              </w:r>
            </w:hyperlink>
            <w:r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</w:rPr>
              <w:t>(П)</w:t>
            </w:r>
          </w:p>
        </w:tc>
        <w:tc>
          <w:tcPr>
            <w:tcW w:w="4708" w:type="dxa"/>
            <w:tcBorders>
              <w:top w:val="none" w:sz="255" w:space="0" w:color="FFFFFF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09F7222F" w14:textId="77777777" w:rsidR="00870B88" w:rsidRDefault="0000000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 xml:space="preserve">Соответствует требованиям </w:t>
            </w:r>
            <w:r>
              <w:rPr>
                <w:rFonts w:ascii="Times New Roman" w:hAnsi="Times New Roman"/>
                <w:color w:val="000000"/>
                <w:lang w:val="ru-RU"/>
              </w:rPr>
              <w:t xml:space="preserve">ГОСТ 32787/2014.  Внешний вид – плоды свежие, целые, чистые, здоровые, по форме и окраске соответствующие данному ботаническому сорту. </w:t>
            </w:r>
          </w:p>
          <w:p w14:paraId="68E72476" w14:textId="77777777" w:rsidR="00870B88" w:rsidRDefault="00000000">
            <w:pPr>
              <w:spacing w:after="0" w:line="240" w:lineRule="auto"/>
              <w:jc w:val="both"/>
              <w:rPr>
                <w:rFonts w:ascii="Times New Roman" w:hAnsi="Times New Roman"/>
                <w:lang w:val="ru-RU" w:eastAsia="ar-SA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 xml:space="preserve">Не допускаются к поставке загнивший,  мятый, перезрелый, пораженный болезнями и сельскохозяйственными вредителями, а также с увядшей и надорванной кожицей, подмороженный продукт. </w:t>
            </w:r>
          </w:p>
        </w:tc>
        <w:tc>
          <w:tcPr>
            <w:tcW w:w="709" w:type="dxa"/>
            <w:tcBorders>
              <w:top w:val="single" w:sz="4" w:space="0" w:color="auto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066EC3FE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кг</w:t>
            </w:r>
          </w:p>
        </w:tc>
        <w:tc>
          <w:tcPr>
            <w:tcW w:w="845" w:type="dxa"/>
            <w:tcBorders>
              <w:top w:val="none" w:sz="255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919B" w14:textId="546BF6DE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1</w:t>
            </w:r>
            <w:r w:rsidR="00FC46B2"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</w:rPr>
              <w:t>0</w:t>
            </w:r>
          </w:p>
        </w:tc>
      </w:tr>
      <w:tr w:rsidR="00870B88" w14:paraId="1BC5E40B" w14:textId="77777777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56F6" w14:textId="77777777" w:rsidR="00870B88" w:rsidRDefault="00870B88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bCs/>
                <w:lang w:val="ru-RU" w:eastAsia="ru-RU"/>
              </w:rPr>
            </w:pPr>
          </w:p>
        </w:tc>
        <w:tc>
          <w:tcPr>
            <w:tcW w:w="1719" w:type="dxa"/>
          </w:tcPr>
          <w:p w14:paraId="7CDD089C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hAnsi="Times New Roman"/>
              </w:rPr>
              <w:t>Виноград свежий</w:t>
            </w:r>
          </w:p>
        </w:tc>
        <w:tc>
          <w:tcPr>
            <w:tcW w:w="1542" w:type="dxa"/>
          </w:tcPr>
          <w:p w14:paraId="46A0426E" w14:textId="77777777" w:rsidR="00870B88" w:rsidRDefault="00870B8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11" w:history="1">
              <w:r>
                <w:rPr>
                  <w:rFonts w:ascii="Times New Roman" w:hAnsi="Times New Roman"/>
                </w:rPr>
                <w:t>01.21.11.000</w:t>
              </w:r>
            </w:hyperlink>
            <w:r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</w:rPr>
              <w:t>(П)</w:t>
            </w:r>
          </w:p>
        </w:tc>
        <w:tc>
          <w:tcPr>
            <w:tcW w:w="4708" w:type="dxa"/>
            <w:tcBorders>
              <w:top w:val="none" w:sz="255" w:space="0" w:color="FFFFFF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0D21563F" w14:textId="77777777" w:rsidR="00870B88" w:rsidRDefault="00000000">
            <w:pPr>
              <w:spacing w:after="0" w:line="240" w:lineRule="auto"/>
              <w:ind w:firstLine="33"/>
              <w:jc w:val="both"/>
              <w:rPr>
                <w:rFonts w:ascii="Times New Roman" w:hAnsi="Times New Roman"/>
                <w:lang w:val="ru-RU" w:eastAsia="ar-SA"/>
              </w:rPr>
            </w:pPr>
            <w:r>
              <w:rPr>
                <w:rFonts w:ascii="Times New Roman" w:eastAsia="Times New Roman" w:hAnsi="Times New Roman"/>
                <w:bCs/>
                <w:lang w:val="ru-RU" w:eastAsia="ru-RU"/>
              </w:rPr>
              <w:t>Соответствует требованиям</w:t>
            </w:r>
            <w:r>
              <w:rPr>
                <w:rFonts w:ascii="Times New Roman" w:hAnsi="Times New Roman"/>
                <w:color w:val="000000"/>
                <w:lang w:val="ru-RU"/>
              </w:rPr>
              <w:t xml:space="preserve"> ГОСТ 32786-2014</w:t>
            </w:r>
            <w:r>
              <w:rPr>
                <w:rFonts w:ascii="Times New Roman" w:eastAsia="Times New Roman" w:hAnsi="Times New Roman"/>
                <w:bCs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ru-RU"/>
              </w:rPr>
              <w:t xml:space="preserve">Виноград свежий первого сорта, грозди целые, аккуратно собраны и уложены, здоровые, ягоды свежие, зрелые, нормально развитые, упругие, чистые, упакованный в потребительскую тару весом 1 кг.  из полимерных и комбинированных материалов. </w:t>
            </w:r>
          </w:p>
        </w:tc>
        <w:tc>
          <w:tcPr>
            <w:tcW w:w="709" w:type="dxa"/>
            <w:tcBorders>
              <w:top w:val="single" w:sz="4" w:space="0" w:color="auto"/>
              <w:left w:val="none" w:sz="255" w:space="0" w:color="FFFFFF"/>
              <w:bottom w:val="single" w:sz="4" w:space="0" w:color="auto"/>
              <w:right w:val="single" w:sz="4" w:space="0" w:color="auto"/>
            </w:tcBorders>
          </w:tcPr>
          <w:p w14:paraId="52F67206" w14:textId="7777777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кг</w:t>
            </w:r>
          </w:p>
        </w:tc>
        <w:tc>
          <w:tcPr>
            <w:tcW w:w="845" w:type="dxa"/>
            <w:tcBorders>
              <w:top w:val="none" w:sz="255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1206D" w14:textId="5EBE8AA7" w:rsidR="00870B8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val="ru-RU" w:eastAsia="ru-RU"/>
              </w:rPr>
            </w:pPr>
            <w:r>
              <w:rPr>
                <w:rFonts w:ascii="Times New Roman" w:hAnsi="Times New Roman"/>
              </w:rPr>
              <w:t>1</w:t>
            </w:r>
            <w:r w:rsidR="00FC46B2">
              <w:rPr>
                <w:rFonts w:ascii="Times New Roman" w:hAnsi="Times New Roman"/>
                <w:lang w:val="ru-RU"/>
              </w:rPr>
              <w:t>5</w:t>
            </w:r>
            <w:r>
              <w:rPr>
                <w:rFonts w:ascii="Times New Roman" w:hAnsi="Times New Roman"/>
              </w:rPr>
              <w:t>0</w:t>
            </w:r>
          </w:p>
        </w:tc>
      </w:tr>
    </w:tbl>
    <w:p w14:paraId="11CA49CC" w14:textId="77777777" w:rsidR="00870B88" w:rsidRDefault="00870B88">
      <w:pPr>
        <w:spacing w:after="0"/>
        <w:jc w:val="both"/>
        <w:rPr>
          <w:rFonts w:ascii="Times New Roman" w:hAnsi="Times New Roman"/>
          <w:b/>
          <w:lang w:val="ru-RU" w:eastAsia="ar-SA"/>
        </w:rPr>
      </w:pPr>
    </w:p>
    <w:p w14:paraId="187DDBBF" w14:textId="77777777" w:rsidR="00870B88" w:rsidRDefault="00000000">
      <w:pPr>
        <w:spacing w:after="0"/>
        <w:jc w:val="both"/>
        <w:rPr>
          <w:rFonts w:ascii="Times New Roman" w:hAnsi="Times New Roman"/>
          <w:bCs/>
          <w:lang w:val="ru-RU" w:eastAsia="ar-SA"/>
        </w:rPr>
      </w:pPr>
      <w:r>
        <w:rPr>
          <w:rFonts w:ascii="Times New Roman" w:hAnsi="Times New Roman"/>
          <w:b/>
          <w:lang w:val="ru-RU" w:eastAsia="ar-SA"/>
        </w:rPr>
        <w:t xml:space="preserve">2. Место поставки: </w:t>
      </w:r>
      <w:r>
        <w:rPr>
          <w:rFonts w:ascii="Times New Roman" w:hAnsi="Times New Roman"/>
          <w:lang w:val="ru-RU"/>
        </w:rPr>
        <w:t>628615</w:t>
      </w:r>
      <w:r>
        <w:rPr>
          <w:rFonts w:ascii="Times New Roman" w:hAnsi="Times New Roman"/>
          <w:lang w:val="ru-RU" w:eastAsia="ar-SA"/>
        </w:rPr>
        <w:t xml:space="preserve">, </w:t>
      </w:r>
      <w:r>
        <w:rPr>
          <w:rFonts w:ascii="Times New Roman" w:hAnsi="Times New Roman"/>
          <w:lang w:val="ru-RU"/>
        </w:rPr>
        <w:t>ХМАО – Югра, г. Нижневартовск, ул.Интернациональная, 45А, ул.Интернациональная 49А</w:t>
      </w:r>
    </w:p>
    <w:p w14:paraId="2F63F08D" w14:textId="273AD424" w:rsidR="00870B88" w:rsidRDefault="00000000">
      <w:pPr>
        <w:spacing w:after="0"/>
        <w:jc w:val="both"/>
        <w:rPr>
          <w:rFonts w:ascii="Times New Roman" w:hAnsi="Times New Roman"/>
          <w:lang w:val="ru-RU" w:eastAsia="ar-SA"/>
        </w:rPr>
      </w:pPr>
      <w:r>
        <w:rPr>
          <w:rFonts w:ascii="Times New Roman" w:hAnsi="Times New Roman"/>
          <w:b/>
          <w:lang w:val="ru-RU" w:eastAsia="ar-SA"/>
        </w:rPr>
        <w:t>3. Период поставки товара:</w:t>
      </w:r>
      <w:r>
        <w:rPr>
          <w:rFonts w:ascii="Times New Roman" w:hAnsi="Times New Roman"/>
          <w:lang w:val="ru-RU" w:eastAsia="ar-SA"/>
        </w:rPr>
        <w:t xml:space="preserve"> с </w:t>
      </w:r>
      <w:r>
        <w:rPr>
          <w:rFonts w:ascii="Times New Roman" w:eastAsia="Times New Roman" w:hAnsi="Times New Roman"/>
          <w:color w:val="000000"/>
          <w:lang w:val="ru-RU" w:eastAsia="ru-RU"/>
        </w:rPr>
        <w:t>01.07.202</w:t>
      </w:r>
      <w:r w:rsidR="00FC46B2">
        <w:rPr>
          <w:rFonts w:ascii="Times New Roman" w:eastAsia="Times New Roman" w:hAnsi="Times New Roman"/>
          <w:color w:val="000000"/>
          <w:lang w:val="ru-RU" w:eastAsia="ru-RU"/>
        </w:rPr>
        <w:t>6</w:t>
      </w:r>
      <w:r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</w:t>
      </w:r>
      <w:r>
        <w:rPr>
          <w:rFonts w:ascii="Times New Roman" w:hAnsi="Times New Roman"/>
          <w:bCs/>
          <w:lang w:val="ru-RU" w:eastAsia="ar-SA"/>
        </w:rPr>
        <w:t>по 30.09.202</w:t>
      </w:r>
      <w:r w:rsidR="00FC46B2">
        <w:rPr>
          <w:rFonts w:ascii="Times New Roman" w:hAnsi="Times New Roman"/>
          <w:bCs/>
          <w:lang w:val="ru-RU" w:eastAsia="ar-SA"/>
        </w:rPr>
        <w:t>6</w:t>
      </w:r>
      <w:r>
        <w:rPr>
          <w:rFonts w:ascii="Times New Roman" w:eastAsia="Times New Roman" w:hAnsi="Times New Roman"/>
          <w:bCs/>
          <w:lang w:val="ru-RU" w:eastAsia="ar-SA"/>
        </w:rPr>
        <w:t xml:space="preserve">, </w:t>
      </w:r>
      <w:r>
        <w:rPr>
          <w:rFonts w:ascii="Times New Roman" w:hAnsi="Times New Roman"/>
          <w:lang w:val="ru-RU" w:eastAsia="ar-SA"/>
        </w:rPr>
        <w:t>конкретные сроки, ассортимент и объемы поставки Товара определяются в соответствии с графиком поставки.</w:t>
      </w:r>
    </w:p>
    <w:p w14:paraId="2DBB4AA6" w14:textId="77777777" w:rsidR="00FC46B2" w:rsidRPr="00FC46B2" w:rsidRDefault="00FC46B2" w:rsidP="00FC46B2">
      <w:pPr>
        <w:spacing w:after="0"/>
        <w:jc w:val="both"/>
        <w:rPr>
          <w:rFonts w:ascii="Times New Roman" w:hAnsi="Times New Roman"/>
          <w:lang w:val="ru-RU" w:eastAsia="ar-SA"/>
        </w:rPr>
      </w:pPr>
      <w:r w:rsidRPr="00FC46B2">
        <w:rPr>
          <w:rFonts w:ascii="Times New Roman" w:hAnsi="Times New Roman"/>
          <w:lang w:val="ru-RU" w:eastAsia="ar-SA"/>
        </w:rPr>
        <w:t>3.1. Товары завозятся партиями по заявке Заказчика, транспортом Поставщика. Доставка, погрузочно-разгрузочные работы производятся за счет Поставщика. Периодичность поставки – 2 раза в неделю (понедельник, среда) по заявке Заказчика (письменной или по факсу) с указанием объема и ассортимента Товара. Поставка производится не позднее 13:00.</w:t>
      </w:r>
    </w:p>
    <w:p w14:paraId="052B9C13" w14:textId="77777777" w:rsidR="00FC46B2" w:rsidRPr="00FC46B2" w:rsidRDefault="00FC46B2" w:rsidP="00FC46B2">
      <w:pPr>
        <w:spacing w:after="0"/>
        <w:jc w:val="both"/>
        <w:rPr>
          <w:rFonts w:ascii="Times New Roman" w:hAnsi="Times New Roman"/>
          <w:lang w:val="ru-RU" w:eastAsia="ar-SA"/>
        </w:rPr>
      </w:pPr>
      <w:r w:rsidRPr="00FC46B2">
        <w:rPr>
          <w:rFonts w:ascii="Times New Roman" w:hAnsi="Times New Roman"/>
          <w:lang w:val="ru-RU" w:eastAsia="ar-SA"/>
        </w:rPr>
        <w:t xml:space="preserve">- Поставщик обязан осуществить поставку Товара в день, время в соответствии с предварительной заявкой Заказчика, в случае необходимости осуществить погрузочно-разгрузочные работы и складирование Товара. </w:t>
      </w:r>
    </w:p>
    <w:p w14:paraId="750F293D" w14:textId="77777777" w:rsidR="00FC46B2" w:rsidRPr="00FC46B2" w:rsidRDefault="00FC46B2" w:rsidP="00FC46B2">
      <w:pPr>
        <w:spacing w:after="0"/>
        <w:jc w:val="both"/>
        <w:rPr>
          <w:rFonts w:ascii="Times New Roman" w:hAnsi="Times New Roman"/>
          <w:lang w:val="ru-RU" w:eastAsia="ar-SA"/>
        </w:rPr>
      </w:pPr>
      <w:r w:rsidRPr="00FC46B2">
        <w:rPr>
          <w:rFonts w:ascii="Times New Roman" w:hAnsi="Times New Roman"/>
          <w:lang w:val="ru-RU" w:eastAsia="ar-SA"/>
        </w:rPr>
        <w:t>- Поставщик обязан осуществить поставку товара на специально предназначенном или специально оборудованном транспортном средстве для перевозки пищевых продуктов, имеющем документы в соответствии с Федеральным законом от 02.01.2000 № 29-ФЗ «О качестве и безопасности пищевых продуктов».</w:t>
      </w:r>
    </w:p>
    <w:p w14:paraId="6D40D489" w14:textId="77777777" w:rsidR="00FC46B2" w:rsidRDefault="00FC46B2" w:rsidP="00FC46B2">
      <w:pPr>
        <w:spacing w:after="0"/>
        <w:jc w:val="both"/>
        <w:rPr>
          <w:rFonts w:ascii="Times New Roman" w:hAnsi="Times New Roman"/>
          <w:lang w:val="ru-RU" w:eastAsia="ar-SA"/>
        </w:rPr>
      </w:pPr>
      <w:r w:rsidRPr="00FC46B2">
        <w:rPr>
          <w:rFonts w:ascii="Times New Roman" w:hAnsi="Times New Roman"/>
          <w:lang w:val="ru-RU" w:eastAsia="ar-SA"/>
        </w:rPr>
        <w:t>В случае, если данный вид товар является обязательным к маркировке, данные Поставщиком должны быть внесены в систему «Честный знак».</w:t>
      </w:r>
    </w:p>
    <w:p w14:paraId="0BCD1EF8" w14:textId="6D36E01E" w:rsidR="00870B88" w:rsidRDefault="00000000" w:rsidP="00FC46B2">
      <w:pPr>
        <w:spacing w:after="0"/>
        <w:jc w:val="both"/>
        <w:rPr>
          <w:rFonts w:ascii="Times New Roman" w:hAnsi="Times New Roman"/>
          <w:b/>
          <w:lang w:val="ru-RU" w:eastAsia="ar-SA"/>
        </w:rPr>
      </w:pPr>
      <w:r>
        <w:rPr>
          <w:rFonts w:ascii="Times New Roman" w:hAnsi="Times New Roman"/>
          <w:b/>
          <w:lang w:val="ru-RU" w:eastAsia="ar-SA"/>
        </w:rPr>
        <w:t>4. Требования к безопасности, качеству, к функциональным характеристикам (потребительским свойствам) товара, требования к упаковке поставляемого товара:</w:t>
      </w:r>
    </w:p>
    <w:p w14:paraId="5729B4A8" w14:textId="77777777" w:rsidR="00870B88" w:rsidRPr="009273A0" w:rsidRDefault="00000000">
      <w:pPr>
        <w:spacing w:after="0"/>
        <w:jc w:val="both"/>
        <w:rPr>
          <w:lang w:val="ru-RU"/>
        </w:rPr>
      </w:pPr>
      <w:r>
        <w:rPr>
          <w:rFonts w:ascii="Times New Roman" w:hAnsi="Times New Roman"/>
          <w:lang w:val="ru-RU" w:eastAsia="ar-SA"/>
        </w:rPr>
        <w:t xml:space="preserve">4.1. Качество и безопасность поставляемого товара должны соответствовать требованиям и нормам, установленным: </w:t>
      </w:r>
    </w:p>
    <w:p w14:paraId="76048372" w14:textId="77777777" w:rsidR="00870B88" w:rsidRDefault="00000000">
      <w:pPr>
        <w:spacing w:after="0"/>
        <w:jc w:val="both"/>
        <w:rPr>
          <w:rFonts w:ascii="Times New Roman" w:hAnsi="Times New Roman"/>
          <w:lang w:val="ru-RU" w:eastAsia="ar-SA"/>
        </w:rPr>
      </w:pPr>
      <w:r>
        <w:rPr>
          <w:rFonts w:ascii="Times New Roman" w:hAnsi="Times New Roman"/>
          <w:lang w:val="ru-RU" w:eastAsia="ar-SA"/>
        </w:rPr>
        <w:t>- Федеральным законом от 02.01.2000 № 29-ФЗ «О качестве и безопасности пищевых продуктов»;</w:t>
      </w:r>
    </w:p>
    <w:p w14:paraId="26339444" w14:textId="77777777" w:rsidR="00870B88" w:rsidRDefault="00000000">
      <w:pPr>
        <w:spacing w:after="0"/>
        <w:jc w:val="both"/>
        <w:rPr>
          <w:rFonts w:ascii="Times New Roman" w:hAnsi="Times New Roman"/>
          <w:lang w:val="ru-RU" w:eastAsia="ar-SA"/>
        </w:rPr>
      </w:pPr>
      <w:r>
        <w:rPr>
          <w:rFonts w:ascii="Times New Roman" w:hAnsi="Times New Roman"/>
          <w:lang w:val="ru-RU" w:eastAsia="ar-SA"/>
        </w:rPr>
        <w:t xml:space="preserve">- </w:t>
      </w:r>
      <w:r>
        <w:rPr>
          <w:rFonts w:ascii="Times New Roman" w:eastAsia="Times New Roman" w:hAnsi="Times New Roman"/>
          <w:lang w:val="ru-RU" w:eastAsia="ru-RU"/>
        </w:rPr>
        <w:t>Федеральным закон от 30.03.1999 № 52-ФЗ «О санитарно-эпидемиологическом благополучии населения»;</w:t>
      </w:r>
    </w:p>
    <w:p w14:paraId="23CBC541" w14:textId="77777777" w:rsidR="00870B88" w:rsidRDefault="00000000">
      <w:pPr>
        <w:spacing w:after="0"/>
        <w:jc w:val="both"/>
        <w:rPr>
          <w:rFonts w:ascii="Times New Roman" w:hAnsi="Times New Roman"/>
          <w:lang w:val="ru-RU" w:eastAsia="ar-SA"/>
        </w:rPr>
      </w:pPr>
      <w:r>
        <w:rPr>
          <w:rFonts w:ascii="Times New Roman" w:hAnsi="Times New Roman"/>
          <w:lang w:val="ru-RU" w:eastAsia="ar-SA"/>
        </w:rPr>
        <w:t>- СанПиН 2.3.2.1324-03 «Гигиенические требования к срокам годности и условиям хранения пищевых продуктов»;</w:t>
      </w:r>
    </w:p>
    <w:p w14:paraId="5B5B0C34" w14:textId="77777777" w:rsidR="00870B88" w:rsidRDefault="00000000">
      <w:pPr>
        <w:spacing w:after="0"/>
        <w:jc w:val="both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lang w:val="ru-RU" w:eastAsia="ar-SA"/>
        </w:rPr>
        <w:t xml:space="preserve">- </w:t>
      </w:r>
      <w:r>
        <w:rPr>
          <w:rFonts w:ascii="Times New Roman" w:eastAsia="Times New Roman" w:hAnsi="Times New Roman"/>
          <w:lang w:val="ru-RU" w:eastAsia="ru-RU"/>
        </w:rPr>
        <w:t>СанПиН 2.3.2.1078-01 «Гигиенические требования к безопасности и пищевой ценности пищевых продуктов»;</w:t>
      </w:r>
    </w:p>
    <w:p w14:paraId="4EF00C91" w14:textId="77777777" w:rsidR="00870B88" w:rsidRDefault="00000000">
      <w:pPr>
        <w:spacing w:after="0"/>
        <w:jc w:val="both"/>
        <w:rPr>
          <w:rFonts w:ascii="Times New Roman" w:hAnsi="Times New Roman"/>
          <w:lang w:val="ru-RU" w:eastAsia="ar-SA"/>
        </w:rPr>
      </w:pPr>
      <w:r>
        <w:rPr>
          <w:rFonts w:ascii="Times New Roman" w:hAnsi="Times New Roman"/>
          <w:lang w:val="ru-RU" w:eastAsia="ar-SA"/>
        </w:rPr>
        <w:t>- Техническими регламентами Таможенного союза, утвержденными решениями Комиссии таможенного союза, за исключением требований к отдельным видам продукции, процессам их производства, хранения, перевозки, реализации и утилизации, в отношении которых технические регламенты еще не вступили в силу на территории Российской Федерации:</w:t>
      </w:r>
    </w:p>
    <w:p w14:paraId="6A1F032B" w14:textId="77777777" w:rsidR="00870B88" w:rsidRDefault="00000000">
      <w:pPr>
        <w:spacing w:after="0"/>
        <w:jc w:val="both"/>
        <w:rPr>
          <w:rFonts w:ascii="Times New Roman" w:hAnsi="Times New Roman"/>
          <w:lang w:val="ru-RU" w:eastAsia="ar-SA"/>
        </w:rPr>
      </w:pPr>
      <w:r>
        <w:rPr>
          <w:rFonts w:ascii="Times New Roman" w:hAnsi="Times New Roman"/>
          <w:lang w:val="ru-RU" w:eastAsia="ar-SA"/>
        </w:rPr>
        <w:t>- ТР ТС 021/2011 «О безопасности пищевой продукции»;</w:t>
      </w:r>
    </w:p>
    <w:p w14:paraId="42C9896C" w14:textId="77777777" w:rsidR="00870B88" w:rsidRDefault="00000000">
      <w:pPr>
        <w:spacing w:after="0"/>
        <w:jc w:val="both"/>
        <w:rPr>
          <w:rFonts w:ascii="Times New Roman" w:hAnsi="Times New Roman"/>
          <w:lang w:val="ru-RU" w:eastAsia="ar-SA"/>
        </w:rPr>
      </w:pPr>
      <w:r>
        <w:rPr>
          <w:rFonts w:ascii="Times New Roman" w:hAnsi="Times New Roman"/>
          <w:lang w:val="ru-RU" w:eastAsia="ar-SA"/>
        </w:rPr>
        <w:t>- ТР ТС 022/2011 «Пищевая продукция в части ее маркировки»;</w:t>
      </w:r>
    </w:p>
    <w:p w14:paraId="48A9D74A" w14:textId="77777777" w:rsidR="00870B88" w:rsidRDefault="00000000">
      <w:pPr>
        <w:spacing w:after="0"/>
        <w:jc w:val="both"/>
        <w:rPr>
          <w:rFonts w:ascii="Times New Roman" w:hAnsi="Times New Roman"/>
          <w:lang w:val="ru-RU" w:eastAsia="ar-SA"/>
        </w:rPr>
      </w:pPr>
      <w:r>
        <w:rPr>
          <w:rFonts w:ascii="Times New Roman" w:hAnsi="Times New Roman"/>
          <w:lang w:val="ru-RU" w:eastAsia="ar-SA"/>
        </w:rPr>
        <w:t>- ТР ТС 005/2011 «О безопасности упаковки»;</w:t>
      </w:r>
    </w:p>
    <w:p w14:paraId="36B510AB" w14:textId="77777777" w:rsidR="00870B88" w:rsidRDefault="00000000">
      <w:pPr>
        <w:spacing w:after="0"/>
        <w:jc w:val="both"/>
        <w:rPr>
          <w:rFonts w:ascii="Times New Roman" w:hAnsi="Times New Roman"/>
          <w:b/>
          <w:lang w:val="ru-RU" w:eastAsia="ar-SA"/>
        </w:rPr>
      </w:pPr>
      <w:r>
        <w:rPr>
          <w:rFonts w:ascii="Times New Roman" w:hAnsi="Times New Roman"/>
          <w:lang w:val="ru-RU" w:eastAsia="ar-SA"/>
        </w:rPr>
        <w:t>- Постановления Правительства РФ от 1 декабря 2009 г. №982 «Об утверждении перечня продукции, подлежащей обязательной сертификации, и единого перечня продукции, подтверждение продукции которой осуществляется в форме принятия декларации о соответствии».</w:t>
      </w:r>
    </w:p>
    <w:p w14:paraId="5B4D4158" w14:textId="77777777" w:rsidR="00870B88" w:rsidRDefault="00000000">
      <w:pPr>
        <w:spacing w:after="0"/>
        <w:jc w:val="both"/>
        <w:rPr>
          <w:rFonts w:ascii="Times New Roman" w:hAnsi="Times New Roman"/>
          <w:lang w:val="ru-RU" w:eastAsia="ar-SA"/>
        </w:rPr>
      </w:pPr>
      <w:r>
        <w:rPr>
          <w:rFonts w:ascii="Times New Roman" w:hAnsi="Times New Roman"/>
          <w:lang w:val="ru-RU" w:eastAsia="ar-SA"/>
        </w:rPr>
        <w:t>- Иными нормативными правовыми актами, нормативными и техническими документами, устанавливающими требования к качеству такого вида товаров.</w:t>
      </w:r>
    </w:p>
    <w:p w14:paraId="3DD0A2E9" w14:textId="77777777" w:rsidR="00870B88" w:rsidRDefault="00000000">
      <w:pPr>
        <w:spacing w:after="0"/>
        <w:jc w:val="both"/>
        <w:rPr>
          <w:rFonts w:ascii="Times New Roman" w:hAnsi="Times New Roman"/>
          <w:lang w:val="ru-RU" w:eastAsia="ar-SA"/>
        </w:rPr>
      </w:pPr>
      <w:r>
        <w:rPr>
          <w:rFonts w:ascii="Times New Roman" w:hAnsi="Times New Roman"/>
          <w:lang w:val="ru-RU" w:eastAsia="ar-SA"/>
        </w:rPr>
        <w:t xml:space="preserve">4.2. Поставляемый товар должен быть расфасован и упакован в материалы, разрешенные для контакта с пищевыми продуктами, такими способами, которые позволяют обеспечить сохранность их качества и безопасность при хранении, транспортировке и реализации. </w:t>
      </w:r>
      <w:r>
        <w:rPr>
          <w:rFonts w:ascii="Times New Roman" w:eastAsia="Times New Roman" w:hAnsi="Times New Roman"/>
          <w:lang w:val="ru-RU" w:eastAsia="ru-RU"/>
        </w:rPr>
        <w:t>Транспортная упаковка товара обеспечивает сохранность товара при транспортировке, хранении и погрузочно-разгрузочных работах.</w:t>
      </w:r>
    </w:p>
    <w:p w14:paraId="0806AB9A" w14:textId="77777777" w:rsidR="00870B88" w:rsidRDefault="00000000">
      <w:pPr>
        <w:tabs>
          <w:tab w:val="left" w:pos="142"/>
        </w:tabs>
        <w:spacing w:after="0"/>
        <w:jc w:val="both"/>
        <w:rPr>
          <w:rFonts w:ascii="Times New Roman" w:hAnsi="Times New Roman"/>
          <w:lang w:val="ru-RU" w:eastAsia="ar-SA"/>
        </w:rPr>
      </w:pPr>
      <w:r>
        <w:rPr>
          <w:rFonts w:ascii="Times New Roman" w:hAnsi="Times New Roman"/>
          <w:lang w:val="ru-RU" w:eastAsia="ar-SA"/>
        </w:rPr>
        <w:t xml:space="preserve">4.3. Каждая единица транспортной и потребительской тары (упаковки) должна содержать необходимую маркировку. Маркировка должна соответствовать требованиям Национального стандарта РФ «Продукты пищевые. Информация для потребителя. Общие требования», технического регламента Таможенного союза "Пищевая продукция в части ее маркировки" (ТР ТС 022/2011). </w:t>
      </w:r>
    </w:p>
    <w:p w14:paraId="02F1D617" w14:textId="77777777" w:rsidR="00870B88" w:rsidRDefault="00000000">
      <w:pPr>
        <w:spacing w:after="0"/>
        <w:jc w:val="both"/>
        <w:rPr>
          <w:rFonts w:ascii="Times New Roman" w:hAnsi="Times New Roman"/>
          <w:i/>
          <w:lang w:val="ru-RU" w:eastAsia="ar-SA"/>
        </w:rPr>
      </w:pPr>
      <w:r>
        <w:rPr>
          <w:rFonts w:ascii="Times New Roman" w:hAnsi="Times New Roman"/>
          <w:lang w:val="ru-RU" w:eastAsia="ar-SA"/>
        </w:rPr>
        <w:t>4.4. Качество и безопасность поставляемой продукции должно подтверждаться документами: сертификатами соответствия или декларациями о соответствии, а также иными документами, предусмотренными действующим законодательством Российской Федерации.</w:t>
      </w:r>
    </w:p>
    <w:p w14:paraId="12AEEB1A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b/>
          <w:lang w:val="ru-RU" w:eastAsia="ar-SA"/>
        </w:rPr>
      </w:pPr>
      <w:r>
        <w:rPr>
          <w:rFonts w:ascii="Times New Roman" w:eastAsia="Times New Roman" w:hAnsi="Times New Roman"/>
          <w:b/>
          <w:lang w:val="ru-RU" w:eastAsia="ar-SA"/>
        </w:rPr>
        <w:t>5. Требования к сроку и (или) объему предоставления гарантий качества товаров:</w:t>
      </w:r>
    </w:p>
    <w:p w14:paraId="5B7E0782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lang w:val="ru-RU" w:eastAsia="ar-SA"/>
        </w:rPr>
      </w:pPr>
      <w:r>
        <w:rPr>
          <w:rFonts w:ascii="Times New Roman" w:eastAsia="Times New Roman" w:hAnsi="Times New Roman"/>
          <w:lang w:val="ru-RU" w:eastAsia="ar-SA"/>
        </w:rPr>
        <w:t>5.1. В случае, если при передаче или до начала использования товара выявиться его ненадлежащее качество, Заказчик вправе потребовать от Поставщика безвозмездного устранения недостатков товара или его замены в срок, установленный Заказчиком.</w:t>
      </w:r>
    </w:p>
    <w:p w14:paraId="0CF2E683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lang w:val="ru-RU" w:eastAsia="ar-SA"/>
        </w:rPr>
      </w:pPr>
      <w:r>
        <w:rPr>
          <w:rFonts w:ascii="Times New Roman" w:eastAsia="Times New Roman" w:hAnsi="Times New Roman"/>
          <w:lang w:val="ru-RU" w:eastAsia="ar-SA"/>
        </w:rPr>
        <w:t>5.2. Наличие недостатков и сроки их устранения фиксируются Сторонами в двухстороннем акте выявленных недостатков.</w:t>
      </w:r>
    </w:p>
    <w:p w14:paraId="5D81F2B9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lang w:val="ru-RU" w:eastAsia="ar-SA"/>
        </w:rPr>
      </w:pPr>
      <w:r>
        <w:rPr>
          <w:rFonts w:ascii="Times New Roman" w:eastAsia="Times New Roman" w:hAnsi="Times New Roman"/>
          <w:lang w:val="ru-RU" w:eastAsia="ar-SA"/>
        </w:rPr>
        <w:t>5.3. Остаточный срок годности: не менее 80% от установленного производителем.</w:t>
      </w:r>
    </w:p>
    <w:p w14:paraId="5D4999D1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b/>
          <w:lang w:val="ru-RU" w:eastAsia="ar-SA"/>
        </w:rPr>
      </w:pPr>
      <w:r>
        <w:rPr>
          <w:rFonts w:ascii="Times New Roman" w:eastAsia="Times New Roman" w:hAnsi="Times New Roman"/>
          <w:b/>
          <w:lang w:val="ru-RU" w:eastAsia="ar-SA"/>
        </w:rPr>
        <w:t>6. Требования к условиям поставки товара, отгрузке товара:</w:t>
      </w:r>
    </w:p>
    <w:p w14:paraId="6B9ED55E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lang w:val="ru-RU" w:eastAsia="ar-SA"/>
        </w:rPr>
      </w:pPr>
      <w:r>
        <w:rPr>
          <w:rFonts w:ascii="Times New Roman" w:eastAsia="Times New Roman" w:hAnsi="Times New Roman"/>
          <w:lang w:val="ru-RU" w:eastAsia="ar-SA"/>
        </w:rPr>
        <w:t>6.1. Поставка осуществляется по заявке, в которой указывается количество товара. Заявки направляются по почте, факсу, телефонограммой либо другим приемлемым для обеих сторон способом (телефонная связь).</w:t>
      </w:r>
    </w:p>
    <w:p w14:paraId="476C6D4F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lang w:val="ru-RU" w:eastAsia="ar-SA"/>
        </w:rPr>
      </w:pPr>
      <w:r>
        <w:rPr>
          <w:rFonts w:ascii="Times New Roman" w:eastAsia="Times New Roman" w:hAnsi="Times New Roman"/>
          <w:lang w:val="ru-RU" w:eastAsia="ar-SA"/>
        </w:rPr>
        <w:t>6.2. Право собственности на товар переходит к Заказчику с момента доставки товара Заказчику и принятия его путем подписания товарно-транспортной накладной или УПД.</w:t>
      </w:r>
    </w:p>
    <w:p w14:paraId="25AA5AC6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lang w:val="ru-RU" w:eastAsia="ar-SA"/>
        </w:rPr>
      </w:pPr>
      <w:r>
        <w:rPr>
          <w:rFonts w:ascii="Times New Roman" w:eastAsia="Times New Roman" w:hAnsi="Times New Roman"/>
          <w:lang w:val="ru-RU" w:eastAsia="ar-SA"/>
        </w:rPr>
        <w:t>6.3. При приеме товара Заказчик проверяет его соответствие сведениям, указанным в счете-фактуре и других сопроводительных документах по наименованию, количеству и качеству.</w:t>
      </w:r>
    </w:p>
    <w:p w14:paraId="13692710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lang w:val="ru-RU" w:eastAsia="ar-SA"/>
        </w:rPr>
      </w:pPr>
      <w:r>
        <w:rPr>
          <w:rFonts w:ascii="Times New Roman" w:eastAsia="Times New Roman" w:hAnsi="Times New Roman"/>
          <w:lang w:val="ru-RU" w:eastAsia="ar-SA"/>
        </w:rPr>
        <w:t>6.4. Товар должен сопровождаться следующими документами:</w:t>
      </w:r>
    </w:p>
    <w:p w14:paraId="440C4F14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lang w:val="ru-RU" w:eastAsia="ar-SA"/>
        </w:rPr>
      </w:pPr>
      <w:r>
        <w:rPr>
          <w:rFonts w:ascii="Times New Roman" w:eastAsia="Times New Roman" w:hAnsi="Times New Roman"/>
          <w:lang w:val="ru-RU" w:eastAsia="ar-SA"/>
        </w:rPr>
        <w:t>– товарная накладная (ТОРГ-12) или УПД (оригиналы);</w:t>
      </w:r>
    </w:p>
    <w:p w14:paraId="274289EF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lang w:val="ru-RU" w:eastAsia="ar-SA"/>
        </w:rPr>
      </w:pPr>
      <w:r>
        <w:rPr>
          <w:rFonts w:ascii="Times New Roman" w:eastAsia="Times New Roman" w:hAnsi="Times New Roman"/>
          <w:lang w:val="ru-RU" w:eastAsia="ar-SA"/>
        </w:rPr>
        <w:t>– счет на оплату (оригиналы);</w:t>
      </w:r>
    </w:p>
    <w:p w14:paraId="3EB25D3B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lang w:val="ru-RU" w:eastAsia="ar-SA"/>
        </w:rPr>
      </w:pPr>
      <w:r>
        <w:rPr>
          <w:rFonts w:ascii="Times New Roman" w:eastAsia="Times New Roman" w:hAnsi="Times New Roman"/>
          <w:lang w:val="ru-RU" w:eastAsia="ar-SA"/>
        </w:rPr>
        <w:t>– счет-фактура или УПД (оригиналы);</w:t>
      </w:r>
    </w:p>
    <w:p w14:paraId="5BAF7E3E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lang w:val="ru-RU" w:eastAsia="ar-SA"/>
        </w:rPr>
      </w:pPr>
      <w:r>
        <w:rPr>
          <w:rFonts w:ascii="Times New Roman" w:eastAsia="Times New Roman" w:hAnsi="Times New Roman"/>
          <w:lang w:val="ru-RU" w:eastAsia="ar-SA"/>
        </w:rPr>
        <w:t>– копия сертификата соответствия или декларации соответствия.</w:t>
      </w:r>
    </w:p>
    <w:p w14:paraId="768AFA3F" w14:textId="77777777" w:rsidR="00870B88" w:rsidRDefault="00000000">
      <w:pPr>
        <w:tabs>
          <w:tab w:val="left" w:pos="-851"/>
        </w:tabs>
        <w:spacing w:after="0"/>
        <w:jc w:val="both"/>
        <w:rPr>
          <w:rFonts w:ascii="Times New Roman" w:eastAsia="Times New Roman" w:hAnsi="Times New Roman"/>
          <w:lang w:val="ru-RU" w:eastAsia="ar-SA"/>
        </w:rPr>
      </w:pPr>
      <w:r>
        <w:rPr>
          <w:rFonts w:ascii="Times New Roman" w:eastAsia="Times New Roman" w:hAnsi="Times New Roman"/>
          <w:lang w:val="ru-RU" w:eastAsia="ar-SA"/>
        </w:rPr>
        <w:t>6.5. По окончании поставки товара в полном объеме на основании товарно-транспортных накладных Поставщик и Заказчик подписывают акт сверки.</w:t>
      </w:r>
    </w:p>
    <w:p w14:paraId="4CAF280A" w14:textId="77777777" w:rsidR="00870B88" w:rsidRDefault="00870B88">
      <w:pPr>
        <w:jc w:val="both"/>
        <w:rPr>
          <w:rFonts w:ascii="Times New Roman" w:hAnsi="Times New Roman"/>
          <w:sz w:val="20"/>
          <w:szCs w:val="20"/>
          <w:lang w:val="ru-RU"/>
        </w:rPr>
      </w:pPr>
    </w:p>
    <w:p w14:paraId="3C1D5785" w14:textId="77777777" w:rsidR="00FC46B2" w:rsidRDefault="00FC46B2" w:rsidP="00FC46B2">
      <w:pPr>
        <w:rPr>
          <w:rFonts w:ascii="Times New Roman" w:hAnsi="Times New Roman"/>
          <w:sz w:val="20"/>
          <w:szCs w:val="20"/>
          <w:lang w:val="ru-RU"/>
        </w:rPr>
      </w:pPr>
    </w:p>
    <w:p w14:paraId="1A993411" w14:textId="05BB2166" w:rsidR="00FC46B2" w:rsidRPr="00FC46B2" w:rsidRDefault="00FC46B2" w:rsidP="00FC46B2">
      <w:pPr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ТЗ составлено в соответствии с заявкой кладовщика_______________</w:t>
      </w:r>
    </w:p>
    <w:sectPr w:rsidR="00FC46B2" w:rsidRPr="00FC46B2">
      <w:pgSz w:w="11906" w:h="16838"/>
      <w:pgMar w:top="1134" w:right="567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37A61" w14:textId="77777777" w:rsidR="00AD7D3B" w:rsidRDefault="00AD7D3B">
      <w:pPr>
        <w:spacing w:after="0" w:line="240" w:lineRule="auto"/>
      </w:pPr>
      <w:r>
        <w:separator/>
      </w:r>
    </w:p>
  </w:endnote>
  <w:endnote w:type="continuationSeparator" w:id="0">
    <w:p w14:paraId="59ABACD6" w14:textId="77777777" w:rsidR="00AD7D3B" w:rsidRDefault="00AD7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7C429" w14:textId="77777777" w:rsidR="00AD7D3B" w:rsidRDefault="00AD7D3B">
      <w:pPr>
        <w:spacing w:after="0" w:line="240" w:lineRule="auto"/>
      </w:pPr>
      <w:r>
        <w:separator/>
      </w:r>
    </w:p>
  </w:footnote>
  <w:footnote w:type="continuationSeparator" w:id="0">
    <w:p w14:paraId="521EE47E" w14:textId="77777777" w:rsidR="00AD7D3B" w:rsidRDefault="00AD7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83752"/>
    <w:multiLevelType w:val="multilevel"/>
    <w:tmpl w:val="EFC6016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1" w15:restartNumberingAfterBreak="0">
    <w:nsid w:val="34B13931"/>
    <w:multiLevelType w:val="multilevel"/>
    <w:tmpl w:val="9924755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2737C20"/>
    <w:multiLevelType w:val="multilevel"/>
    <w:tmpl w:val="3D125B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13FC3"/>
    <w:multiLevelType w:val="multilevel"/>
    <w:tmpl w:val="9EC8F9D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4"/>
        <w:szCs w:val="24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620D5FD8"/>
    <w:multiLevelType w:val="multilevel"/>
    <w:tmpl w:val="722C77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66362653">
    <w:abstractNumId w:val="3"/>
  </w:num>
  <w:num w:numId="2" w16cid:durableId="92869511">
    <w:abstractNumId w:val="0"/>
  </w:num>
  <w:num w:numId="3" w16cid:durableId="2046785547">
    <w:abstractNumId w:val="4"/>
  </w:num>
  <w:num w:numId="4" w16cid:durableId="2101024417">
    <w:abstractNumId w:val="2"/>
  </w:num>
  <w:num w:numId="5" w16cid:durableId="997920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B88"/>
    <w:rsid w:val="000A0B32"/>
    <w:rsid w:val="002D50DA"/>
    <w:rsid w:val="00526021"/>
    <w:rsid w:val="00870B88"/>
    <w:rsid w:val="0087268C"/>
    <w:rsid w:val="009273A0"/>
    <w:rsid w:val="00927880"/>
    <w:rsid w:val="00AD7D3B"/>
    <w:rsid w:val="00F912D7"/>
    <w:rsid w:val="00FC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BAE7"/>
  <w15:docId w15:val="{99599005-739A-4254-9A82-6055DF825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styleId="21">
    <w:name w:val="Plain Table 2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  <w:insideH w:val="none" w:sz="0" w:space="0" w:color="000000"/>
        <w:insideV w:val="none" w:sz="0" w:space="0" w:color="000000"/>
      </w:tblBorders>
    </w:tblPr>
  </w:style>
  <w:style w:type="table" w:styleId="31">
    <w:name w:val="Plain Table 3"/>
    <w:basedOn w:val="a1"/>
    <w:uiPriority w:val="99"/>
    <w:tblPr>
      <w:tblStyleRowBandSize w:val="1"/>
      <w:tblStyleColBandSize w:val="1"/>
    </w:tblPr>
  </w:style>
  <w:style w:type="table" w:styleId="41">
    <w:name w:val="Plain Table 4"/>
    <w:basedOn w:val="a1"/>
    <w:uiPriority w:val="99"/>
    <w:tblPr>
      <w:tblStyleRowBandSize w:val="1"/>
      <w:tblStyleColBandSize w:val="1"/>
    </w:tblPr>
  </w:style>
  <w:style w:type="table" w:styleId="51">
    <w:name w:val="Plain Table 5"/>
    <w:basedOn w:val="a1"/>
    <w:uiPriority w:val="99"/>
    <w:tblPr>
      <w:tblStyleRowBandSize w:val="1"/>
      <w:tblStyleColBandSize w:val="1"/>
    </w:tbl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6A6A6A"/>
        <w:right w:val="none" w:sz="0" w:space="0" w:color="000000"/>
        <w:insideH w:val="single" w:sz="4" w:space="0" w:color="6A6A6A"/>
        <w:insideV w:val="single" w:sz="4" w:space="0" w:color="6A6A6A"/>
      </w:tblBorders>
    </w:tbl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6A6A6A"/>
        <w:right w:val="none" w:sz="0" w:space="0" w:color="000000"/>
        <w:insideH w:val="single" w:sz="4" w:space="0" w:color="6A6A6A"/>
        <w:insideV w:val="single" w:sz="4" w:space="0" w:color="6A6A6A"/>
      </w:tblBorders>
    </w:tbl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</w:style>
  <w:style w:type="table" w:styleId="-10">
    <w:name w:val="List Table 1 Light"/>
    <w:basedOn w:val="a1"/>
    <w:uiPriority w:val="99"/>
    <w:tblPr>
      <w:tblStyleRowBandSize w:val="1"/>
      <w:tblStyleColBandSize w:val="1"/>
    </w:tbl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/>
        <w:left w:val="none" w:sz="0" w:space="0" w:color="000000"/>
        <w:bottom w:val="single" w:sz="4" w:space="0" w:color="6F6F6F"/>
        <w:right w:val="none" w:sz="0" w:space="0" w:color="000000"/>
        <w:insideH w:val="single" w:sz="4" w:space="0" w:color="6F6F6F"/>
        <w:insideV w:val="none" w:sz="0" w:space="0" w:color="000000"/>
      </w:tblBorders>
    </w:tbl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none" w:sz="0" w:space="0" w:color="000000"/>
        <w:insideV w:val="none" w:sz="0" w:space="0" w:color="000000"/>
      </w:tblBorders>
    </w:tbl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none" w:sz="0" w:space="0" w:color="000000"/>
      </w:tblBorders>
    </w:tbl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  <w:insideH w:val="none" w:sz="0" w:space="0" w:color="000000"/>
        <w:insideV w:val="none" w:sz="0" w:space="0" w:color="000000"/>
      </w:tblBorders>
      <w:shd w:val="clear" w:color="7F7F7F" w:fill="7F7F7F"/>
    </w:tbl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/>
        <w:left w:val="none" w:sz="0" w:space="0" w:color="000000"/>
        <w:bottom w:val="single" w:sz="4" w:space="0" w:color="7F7F7F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7F7F7F"/>
        <w:insideH w:val="none" w:sz="0" w:space="0" w:color="000000"/>
        <w:insideV w:val="none" w:sz="0" w:space="0" w:color="000000"/>
      </w:tblBorders>
    </w:tblPr>
  </w:style>
  <w:style w:type="character" w:customStyle="1" w:styleId="Heading2Char">
    <w:name w:val="Heading 2 Char"/>
    <w:uiPriority w:val="9"/>
    <w:rPr>
      <w:rFonts w:ascii="Arial" w:eastAsia="Arial" w:hAnsi="Arial" w:cs="Arial"/>
      <w:color w:val="365F91"/>
      <w:sz w:val="32"/>
      <w:szCs w:val="32"/>
    </w:rPr>
  </w:style>
  <w:style w:type="character" w:customStyle="1" w:styleId="Heading3Char">
    <w:name w:val="Heading 3 Char"/>
    <w:uiPriority w:val="9"/>
    <w:rPr>
      <w:rFonts w:ascii="Arial" w:eastAsia="Arial" w:hAnsi="Arial" w:cs="Arial"/>
      <w:color w:val="365F91"/>
      <w:sz w:val="28"/>
      <w:szCs w:val="28"/>
    </w:rPr>
  </w:style>
  <w:style w:type="character" w:customStyle="1" w:styleId="Heading4Char">
    <w:name w:val="Heading 4 Char"/>
    <w:uiPriority w:val="9"/>
    <w:rPr>
      <w:rFonts w:ascii="Arial" w:eastAsia="Arial" w:hAnsi="Arial" w:cs="Arial"/>
      <w:i/>
      <w:iCs/>
      <w:color w:val="365F91"/>
    </w:rPr>
  </w:style>
  <w:style w:type="character" w:customStyle="1" w:styleId="Heading5Char">
    <w:name w:val="Heading 5 Char"/>
    <w:uiPriority w:val="9"/>
    <w:rPr>
      <w:rFonts w:ascii="Arial" w:eastAsia="Arial" w:hAnsi="Arial" w:cs="Arial"/>
      <w:color w:val="365F91"/>
    </w:rPr>
  </w:style>
  <w:style w:type="character" w:customStyle="1" w:styleId="Heading6Char">
    <w:name w:val="Heading 6 Char"/>
    <w:uiPriority w:val="9"/>
    <w:rPr>
      <w:rFonts w:ascii="Arial" w:eastAsia="Arial" w:hAnsi="Arial" w:cs="Arial"/>
      <w:i/>
      <w:iCs/>
      <w:color w:val="595959"/>
    </w:rPr>
  </w:style>
  <w:style w:type="character" w:customStyle="1" w:styleId="Heading7Char">
    <w:name w:val="Heading 7 Char"/>
    <w:uiPriority w:val="9"/>
    <w:rPr>
      <w:rFonts w:ascii="Arial" w:eastAsia="Arial" w:hAnsi="Arial" w:cs="Arial"/>
      <w:color w:val="595959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color w:val="272727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color w:val="272727"/>
    </w:r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SubtitleChar">
    <w:name w:val="Subtitle Char"/>
    <w:uiPriority w:val="11"/>
    <w:rPr>
      <w:color w:val="595959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uiPriority w:val="29"/>
    <w:rPr>
      <w:i/>
      <w:iCs/>
      <w:color w:val="404040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uiPriority w:val="21"/>
    <w:qFormat/>
    <w:rPr>
      <w:i/>
      <w:iCs/>
      <w:color w:val="365F91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uiPriority w:val="30"/>
    <w:rPr>
      <w:i/>
      <w:iCs/>
      <w:color w:val="365F91"/>
    </w:rPr>
  </w:style>
  <w:style w:type="character" w:styleId="ac">
    <w:name w:val="Intense Reference"/>
    <w:uiPriority w:val="32"/>
    <w:qFormat/>
    <w:rPr>
      <w:b/>
      <w:bCs/>
      <w:smallCaps/>
      <w:color w:val="365F91"/>
      <w:spacing w:val="5"/>
    </w:rPr>
  </w:style>
  <w:style w:type="paragraph" w:styleId="ad">
    <w:name w:val="No Spacing"/>
    <w:basedOn w:val="a"/>
    <w:qFormat/>
    <w:rPr>
      <w:rFonts w:eastAsia="Times New Roman"/>
      <w:lang w:val="ru-RU" w:eastAsia="ru-RU"/>
    </w:rPr>
  </w:style>
  <w:style w:type="character" w:styleId="ae">
    <w:name w:val="Subtle Emphasis"/>
    <w:uiPriority w:val="19"/>
    <w:qFormat/>
    <w:rPr>
      <w:i/>
      <w:iCs/>
      <w:color w:val="404040"/>
    </w:rPr>
  </w:style>
  <w:style w:type="character" w:styleId="af">
    <w:name w:val="Emphasis"/>
    <w:uiPriority w:val="20"/>
    <w:qFormat/>
    <w:rPr>
      <w:i/>
      <w:iCs/>
    </w:rPr>
  </w:style>
  <w:style w:type="character" w:styleId="af0">
    <w:name w:val="Strong"/>
    <w:uiPriority w:val="22"/>
    <w:qFormat/>
    <w:rPr>
      <w:b/>
      <w:bCs/>
    </w:rPr>
  </w:style>
  <w:style w:type="character" w:styleId="af1">
    <w:name w:val="Subtle Reference"/>
    <w:uiPriority w:val="31"/>
    <w:qFormat/>
    <w:rPr>
      <w:smallCaps/>
      <w:color w:val="5A5A5A"/>
    </w:rPr>
  </w:style>
  <w:style w:type="character" w:styleId="af2">
    <w:name w:val="Book Title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af4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7">
    <w:name w:val="caption"/>
    <w:basedOn w:val="a"/>
    <w:next w:val="a"/>
    <w:uiPriority w:val="35"/>
    <w:semiHidden/>
    <w:unhideWhenUsed/>
    <w:qFormat/>
    <w:rPr>
      <w:b/>
      <w:bCs/>
      <w:color w:val="4F81BD"/>
      <w:sz w:val="18"/>
      <w:szCs w:val="18"/>
    </w:rPr>
  </w:style>
  <w:style w:type="paragraph" w:styleId="af8">
    <w:name w:val="footnote text"/>
    <w:basedOn w:val="a"/>
    <w:link w:val="af9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styleId="afd">
    <w:name w:val="endnote reference"/>
    <w:uiPriority w:val="99"/>
    <w:semiHidden/>
    <w:unhideWhenUsed/>
    <w:rPr>
      <w:vertAlign w:val="superscript"/>
    </w:rPr>
  </w:style>
  <w:style w:type="character" w:styleId="afe">
    <w:name w:val="Hyperlink"/>
    <w:uiPriority w:val="99"/>
    <w:unhideWhenUsed/>
    <w:rPr>
      <w:color w:val="0000FF"/>
      <w:u w:val="single"/>
    </w:rPr>
  </w:style>
  <w:style w:type="character" w:styleId="aff">
    <w:name w:val="FollowedHyperlink"/>
    <w:uiPriority w:val="99"/>
    <w:semiHidden/>
    <w:unhideWhenUsed/>
    <w:rPr>
      <w:color w:val="800080"/>
      <w:u w:val="single"/>
    </w:rPr>
  </w:style>
  <w:style w:type="paragraph" w:styleId="aff0">
    <w:name w:val="TOC Heading"/>
    <w:uiPriority w:val="39"/>
    <w:unhideWhenUsed/>
    <w:pPr>
      <w:spacing w:after="200" w:line="276" w:lineRule="auto"/>
    </w:pPr>
    <w:rPr>
      <w:sz w:val="22"/>
      <w:szCs w:val="22"/>
      <w:lang w:eastAsia="en-US"/>
    </w:rPr>
  </w:style>
  <w:style w:type="paragraph" w:styleId="aff1">
    <w:name w:val="table of figures"/>
    <w:basedOn w:val="a"/>
    <w:next w:val="a"/>
    <w:uiPriority w:val="99"/>
    <w:unhideWhenUsed/>
    <w:pPr>
      <w:spacing w:after="0"/>
    </w:p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5">
    <w:name w:val="Заголовок Знак"/>
    <w:link w:val="a4"/>
    <w:uiPriority w:val="10"/>
    <w:rPr>
      <w:sz w:val="48"/>
      <w:szCs w:val="48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character" w:customStyle="1" w:styleId="23">
    <w:name w:val="Цитата 2 Знак"/>
    <w:link w:val="22"/>
    <w:uiPriority w:val="29"/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af4">
    <w:name w:val="Верхний колонтитул Знак"/>
    <w:basedOn w:val="a0"/>
    <w:link w:val="af3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f6">
    <w:name w:val="Нижний колонтитул Знак"/>
    <w:link w:val="af5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E4CBB7"/>
        <w:left w:val="single" w:sz="4" w:space="0" w:color="E4CBB7"/>
        <w:bottom w:val="single" w:sz="4" w:space="0" w:color="E4CBB7"/>
        <w:right w:val="single" w:sz="4" w:space="0" w:color="E4CBB7"/>
        <w:insideH w:val="single" w:sz="4" w:space="0" w:color="E4CBB7"/>
        <w:insideV w:val="single" w:sz="4" w:space="0" w:color="E4CBB7"/>
      </w:tblBorders>
    </w:tbl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B6B7E5"/>
        <w:left w:val="single" w:sz="4" w:space="0" w:color="B6B7E5"/>
        <w:bottom w:val="single" w:sz="4" w:space="0" w:color="B6B7E5"/>
        <w:right w:val="single" w:sz="4" w:space="0" w:color="B6B7E5"/>
        <w:insideH w:val="single" w:sz="4" w:space="0" w:color="B6B7E5"/>
        <w:insideV w:val="single" w:sz="4" w:space="0" w:color="B6B7E5"/>
      </w:tblBorders>
    </w:tbl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BBE3D6"/>
        <w:left w:val="single" w:sz="4" w:space="0" w:color="BBE3D6"/>
        <w:bottom w:val="single" w:sz="4" w:space="0" w:color="BBE3D6"/>
        <w:right w:val="single" w:sz="4" w:space="0" w:color="BBE3D6"/>
        <w:insideH w:val="single" w:sz="4" w:space="0" w:color="BBE3D6"/>
        <w:insideV w:val="single" w:sz="4" w:space="0" w:color="BBE3D6"/>
      </w:tblBorders>
    </w:tbl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D9C0CB"/>
        <w:left w:val="single" w:sz="4" w:space="0" w:color="D9C0CB"/>
        <w:bottom w:val="single" w:sz="4" w:space="0" w:color="D9C0CB"/>
        <w:right w:val="single" w:sz="4" w:space="0" w:color="D9C0CB"/>
        <w:insideH w:val="single" w:sz="4" w:space="0" w:color="D9C0CB"/>
        <w:insideV w:val="single" w:sz="4" w:space="0" w:color="D9C0CB"/>
      </w:tblBorders>
    </w:tbl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E8DDB6"/>
        <w:left w:val="single" w:sz="4" w:space="0" w:color="E8DDB6"/>
        <w:bottom w:val="single" w:sz="4" w:space="0" w:color="E8DDB6"/>
        <w:right w:val="single" w:sz="4" w:space="0" w:color="E8DDB6"/>
        <w:insideH w:val="single" w:sz="4" w:space="0" w:color="E8DDB6"/>
        <w:insideV w:val="single" w:sz="4" w:space="0" w:color="E8DDB6"/>
      </w:tblBorders>
    </w:tbl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B4D4FB"/>
        <w:left w:val="single" w:sz="4" w:space="0" w:color="B4D4FB"/>
        <w:bottom w:val="single" w:sz="4" w:space="0" w:color="B4D4FB"/>
        <w:right w:val="single" w:sz="4" w:space="0" w:color="B4D4FB"/>
        <w:insideH w:val="single" w:sz="4" w:space="0" w:color="B4D4FB"/>
        <w:insideV w:val="single" w:sz="4" w:space="0" w:color="B4D4FB"/>
      </w:tblBorders>
    </w:tbl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C28A5D"/>
        <w:right w:val="none" w:sz="0" w:space="0" w:color="000000"/>
        <w:insideH w:val="single" w:sz="4" w:space="0" w:color="C28A5D"/>
        <w:insideV w:val="single" w:sz="4" w:space="0" w:color="C28A5D"/>
      </w:tblBorders>
    </w:tbl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9596D9"/>
        <w:right w:val="none" w:sz="0" w:space="0" w:color="000000"/>
        <w:insideH w:val="single" w:sz="4" w:space="0" w:color="9596D9"/>
        <w:insideV w:val="single" w:sz="4" w:space="0" w:color="9596D9"/>
      </w:tblBorders>
    </w:tbl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59BB9A"/>
        <w:right w:val="none" w:sz="0" w:space="0" w:color="000000"/>
        <w:insideH w:val="single" w:sz="4" w:space="0" w:color="59BB9A"/>
        <w:insideV w:val="single" w:sz="4" w:space="0" w:color="59BB9A"/>
      </w:tblBorders>
    </w:tbl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C6A1B2"/>
        <w:right w:val="none" w:sz="0" w:space="0" w:color="000000"/>
        <w:insideH w:val="single" w:sz="4" w:space="0" w:color="C6A1B2"/>
        <w:insideV w:val="single" w:sz="4" w:space="0" w:color="C6A1B2"/>
      </w:tblBorders>
    </w:tbl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C6AC4B"/>
        <w:right w:val="none" w:sz="0" w:space="0" w:color="000000"/>
        <w:insideH w:val="single" w:sz="4" w:space="0" w:color="C6AC4B"/>
        <w:insideV w:val="single" w:sz="4" w:space="0" w:color="C6AC4B"/>
      </w:tblBorders>
    </w:tbl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4696F7"/>
        <w:right w:val="none" w:sz="0" w:space="0" w:color="000000"/>
        <w:insideH w:val="single" w:sz="4" w:space="0" w:color="4696F7"/>
        <w:insideV w:val="single" w:sz="4" w:space="0" w:color="4696F7"/>
      </w:tblBorders>
    </w:tbl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C28A5D"/>
        <w:right w:val="none" w:sz="0" w:space="0" w:color="000000"/>
        <w:insideH w:val="single" w:sz="4" w:space="0" w:color="C28A5D"/>
        <w:insideV w:val="single" w:sz="4" w:space="0" w:color="C28A5D"/>
      </w:tblBorders>
    </w:tbl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9596D9"/>
        <w:right w:val="none" w:sz="0" w:space="0" w:color="000000"/>
        <w:insideH w:val="single" w:sz="4" w:space="0" w:color="9596D9"/>
        <w:insideV w:val="single" w:sz="4" w:space="0" w:color="9596D9"/>
      </w:tblBorders>
    </w:tbl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59BB9A"/>
        <w:right w:val="none" w:sz="0" w:space="0" w:color="000000"/>
        <w:insideH w:val="single" w:sz="4" w:space="0" w:color="59BB9A"/>
        <w:insideV w:val="single" w:sz="4" w:space="0" w:color="59BB9A"/>
      </w:tblBorders>
    </w:tbl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C6A1B2"/>
        <w:right w:val="none" w:sz="0" w:space="0" w:color="000000"/>
        <w:insideH w:val="single" w:sz="4" w:space="0" w:color="C6A1B2"/>
        <w:insideV w:val="single" w:sz="4" w:space="0" w:color="C6A1B2"/>
      </w:tblBorders>
    </w:tbl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C6AC4B"/>
        <w:right w:val="none" w:sz="0" w:space="0" w:color="000000"/>
        <w:insideH w:val="single" w:sz="4" w:space="0" w:color="C6AC4B"/>
        <w:insideV w:val="single" w:sz="4" w:space="0" w:color="C6AC4B"/>
      </w:tblBorders>
    </w:tbl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4696F7"/>
        <w:right w:val="none" w:sz="0" w:space="0" w:color="000000"/>
        <w:insideH w:val="single" w:sz="4" w:space="0" w:color="4696F7"/>
        <w:insideV w:val="single" w:sz="4" w:space="0" w:color="4696F7"/>
      </w:tblBorders>
    </w:tbl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D9B79B"/>
        <w:left w:val="single" w:sz="4" w:space="0" w:color="D9B79B"/>
        <w:bottom w:val="single" w:sz="4" w:space="0" w:color="D9B79B"/>
        <w:right w:val="single" w:sz="4" w:space="0" w:color="D9B79B"/>
        <w:insideH w:val="single" w:sz="4" w:space="0" w:color="D9B79B"/>
        <w:insideV w:val="single" w:sz="4" w:space="0" w:color="D9B79B"/>
      </w:tblBorders>
    </w:tbl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9A9BDB"/>
        <w:left w:val="single" w:sz="4" w:space="0" w:color="9A9BDB"/>
        <w:bottom w:val="single" w:sz="4" w:space="0" w:color="9A9BDB"/>
        <w:right w:val="single" w:sz="4" w:space="0" w:color="9A9BDB"/>
        <w:insideH w:val="single" w:sz="4" w:space="0" w:color="9A9BDB"/>
        <w:insideV w:val="single" w:sz="4" w:space="0" w:color="9A9BDB"/>
      </w:tblBorders>
    </w:tbl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A1D8C6"/>
        <w:left w:val="single" w:sz="4" w:space="0" w:color="A1D8C6"/>
        <w:bottom w:val="single" w:sz="4" w:space="0" w:color="A1D8C6"/>
        <w:right w:val="single" w:sz="4" w:space="0" w:color="A1D8C6"/>
        <w:insideH w:val="single" w:sz="4" w:space="0" w:color="A1D8C6"/>
        <w:insideV w:val="single" w:sz="4" w:space="0" w:color="A1D8C6"/>
      </w:tblBorders>
    </w:tbl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CAA7B7"/>
        <w:left w:val="single" w:sz="4" w:space="0" w:color="CAA7B7"/>
        <w:bottom w:val="single" w:sz="4" w:space="0" w:color="CAA7B7"/>
        <w:right w:val="single" w:sz="4" w:space="0" w:color="CAA7B7"/>
        <w:insideH w:val="single" w:sz="4" w:space="0" w:color="CAA7B7"/>
        <w:insideV w:val="single" w:sz="4" w:space="0" w:color="CAA7B7"/>
      </w:tblBorders>
    </w:tbl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DED099"/>
        <w:left w:val="single" w:sz="4" w:space="0" w:color="DED099"/>
        <w:bottom w:val="single" w:sz="4" w:space="0" w:color="DED099"/>
        <w:right w:val="single" w:sz="4" w:space="0" w:color="DED099"/>
        <w:insideH w:val="single" w:sz="4" w:space="0" w:color="DED099"/>
        <w:insideV w:val="single" w:sz="4" w:space="0" w:color="DED099"/>
      </w:tblBorders>
    </w:tbl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96C3FA"/>
        <w:left w:val="single" w:sz="4" w:space="0" w:color="96C3FA"/>
        <w:bottom w:val="single" w:sz="4" w:space="0" w:color="96C3FA"/>
        <w:right w:val="single" w:sz="4" w:space="0" w:color="96C3FA"/>
        <w:insideH w:val="single" w:sz="4" w:space="0" w:color="96C3FA"/>
        <w:insideV w:val="single" w:sz="4" w:space="0" w:color="96C3FA"/>
      </w:tblBorders>
    </w:tbl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DDBFA6"/>
        <w:left w:val="single" w:sz="4" w:space="0" w:color="DDBFA6"/>
        <w:bottom w:val="single" w:sz="4" w:space="0" w:color="DDBFA6"/>
        <w:right w:val="single" w:sz="4" w:space="0" w:color="DDBFA6"/>
        <w:insideH w:val="single" w:sz="4" w:space="0" w:color="DDBFA6"/>
        <w:insideV w:val="single" w:sz="4" w:space="0" w:color="DDBFA6"/>
      </w:tblBorders>
    </w:tbl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9596D9"/>
        <w:left w:val="single" w:sz="4" w:space="0" w:color="9596D9"/>
        <w:bottom w:val="single" w:sz="4" w:space="0" w:color="9596D9"/>
        <w:right w:val="single" w:sz="4" w:space="0" w:color="9596D9"/>
        <w:insideH w:val="single" w:sz="4" w:space="0" w:color="9596D9"/>
        <w:insideV w:val="single" w:sz="4" w:space="0" w:color="9596D9"/>
      </w:tblBorders>
    </w:tbl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59BB9A"/>
        <w:left w:val="single" w:sz="4" w:space="0" w:color="59BB9A"/>
        <w:bottom w:val="single" w:sz="4" w:space="0" w:color="59BB9A"/>
        <w:right w:val="single" w:sz="4" w:space="0" w:color="59BB9A"/>
        <w:insideH w:val="single" w:sz="4" w:space="0" w:color="59BB9A"/>
        <w:insideV w:val="single" w:sz="4" w:space="0" w:color="59BB9A"/>
      </w:tblBorders>
    </w:tbl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C6A1B2"/>
        <w:left w:val="single" w:sz="4" w:space="0" w:color="C6A1B2"/>
        <w:bottom w:val="single" w:sz="4" w:space="0" w:color="C6A1B2"/>
        <w:right w:val="single" w:sz="4" w:space="0" w:color="C6A1B2"/>
        <w:insideH w:val="single" w:sz="4" w:space="0" w:color="C6A1B2"/>
        <w:insideV w:val="single" w:sz="4" w:space="0" w:color="C6A1B2"/>
      </w:tblBorders>
    </w:tbl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C6AC4B"/>
        <w:left w:val="single" w:sz="4" w:space="0" w:color="C6AC4B"/>
        <w:bottom w:val="single" w:sz="4" w:space="0" w:color="C6AC4B"/>
        <w:right w:val="single" w:sz="4" w:space="0" w:color="C6AC4B"/>
        <w:insideH w:val="single" w:sz="4" w:space="0" w:color="C6AC4B"/>
        <w:insideV w:val="single" w:sz="4" w:space="0" w:color="C6AC4B"/>
      </w:tblBorders>
    </w:tbl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4696F7"/>
        <w:left w:val="single" w:sz="4" w:space="0" w:color="4696F7"/>
        <w:bottom w:val="single" w:sz="4" w:space="0" w:color="4696F7"/>
        <w:right w:val="single" w:sz="4" w:space="0" w:color="4696F7"/>
        <w:insideH w:val="single" w:sz="4" w:space="0" w:color="4696F7"/>
        <w:insideV w:val="single" w:sz="4" w:space="0" w:color="4696F7"/>
      </w:tblBorders>
    </w:tbl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DDBFA6"/>
        <w:right w:val="single" w:sz="4" w:space="0" w:color="DDBFA6"/>
        <w:insideH w:val="single" w:sz="4" w:space="0" w:color="DDBFA6"/>
        <w:insideV w:val="single" w:sz="4" w:space="0" w:color="DDBFA6"/>
      </w:tblBorders>
    </w:tbl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9596D9"/>
        <w:right w:val="single" w:sz="4" w:space="0" w:color="9596D9"/>
        <w:insideH w:val="single" w:sz="4" w:space="0" w:color="9596D9"/>
        <w:insideV w:val="single" w:sz="4" w:space="0" w:color="9596D9"/>
      </w:tblBorders>
    </w:tbl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59BB9A"/>
        <w:right w:val="single" w:sz="4" w:space="0" w:color="59BB9A"/>
        <w:insideH w:val="single" w:sz="4" w:space="0" w:color="59BB9A"/>
        <w:insideV w:val="single" w:sz="4" w:space="0" w:color="59BB9A"/>
      </w:tblBorders>
    </w:tbl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C6A1B2"/>
        <w:right w:val="single" w:sz="4" w:space="0" w:color="C6A1B2"/>
        <w:insideH w:val="single" w:sz="4" w:space="0" w:color="C6A1B2"/>
        <w:insideV w:val="single" w:sz="4" w:space="0" w:color="C6A1B2"/>
      </w:tblBorders>
    </w:tbl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DED099"/>
        <w:right w:val="single" w:sz="4" w:space="0" w:color="DED099"/>
        <w:insideH w:val="single" w:sz="4" w:space="0" w:color="DED099"/>
        <w:insideV w:val="single" w:sz="4" w:space="0" w:color="DED099"/>
      </w:tblBorders>
    </w:tbl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single" w:sz="4" w:space="0" w:color="96C3FA"/>
        <w:right w:val="single" w:sz="4" w:space="0" w:color="96C3FA"/>
        <w:insideH w:val="single" w:sz="4" w:space="0" w:color="96C3FA"/>
        <w:insideV w:val="single" w:sz="4" w:space="0" w:color="96C3FA"/>
      </w:tblBorders>
    </w:tbl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D9B79B"/>
        <w:left w:val="none" w:sz="0" w:space="0" w:color="000000"/>
        <w:bottom w:val="single" w:sz="4" w:space="0" w:color="D9B79B"/>
        <w:right w:val="none" w:sz="0" w:space="0" w:color="000000"/>
        <w:insideH w:val="single" w:sz="4" w:space="0" w:color="D9B79B"/>
        <w:insideV w:val="none" w:sz="0" w:space="0" w:color="000000"/>
      </w:tblBorders>
    </w:tbl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9A9BDB"/>
        <w:left w:val="none" w:sz="0" w:space="0" w:color="000000"/>
        <w:bottom w:val="single" w:sz="4" w:space="0" w:color="9A9BDB"/>
        <w:right w:val="none" w:sz="0" w:space="0" w:color="000000"/>
        <w:insideH w:val="single" w:sz="4" w:space="0" w:color="9A9BDB"/>
        <w:insideV w:val="none" w:sz="0" w:space="0" w:color="000000"/>
      </w:tblBorders>
    </w:tbl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A1D8C6"/>
        <w:left w:val="none" w:sz="0" w:space="0" w:color="000000"/>
        <w:bottom w:val="single" w:sz="4" w:space="0" w:color="A1D8C6"/>
        <w:right w:val="none" w:sz="0" w:space="0" w:color="000000"/>
        <w:insideH w:val="single" w:sz="4" w:space="0" w:color="A1D8C6"/>
        <w:insideV w:val="none" w:sz="0" w:space="0" w:color="000000"/>
      </w:tblBorders>
    </w:tbl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CAA7B7"/>
        <w:left w:val="none" w:sz="0" w:space="0" w:color="000000"/>
        <w:bottom w:val="single" w:sz="4" w:space="0" w:color="CAA7B7"/>
        <w:right w:val="none" w:sz="0" w:space="0" w:color="000000"/>
        <w:insideH w:val="single" w:sz="4" w:space="0" w:color="CAA7B7"/>
        <w:insideV w:val="none" w:sz="0" w:space="0" w:color="000000"/>
      </w:tblBorders>
    </w:tbl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DED099"/>
        <w:left w:val="none" w:sz="0" w:space="0" w:color="000000"/>
        <w:bottom w:val="single" w:sz="4" w:space="0" w:color="DED099"/>
        <w:right w:val="none" w:sz="0" w:space="0" w:color="000000"/>
        <w:insideH w:val="single" w:sz="4" w:space="0" w:color="DED099"/>
        <w:insideV w:val="none" w:sz="0" w:space="0" w:color="000000"/>
      </w:tblBorders>
    </w:tbl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96C3FA"/>
        <w:left w:val="none" w:sz="0" w:space="0" w:color="000000"/>
        <w:bottom w:val="single" w:sz="4" w:space="0" w:color="96C3FA"/>
        <w:right w:val="none" w:sz="0" w:space="0" w:color="000000"/>
        <w:insideH w:val="single" w:sz="4" w:space="0" w:color="96C3FA"/>
        <w:insideV w:val="none" w:sz="0" w:space="0" w:color="000000"/>
      </w:tblBorders>
    </w:tbl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BD814F"/>
        <w:left w:val="single" w:sz="4" w:space="0" w:color="BD814F"/>
        <w:bottom w:val="single" w:sz="4" w:space="0" w:color="BD814F"/>
        <w:right w:val="single" w:sz="4" w:space="0" w:color="BD814F"/>
        <w:insideH w:val="none" w:sz="0" w:space="0" w:color="000000"/>
        <w:insideV w:val="none" w:sz="0" w:space="0" w:color="000000"/>
      </w:tblBorders>
    </w:tbl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9596D9"/>
        <w:left w:val="single" w:sz="4" w:space="0" w:color="9596D9"/>
        <w:bottom w:val="single" w:sz="4" w:space="0" w:color="9596D9"/>
        <w:right w:val="single" w:sz="4" w:space="0" w:color="9596D9"/>
        <w:insideH w:val="none" w:sz="0" w:space="0" w:color="000000"/>
        <w:insideV w:val="none" w:sz="0" w:space="0" w:color="000000"/>
      </w:tblBorders>
    </w:tbl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9BD6C3"/>
        <w:left w:val="single" w:sz="4" w:space="0" w:color="9BD6C3"/>
        <w:bottom w:val="single" w:sz="4" w:space="0" w:color="9BD6C3"/>
        <w:right w:val="single" w:sz="4" w:space="0" w:color="9BD6C3"/>
        <w:insideH w:val="none" w:sz="0" w:space="0" w:color="000000"/>
        <w:insideV w:val="none" w:sz="0" w:space="0" w:color="000000"/>
      </w:tblBorders>
    </w:tbl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C6A1B2"/>
        <w:left w:val="single" w:sz="4" w:space="0" w:color="C6A1B2"/>
        <w:bottom w:val="single" w:sz="4" w:space="0" w:color="C6A1B2"/>
        <w:right w:val="single" w:sz="4" w:space="0" w:color="C6A1B2"/>
        <w:insideH w:val="none" w:sz="0" w:space="0" w:color="000000"/>
        <w:insideV w:val="none" w:sz="0" w:space="0" w:color="000000"/>
      </w:tblBorders>
    </w:tbl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DCCC92"/>
        <w:left w:val="single" w:sz="4" w:space="0" w:color="DCCC92"/>
        <w:bottom w:val="single" w:sz="4" w:space="0" w:color="DCCC92"/>
        <w:right w:val="single" w:sz="4" w:space="0" w:color="DCCC92"/>
        <w:insideH w:val="none" w:sz="0" w:space="0" w:color="000000"/>
        <w:insideV w:val="none" w:sz="0" w:space="0" w:color="000000"/>
      </w:tblBorders>
    </w:tbl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90C0FA"/>
        <w:left w:val="single" w:sz="4" w:space="0" w:color="90C0FA"/>
        <w:bottom w:val="single" w:sz="4" w:space="0" w:color="90C0FA"/>
        <w:right w:val="single" w:sz="4" w:space="0" w:color="90C0FA"/>
        <w:insideH w:val="none" w:sz="0" w:space="0" w:color="000000"/>
        <w:insideV w:val="none" w:sz="0" w:space="0" w:color="000000"/>
      </w:tblBorders>
    </w:tbl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D9B79B"/>
        <w:left w:val="single" w:sz="4" w:space="0" w:color="D9B79B"/>
        <w:bottom w:val="single" w:sz="4" w:space="0" w:color="D9B79B"/>
        <w:right w:val="single" w:sz="4" w:space="0" w:color="D9B79B"/>
        <w:insideH w:val="single" w:sz="4" w:space="0" w:color="D9B79B"/>
        <w:insideV w:val="none" w:sz="0" w:space="0" w:color="000000"/>
      </w:tblBorders>
    </w:tbl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9A9BDB"/>
        <w:left w:val="single" w:sz="4" w:space="0" w:color="9A9BDB"/>
        <w:bottom w:val="single" w:sz="4" w:space="0" w:color="9A9BDB"/>
        <w:right w:val="single" w:sz="4" w:space="0" w:color="9A9BDB"/>
        <w:insideH w:val="single" w:sz="4" w:space="0" w:color="9A9BDB"/>
        <w:insideV w:val="none" w:sz="0" w:space="0" w:color="000000"/>
      </w:tblBorders>
    </w:tbl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A1D8C6"/>
        <w:left w:val="single" w:sz="4" w:space="0" w:color="A1D8C6"/>
        <w:bottom w:val="single" w:sz="4" w:space="0" w:color="A1D8C6"/>
        <w:right w:val="single" w:sz="4" w:space="0" w:color="A1D8C6"/>
        <w:insideH w:val="single" w:sz="4" w:space="0" w:color="A1D8C6"/>
        <w:insideV w:val="none" w:sz="0" w:space="0" w:color="000000"/>
      </w:tblBorders>
    </w:tbl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CAA7B7"/>
        <w:left w:val="single" w:sz="4" w:space="0" w:color="CAA7B7"/>
        <w:bottom w:val="single" w:sz="4" w:space="0" w:color="CAA7B7"/>
        <w:right w:val="single" w:sz="4" w:space="0" w:color="CAA7B7"/>
        <w:insideH w:val="single" w:sz="4" w:space="0" w:color="CAA7B7"/>
        <w:insideV w:val="none" w:sz="0" w:space="0" w:color="000000"/>
      </w:tblBorders>
    </w:tbl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DED099"/>
        <w:left w:val="single" w:sz="4" w:space="0" w:color="DED099"/>
        <w:bottom w:val="single" w:sz="4" w:space="0" w:color="DED099"/>
        <w:right w:val="single" w:sz="4" w:space="0" w:color="DED099"/>
        <w:insideH w:val="single" w:sz="4" w:space="0" w:color="DED099"/>
        <w:insideV w:val="none" w:sz="0" w:space="0" w:color="000000"/>
      </w:tblBorders>
    </w:tbl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96C3FA"/>
        <w:left w:val="single" w:sz="4" w:space="0" w:color="96C3FA"/>
        <w:bottom w:val="single" w:sz="4" w:space="0" w:color="96C3FA"/>
        <w:right w:val="single" w:sz="4" w:space="0" w:color="96C3FA"/>
        <w:insideH w:val="single" w:sz="4" w:space="0" w:color="96C3FA"/>
        <w:insideV w:val="none" w:sz="0" w:space="0" w:color="000000"/>
      </w:tblBorders>
    </w:tbl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BD814F"/>
        <w:left w:val="single" w:sz="32" w:space="0" w:color="BD814F"/>
        <w:bottom w:val="single" w:sz="32" w:space="0" w:color="BD814F"/>
        <w:right w:val="single" w:sz="32" w:space="0" w:color="BD814F"/>
        <w:insideH w:val="none" w:sz="0" w:space="0" w:color="000000"/>
        <w:insideV w:val="none" w:sz="0" w:space="0" w:color="000000"/>
      </w:tblBorders>
      <w:shd w:val="clear" w:color="4F81BD" w:fill="4F81BD"/>
    </w:tbl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9596D9"/>
        <w:left w:val="single" w:sz="32" w:space="0" w:color="9596D9"/>
        <w:bottom w:val="single" w:sz="32" w:space="0" w:color="9596D9"/>
        <w:right w:val="single" w:sz="32" w:space="0" w:color="9596D9"/>
        <w:insideH w:val="none" w:sz="0" w:space="0" w:color="000000"/>
        <w:insideV w:val="none" w:sz="0" w:space="0" w:color="000000"/>
      </w:tblBorders>
      <w:shd w:val="clear" w:color="D99695" w:fill="D99695"/>
    </w:tbl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9BD6C3"/>
        <w:left w:val="single" w:sz="32" w:space="0" w:color="9BD6C3"/>
        <w:bottom w:val="single" w:sz="32" w:space="0" w:color="9BD6C3"/>
        <w:right w:val="single" w:sz="32" w:space="0" w:color="9BD6C3"/>
        <w:insideH w:val="none" w:sz="0" w:space="0" w:color="000000"/>
        <w:insideV w:val="none" w:sz="0" w:space="0" w:color="000000"/>
      </w:tblBorders>
      <w:shd w:val="clear" w:color="C3D69B" w:fill="C3D69B"/>
    </w:tbl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C6A1B2"/>
        <w:left w:val="single" w:sz="32" w:space="0" w:color="C6A1B2"/>
        <w:bottom w:val="single" w:sz="32" w:space="0" w:color="C6A1B2"/>
        <w:right w:val="single" w:sz="32" w:space="0" w:color="C6A1B2"/>
        <w:insideH w:val="none" w:sz="0" w:space="0" w:color="000000"/>
        <w:insideV w:val="none" w:sz="0" w:space="0" w:color="000000"/>
      </w:tblBorders>
      <w:shd w:val="clear" w:color="B2A1C6" w:fill="B2A1C6"/>
    </w:tbl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DCCC92"/>
        <w:left w:val="single" w:sz="32" w:space="0" w:color="DCCC92"/>
        <w:bottom w:val="single" w:sz="32" w:space="0" w:color="DCCC92"/>
        <w:right w:val="single" w:sz="32" w:space="0" w:color="DCCC92"/>
        <w:insideH w:val="none" w:sz="0" w:space="0" w:color="000000"/>
        <w:insideV w:val="none" w:sz="0" w:space="0" w:color="000000"/>
      </w:tblBorders>
      <w:shd w:val="clear" w:color="92CCDC" w:fill="92CCDC"/>
    </w:tbl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90C0FA"/>
        <w:left w:val="single" w:sz="32" w:space="0" w:color="90C0FA"/>
        <w:bottom w:val="single" w:sz="32" w:space="0" w:color="90C0FA"/>
        <w:right w:val="single" w:sz="32" w:space="0" w:color="90C0FA"/>
        <w:insideH w:val="none" w:sz="0" w:space="0" w:color="000000"/>
        <w:insideV w:val="none" w:sz="0" w:space="0" w:color="000000"/>
      </w:tblBorders>
      <w:shd w:val="clear" w:color="FAC090" w:fill="FAC090"/>
    </w:tbl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BD814F"/>
        <w:left w:val="none" w:sz="0" w:space="0" w:color="000000"/>
        <w:bottom w:val="single" w:sz="4" w:space="0" w:color="BD814F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9596D9"/>
        <w:left w:val="none" w:sz="0" w:space="0" w:color="000000"/>
        <w:bottom w:val="single" w:sz="4" w:space="0" w:color="9596D9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9BD6C3"/>
        <w:left w:val="none" w:sz="0" w:space="0" w:color="000000"/>
        <w:bottom w:val="single" w:sz="4" w:space="0" w:color="9BD6C3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C6A1B2"/>
        <w:left w:val="none" w:sz="0" w:space="0" w:color="000000"/>
        <w:bottom w:val="single" w:sz="4" w:space="0" w:color="C6A1B2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DCCC92"/>
        <w:left w:val="none" w:sz="0" w:space="0" w:color="000000"/>
        <w:bottom w:val="single" w:sz="4" w:space="0" w:color="DCCC92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90C0FA"/>
        <w:left w:val="none" w:sz="0" w:space="0" w:color="000000"/>
        <w:bottom w:val="single" w:sz="4" w:space="0" w:color="90C0FA"/>
        <w:right w:val="none" w:sz="0" w:space="0" w:color="000000"/>
        <w:insideH w:val="none" w:sz="0" w:space="0" w:color="000000"/>
        <w:insideV w:val="none" w:sz="0" w:space="0" w:color="000000"/>
      </w:tblBorders>
    </w:tbl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BD814F"/>
        <w:insideH w:val="none" w:sz="0" w:space="0" w:color="000000"/>
        <w:insideV w:val="none" w:sz="0" w:space="0" w:color="000000"/>
      </w:tblBorders>
    </w:tbl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9596D9"/>
        <w:insideH w:val="none" w:sz="0" w:space="0" w:color="000000"/>
        <w:insideV w:val="none" w:sz="0" w:space="0" w:color="000000"/>
      </w:tblBorders>
    </w:tbl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9BD6C3"/>
        <w:insideH w:val="none" w:sz="0" w:space="0" w:color="000000"/>
        <w:insideV w:val="none" w:sz="0" w:space="0" w:color="000000"/>
      </w:tblBorders>
    </w:tbl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C6A1B2"/>
        <w:insideH w:val="none" w:sz="0" w:space="0" w:color="000000"/>
        <w:insideV w:val="none" w:sz="0" w:space="0" w:color="000000"/>
      </w:tblBorders>
    </w:tbl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DCCC92"/>
        <w:insideH w:val="none" w:sz="0" w:space="0" w:color="000000"/>
        <w:insideV w:val="none" w:sz="0" w:space="0" w:color="000000"/>
      </w:tblBorders>
    </w:tbl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top w:val="none" w:sz="0" w:space="0" w:color="000000"/>
        <w:left w:val="none" w:sz="0" w:space="0" w:color="000000"/>
        <w:bottom w:val="none" w:sz="0" w:space="0" w:color="000000"/>
        <w:right w:val="single" w:sz="4" w:space="0" w:color="90C0FA"/>
        <w:insideH w:val="none" w:sz="0" w:space="0" w:color="000000"/>
        <w:insideV w:val="none" w:sz="0" w:space="0" w:color="000000"/>
      </w:tblBorders>
    </w:tbl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14A2A"/>
        <w:left w:val="single" w:sz="4" w:space="0" w:color="714A2A"/>
        <w:bottom w:val="single" w:sz="4" w:space="0" w:color="714A2A"/>
        <w:right w:val="single" w:sz="4" w:space="0" w:color="714A2A"/>
        <w:insideH w:val="single" w:sz="4" w:space="0" w:color="714A2A"/>
        <w:insideV w:val="single" w:sz="4" w:space="0" w:color="714A2A"/>
      </w:tblBorders>
    </w:tbl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92A73"/>
        <w:left w:val="single" w:sz="4" w:space="0" w:color="292A73"/>
        <w:bottom w:val="single" w:sz="4" w:space="0" w:color="292A73"/>
        <w:right w:val="single" w:sz="4" w:space="0" w:color="292A73"/>
        <w:insideH w:val="single" w:sz="4" w:space="0" w:color="292A73"/>
        <w:insideV w:val="single" w:sz="4" w:space="0" w:color="292A73"/>
      </w:tblBorders>
    </w:tbl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E725B"/>
        <w:left w:val="single" w:sz="4" w:space="0" w:color="2E725B"/>
        <w:bottom w:val="single" w:sz="4" w:space="0" w:color="2E725B"/>
        <w:right w:val="single" w:sz="4" w:space="0" w:color="2E725B"/>
        <w:insideH w:val="single" w:sz="4" w:space="0" w:color="2E725B"/>
        <w:insideV w:val="single" w:sz="4" w:space="0" w:color="2E725B"/>
      </w:tblBorders>
    </w:tbl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F394A"/>
        <w:left w:val="single" w:sz="4" w:space="0" w:color="5F394A"/>
        <w:bottom w:val="single" w:sz="4" w:space="0" w:color="5F394A"/>
        <w:right w:val="single" w:sz="4" w:space="0" w:color="5F394A"/>
        <w:insideH w:val="single" w:sz="4" w:space="0" w:color="5F394A"/>
        <w:insideV w:val="single" w:sz="4" w:space="0" w:color="5F394A"/>
      </w:tblBorders>
    </w:tbl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96726"/>
        <w:left w:val="single" w:sz="4" w:space="0" w:color="796726"/>
        <w:bottom w:val="single" w:sz="4" w:space="0" w:color="796726"/>
        <w:right w:val="single" w:sz="4" w:space="0" w:color="796726"/>
        <w:insideH w:val="single" w:sz="4" w:space="0" w:color="796726"/>
        <w:insideV w:val="single" w:sz="4" w:space="0" w:color="796726"/>
      </w:tblBorders>
    </w:tbl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0754B1"/>
        <w:left w:val="single" w:sz="4" w:space="0" w:color="0754B1"/>
        <w:bottom w:val="single" w:sz="4" w:space="0" w:color="0754B1"/>
        <w:right w:val="single" w:sz="4" w:space="0" w:color="0754B1"/>
        <w:insideH w:val="single" w:sz="4" w:space="0" w:color="0754B1"/>
        <w:insideV w:val="single" w:sz="4" w:space="0" w:color="0754B1"/>
      </w:tblBorders>
    </w:tbl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E4CBB7"/>
        <w:left w:val="single" w:sz="4" w:space="0" w:color="E4CBB7"/>
        <w:bottom w:val="single" w:sz="4" w:space="0" w:color="E4CBB7"/>
        <w:right w:val="single" w:sz="4" w:space="0" w:color="E4CBB7"/>
        <w:insideH w:val="single" w:sz="4" w:space="0" w:color="E4CBB7"/>
        <w:insideV w:val="single" w:sz="4" w:space="0" w:color="E4CBB7"/>
      </w:tblBorders>
    </w:tbl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B6B7E5"/>
        <w:left w:val="single" w:sz="4" w:space="0" w:color="B6B7E5"/>
        <w:bottom w:val="single" w:sz="4" w:space="0" w:color="B6B7E5"/>
        <w:right w:val="single" w:sz="4" w:space="0" w:color="B6B7E5"/>
        <w:insideH w:val="single" w:sz="4" w:space="0" w:color="B6B7E5"/>
        <w:insideV w:val="single" w:sz="4" w:space="0" w:color="B6B7E5"/>
      </w:tblBorders>
    </w:tbl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BBE3D6"/>
        <w:left w:val="single" w:sz="4" w:space="0" w:color="BBE3D6"/>
        <w:bottom w:val="single" w:sz="4" w:space="0" w:color="BBE3D6"/>
        <w:right w:val="single" w:sz="4" w:space="0" w:color="BBE3D6"/>
        <w:insideH w:val="single" w:sz="4" w:space="0" w:color="BBE3D6"/>
        <w:insideV w:val="single" w:sz="4" w:space="0" w:color="BBE3D6"/>
      </w:tblBorders>
    </w:tbl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D9C0CB"/>
        <w:left w:val="single" w:sz="4" w:space="0" w:color="D9C0CB"/>
        <w:bottom w:val="single" w:sz="4" w:space="0" w:color="D9C0CB"/>
        <w:right w:val="single" w:sz="4" w:space="0" w:color="D9C0CB"/>
        <w:insideH w:val="single" w:sz="4" w:space="0" w:color="D9C0CB"/>
        <w:insideV w:val="single" w:sz="4" w:space="0" w:color="D9C0CB"/>
      </w:tblBorders>
    </w:tbl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E8DDB6"/>
        <w:left w:val="single" w:sz="4" w:space="0" w:color="E8DDB6"/>
        <w:bottom w:val="single" w:sz="4" w:space="0" w:color="E8DDB6"/>
        <w:right w:val="single" w:sz="4" w:space="0" w:color="E8DDB6"/>
        <w:insideH w:val="single" w:sz="4" w:space="0" w:color="E8DDB6"/>
        <w:insideV w:val="single" w:sz="4" w:space="0" w:color="E8DDB6"/>
      </w:tblBorders>
    </w:tbl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B4D4FB"/>
        <w:left w:val="single" w:sz="4" w:space="0" w:color="B4D4FB"/>
        <w:bottom w:val="single" w:sz="4" w:space="0" w:color="B4D4FB"/>
        <w:right w:val="single" w:sz="4" w:space="0" w:color="B4D4FB"/>
        <w:insideH w:val="single" w:sz="4" w:space="0" w:color="B4D4FB"/>
        <w:insideV w:val="single" w:sz="4" w:space="0" w:color="B4D4FB"/>
      </w:tblBorders>
    </w:tblPr>
  </w:style>
  <w:style w:type="character" w:customStyle="1" w:styleId="af9">
    <w:name w:val="Текст сноски Знак"/>
    <w:link w:val="af8"/>
    <w:uiPriority w:val="99"/>
    <w:rPr>
      <w:sz w:val="18"/>
    </w:rPr>
  </w:style>
  <w:style w:type="character" w:customStyle="1" w:styleId="afc">
    <w:name w:val="Текст концевой сноски Знак"/>
    <w:link w:val="afb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f2">
    <w:name w:val="Balloon Text"/>
    <w:basedOn w:val="a"/>
    <w:link w:val="aff3"/>
    <w:uiPriority w:val="99"/>
    <w:semiHidden/>
    <w:unhideWhenUsed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ff3">
    <w:name w:val="Текст выноски Знак"/>
    <w:link w:val="aff2"/>
    <w:uiPriority w:val="99"/>
    <w:semiHidden/>
    <w:rPr>
      <w:rFonts w:ascii="Arial" w:eastAsia="Calibri" w:hAnsi="Arial" w:cs="Arial"/>
      <w:sz w:val="16"/>
      <w:szCs w:val="16"/>
      <w:lang w:val="en-US"/>
    </w:rPr>
  </w:style>
  <w:style w:type="table" w:customStyle="1" w:styleId="13">
    <w:name w:val="Сетка таблицы1"/>
    <w:basedOn w:val="a1"/>
    <w:next w:val="a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3">
    <w:name w:val="Сетка таблицы4"/>
    <w:basedOn w:val="a1"/>
    <w:next w:val="a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4">
    <w:name w:val="Обычный (веб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apple-converted-space">
    <w:name w:val="apple-converted-space"/>
    <w:basedOn w:val="a0"/>
  </w:style>
  <w:style w:type="character" w:customStyle="1" w:styleId="docdata">
    <w:name w:val="docdata"/>
    <w:basedOn w:val="a0"/>
  </w:style>
  <w:style w:type="paragraph" w:customStyle="1" w:styleId="1548">
    <w:name w:val="1548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mcd.etp-region.ru/app/okpd2/01.24.26.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mcd.etp-region.ru/app/okpd2/01.13.39.11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mcd.etp-region.ru/app/okpd2/01.21.11.000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nmcd.etp-region.ru/app/okpd2/01.24.23.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mcd.etp-region.ru/app/okpd2/01.24.27.000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1281</Words>
  <Characters>7306</Characters>
  <Application>Microsoft Office Word</Application>
  <DocSecurity>0</DocSecurity>
  <Lines>60</Lines>
  <Paragraphs>17</Paragraphs>
  <ScaleCrop>false</ScaleCrop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2026-05-19T09:33:00Z</cp:lastPrinted>
  <dcterms:created xsi:type="dcterms:W3CDTF">2025-05-15T11:17:00Z</dcterms:created>
  <dcterms:modified xsi:type="dcterms:W3CDTF">2026-05-20T06:07:00Z</dcterms:modified>
  <cp:version>1048576</cp:version>
</cp:coreProperties>
</file>