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ТЕХНИЧЕСКОЕ ЗАДАНИЕ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поставку </w:t>
      </w:r>
      <w:r>
        <w:rPr>
          <w:b/>
          <w:bCs/>
          <w:sz w:val="24"/>
          <w:szCs w:val="24"/>
        </w:rPr>
        <w:t xml:space="preserve">персональных компьютеров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для нужд </w:t>
      </w:r>
      <w:r>
        <w:rPr>
          <w:b/>
          <w:bCs/>
          <w:sz w:val="24"/>
          <w:szCs w:val="24"/>
        </w:rPr>
        <w:t xml:space="preserve">МАУ МП МЦ "Школа Ямолод.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Пуровский район"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after="0"/>
        <w:ind w:firstLine="709"/>
        <w:jc w:val="both"/>
        <w:rPr>
          <w:rFonts w:ascii="Liberation Serif" w:hAnsi="Liberation Serif" w:cs="Liberation Serif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В</w:t>
      </w:r>
      <w:r>
        <w:rPr>
          <w:rFonts w:ascii="Liberation Serif" w:hAnsi="Liberation Serif" w:eastAsia="Liberation Serif" w:cs="Liberation Serif"/>
          <w:i/>
          <w:iCs/>
          <w:sz w:val="24"/>
          <w:szCs w:val="24"/>
        </w:rPr>
        <w:t xml:space="preserve"> случае, если в документации (в каком-либо документе, входящем в состав документации, прикрепленном отдельным файлом к документации) имеются указания на знаки обслуживания, фирменные и торговые наименования, патенты, полезные м</w:t>
      </w:r>
      <w:r>
        <w:rPr>
          <w:rFonts w:ascii="Liberation Serif" w:hAnsi="Liberation Serif" w:eastAsia="Liberation Serif" w:cs="Liberation Serif"/>
          <w:i/>
          <w:iCs/>
          <w:sz w:val="24"/>
          <w:szCs w:val="24"/>
        </w:rPr>
        <w:t xml:space="preserve">одели, промышленные образцы, указания на товарный знак, наименование места происхождения товара или наименование производителя, то такие указания следует читать «знаки обслуживания или эквивалент», «фирменные наименования или эквивалент», «торговые наимено</w:t>
      </w:r>
      <w:r>
        <w:rPr>
          <w:rFonts w:ascii="Liberation Serif" w:hAnsi="Liberation Serif" w:eastAsia="Liberation Serif" w:cs="Liberation Serif"/>
          <w:i/>
          <w:iCs/>
          <w:sz w:val="24"/>
          <w:szCs w:val="24"/>
        </w:rPr>
        <w:t xml:space="preserve">вания или эквивалент», «патенты или эквивалент», «полезные модели или эквивалент», «промышленные образцы или эквивалент», «товарный знак или эквивалент», «наименование места происхождения товара или эквивалент», «наименование производителя или эквивалент».</w:t>
      </w:r>
      <w:r>
        <w:rPr>
          <w:rFonts w:ascii="Liberation Serif" w:hAnsi="Liberation Serif" w:eastAsia="Liberation Serif" w:cs="Liberation Serif"/>
          <w:i/>
          <w:iCs/>
          <w:sz w:val="24"/>
          <w:szCs w:val="24"/>
        </w:rPr>
      </w:r>
      <w:r>
        <w:rPr>
          <w:rFonts w:ascii="Liberation Serif" w:hAnsi="Liberation Serif" w:cs="Liberation Serif"/>
          <w:i/>
          <w:iCs/>
          <w:sz w:val="24"/>
          <w:szCs w:val="24"/>
        </w:rPr>
      </w:r>
    </w:p>
    <w:tbl>
      <w:tblPr>
        <w:tblStyle w:val="851"/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276"/>
        <w:gridCol w:w="3135"/>
        <w:gridCol w:w="1418"/>
        <w:gridCol w:w="1701"/>
        <w:gridCol w:w="1842"/>
      </w:tblGrid>
      <w:tr>
        <w:trPr>
          <w:jc w:val="center"/>
          <w:trHeight w:val="241"/>
        </w:trPr>
        <w:tblPrEx/>
        <w:tc>
          <w:tcPr>
            <w:tcW w:w="476" w:type="dxa"/>
            <w:vMerge w:val="restart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restart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ОКПД2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135" w:type="dxa"/>
            <w:vMerge w:val="restart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961" w:type="dxa"/>
            <w:gridSpan w:val="3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Национальный режим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397"/>
        </w:trPr>
        <w:tblPrEx/>
        <w:tc>
          <w:tcPr>
            <w:tcW w:w="476" w:type="dxa"/>
            <w:vMerge w:val="continue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135" w:type="dxa"/>
            <w:vMerge w:val="continue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1875 (Запрет)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1875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(Ограничение)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1875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widowControl w:val="off"/>
              <w:spacing w:line="259" w:lineRule="auto"/>
              <w:ind w:left="-567" w:firstLine="56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(Преимущество)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rPr>
          <w:jc w:val="center"/>
          <w:trHeight w:val="275"/>
        </w:trPr>
        <w:tblPrEx/>
        <w:tc>
          <w:tcPr>
            <w:tcW w:w="476" w:type="dxa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26.20.15.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170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135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widowControl w:val="off"/>
              <w:spacing w:line="259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Персональный компьютер в комплекте (системный блок, монитор, клавиатура, наушники, мышь)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Segoe UI Symbol" w:hAnsi="Segoe UI Symbol" w:eastAsia="Times New Roman" w:cs="Segoe UI Symbol"/>
                <w:sz w:val="20"/>
                <w:szCs w:val="20"/>
                <w:lang w:eastAsia="ru-RU"/>
              </w:rPr>
              <w:t xml:space="preserve">✓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noWrap w:val="false"/>
            <w:textDirection w:val="lrTb"/>
          </w:tcPr>
          <w:p>
            <w:pPr>
              <w:widowControl w:val="off"/>
              <w:spacing w:line="259" w:lineRule="auto"/>
              <w:ind w:left="-567" w:firstLine="567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spacing w:after="0"/>
        <w:ind w:firstLine="709"/>
        <w:jc w:val="both"/>
      </w:pPr>
    </w:p>
    <w:p>
      <w:pPr>
        <w:spacing w:after="0"/>
        <w:ind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</w:t>
      </w:r>
      <w:r>
        <w:rPr>
          <w:b/>
          <w:bCs/>
          <w:sz w:val="24"/>
          <w:szCs w:val="24"/>
        </w:rPr>
        <w:t xml:space="preserve">. Требования к значениям показателей (характеристик) товара, позволяющие определить соответствие установленным заказчиком требованиям или эквивалентности предлагаемого к поставке товара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0301" w:type="dxa"/>
        <w:tblInd w:w="-318" w:type="dxa"/>
        <w:tblLook w:val="04A0" w:firstRow="1" w:lastRow="0" w:firstColumn="1" w:lastColumn="0" w:noHBand="0" w:noVBand="1"/>
      </w:tblPr>
      <w:tblGrid>
        <w:gridCol w:w="559"/>
        <w:gridCol w:w="1908"/>
        <w:gridCol w:w="2155"/>
        <w:gridCol w:w="1474"/>
        <w:gridCol w:w="1977"/>
        <w:gridCol w:w="958"/>
        <w:gridCol w:w="1034"/>
        <w:gridCol w:w="236"/>
      </w:tblGrid>
      <w:tr>
        <w:trPr>
          <w:gridAfter w:val="1"/>
          <w:trHeight w:val="894"/>
        </w:trPr>
        <w:tblPrEx/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№ п/п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Наименование товара, работы, услуги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Наименование характеристики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Единица измерения характе-ристики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Значение характеристики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Ед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. из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.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Кол-во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gridAfter w:val="1"/>
          <w:trHeight w:val="207"/>
        </w:trPr>
        <w:tblPrEx/>
        <w:tc>
          <w:tcPr>
            <w:tcW w:w="559" w:type="dxa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2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3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4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5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6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7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gridAfter w:val="1"/>
          <w:trHeight w:val="507"/>
        </w:trPr>
        <w:tblPrEx/>
        <w:tc>
          <w:tcPr>
            <w:tcW w:w="559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Персональный компьютер в комплекте (системный блок, монитор, клавиатура, наушники, мышь)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Объем установленной оперативной памяти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vMerge w:val="restart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Гб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32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шт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restart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6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247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vMerge w:val="continue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/>
            <w:textDirection w:val="lrTb"/>
            <w:vAlign w:val="bottom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69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Тип оперативной памяти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DDR5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506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Количество ядер процессора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Шт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1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Количество потоков процессора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Шт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359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Частота процессора базовая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ГГц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2,5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729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Объем кэш памяти третьего уровня процессора (L3)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Мб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20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373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Тактовая частота оперативной памяти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МГц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5600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268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Тип накопителя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SSD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364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Интерфейс накопителя SSD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M.2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28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Мощность блока питания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Вт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650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19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Наличие системы охлаждения процессора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соответствие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843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Тип видеопамяти дискретного графического контроллера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GDDR7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811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Общий объем накопителей SSD форм-фактора M.2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Тб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01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Количество слотов оперативной памяти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Шт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2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26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Модель видеокарты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GeForce RTX 5060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283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Модель процессора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Intel Core i5-14400F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22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Частота процессора максимальная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ГГц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4,7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Диагональ монитора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Дюйм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25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333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Разрешение экрана монитора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FullHd (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1080p)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81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Частота обновления экрана монитора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Гц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240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Тип матрицы монитора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IPS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374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Тип подсветки экрана монитора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LED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72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Соотношение сторон экрана монитора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16:9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Производитель монитора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Samsung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25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Версия VESA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100 x 100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31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Время отклика пикселя 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мс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более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37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Максимальное разрешение датчика мыши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dpi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30000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7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Максимальная частота опроса мыши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Гц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8000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25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Форма мыши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Симметричная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25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Тип сенсора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Светодиодный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7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Количество кнопок на мыши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Шт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5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1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Источник питания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аккумулятор, по проводу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112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Комплектация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8K USB-ресивер, документация, кабель USB Type-A - USB Type-C, набор тефлоновых ножек PTFE, сменная накладка, чехол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07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Тип конструкции наушников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Охватывающие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75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Способ передачи сигнала наушниками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Проводной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81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Тип акустического оформления наушников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закрытые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90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Диаметр мембраны излучателей наушников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Мм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50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90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Минимальная воспроизводимая частота наушников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Гц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более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13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77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Максимальная воспроизводимая частота наушников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Гц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27000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7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Чувствительность наушников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дБ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98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90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Наличие встроенного микрофона у наушников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соотвествие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112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Чувствительность встроенного микрофона наушников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дБ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43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112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Шумоподавление встроенного микрофона наушников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наличие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Регулятор громкости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На проводе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Тип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Механическая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Подключение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Проводное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Формат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Полноразмерный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47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Метриал корпуса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Алюминий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97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Язык раскладки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английский, русский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1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Подсветка клавиш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наличие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1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Общее количество клавиш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Шт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104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0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Модель переключателей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Logitech GX Brown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Раскладка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ANSI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450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Длина кабеля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1.8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7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Интерфейс подключения клавиатуры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USB Type-A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  <w:tr>
        <w:trPr>
          <w:trHeight w:val="675"/>
        </w:trPr>
        <w:tblPrEx/>
        <w:tc>
          <w:tcPr>
            <w:tcW w:w="559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Размер коврика для мышки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474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СМ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977" w:type="dxa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false"/>
            <w:textDirection w:val="lrTb"/>
          </w:tcPr>
          <w:p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Не менее 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  <w:t xml:space="preserve">90 х 40</w:t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958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1034" w:type="dxa"/>
            <w:vMerge w:val="continue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  <w:tc>
          <w:tcPr>
            <w:tcW w:w="236" w:type="dxa"/>
            <w:noWrap w:val="false"/>
            <w:textDirection w:val="lrTb"/>
            <w:vAlign w:val="center"/>
          </w:tcPr>
          <w:p>
            <w:pPr>
              <w:spacing w:after="0"/>
              <w:rPr>
                <w:rFonts w:eastAsia="Times New Roman" w:cs="Times New Roman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  <w:r>
              <w:rPr>
                <w:rFonts w:eastAsia="Times New Roman" w:cs="Times New Roman"/>
                <w:sz w:val="22"/>
                <w:lang w:eastAsia="ru-RU"/>
                <w14:ligatures w14:val="none"/>
              </w:rPr>
            </w:r>
          </w:p>
        </w:tc>
      </w:tr>
    </w:tbl>
    <w:p>
      <w:pPr>
        <w:spacing w:after="0"/>
        <w:ind w:hanging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2. Место поставки</w:t>
      </w:r>
      <w:r>
        <w:rPr>
          <w:b/>
          <w:bCs/>
          <w:sz w:val="24"/>
          <w:szCs w:val="24"/>
          <w:highlight w:val="white"/>
        </w:rPr>
        <w:t xml:space="preserve">:</w:t>
      </w: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629850, Россия, Ямало-Ненецкий АО, Пуровский р-н, г. Тарко-Сале, ул. Мира, 7Б</w:t>
      </w:r>
      <w:r>
        <w:rPr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pacing w:after="0"/>
        <w:ind w:left="-426" w:right="-285"/>
        <w:jc w:val="both"/>
        <w:rPr>
          <w:sz w:val="24"/>
          <w:szCs w:val="24"/>
          <w:highlight w:val="white"/>
        </w:rPr>
      </w:pPr>
      <w:r>
        <w:rPr>
          <w:b/>
          <w:bCs/>
          <w:sz w:val="24"/>
          <w:szCs w:val="24"/>
          <w:highlight w:val="white"/>
        </w:rPr>
        <w:t xml:space="preserve">3. Срок поставки:</w:t>
      </w:r>
      <w:r>
        <w:rPr>
          <w:sz w:val="24"/>
          <w:szCs w:val="24"/>
          <w:highlight w:val="white"/>
        </w:rPr>
        <w:t xml:space="preserve"> с момента подписания договора</w:t>
      </w:r>
      <w:r>
        <w:rPr>
          <w:sz w:val="24"/>
          <w:szCs w:val="24"/>
          <w:highlight w:val="white"/>
        </w:rPr>
        <w:t xml:space="preserve"> в течение 30 календарных дней</w:t>
      </w:r>
      <w:r>
        <w:rPr>
          <w:sz w:val="24"/>
          <w:szCs w:val="24"/>
          <w:highlight w:val="white"/>
        </w:rPr>
        <w:t xml:space="preserve">.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Доставка, погрузочно-разгрузочные работы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выполняются</w:t>
      </w:r>
      <w:r>
        <w:rPr>
          <w:sz w:val="24"/>
          <w:szCs w:val="24"/>
        </w:rPr>
        <w:t xml:space="preserve"> силами Поставщика.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Требования к качеству, безопасности поставляемого товара: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</w:t>
      </w:r>
      <w:r>
        <w:rPr>
          <w:sz w:val="24"/>
          <w:szCs w:val="24"/>
        </w:rPr>
        <w:t xml:space="preserve">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Требования к упаковке и маркировке поставляемого товара: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Товар поставляе</w:t>
      </w:r>
      <w:r>
        <w:rPr>
          <w:sz w:val="24"/>
          <w:szCs w:val="24"/>
        </w:rPr>
        <w:t xml:space="preserve">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>
        <w:rPr>
          <w:sz w:val="24"/>
          <w:szCs w:val="24"/>
        </w:rPr>
        <w:t xml:space="preserve">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Поставщик несет ответственность за ненадлежащую упаковку, не обеспечивающую сохранность товара при его хранении и транспортировании;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Упаковка и маркировка товара должна соответствовать требованиям ГОСТ, и</w:t>
      </w:r>
      <w:r>
        <w:rPr>
          <w:sz w:val="24"/>
          <w:szCs w:val="24"/>
        </w:rPr>
        <w:t xml:space="preserve">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Требования к гарантийному сроку товара и (или) объему предоставления гарантий качества товара: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Гарантийные обязательства должны распространяться на каждую единицу товара с момента приемки товара Заказчиком.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/>
        <w:ind w:left="-426" w:right="-2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Поставщик обязан при обнаружении недостатков у поставляемого товара заменить товар ненадлежа</w:t>
      </w:r>
      <w:r>
        <w:rPr>
          <w:sz w:val="24"/>
          <w:szCs w:val="24"/>
        </w:rPr>
        <w:t xml:space="preserve">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7"/>
    <w:link w:val="818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7"/>
    <w:link w:val="819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7"/>
    <w:link w:val="820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7"/>
    <w:link w:val="821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7"/>
    <w:link w:val="822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827"/>
    <w:link w:val="823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827"/>
    <w:link w:val="8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827"/>
    <w:link w:val="825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827"/>
    <w:link w:val="826"/>
    <w:uiPriority w:val="9"/>
    <w:rPr>
      <w:rFonts w:ascii="Arial" w:hAnsi="Arial" w:eastAsia="Arial" w:cs="Arial"/>
      <w:i/>
      <w:iCs/>
      <w:sz w:val="21"/>
      <w:szCs w:val="21"/>
    </w:rPr>
  </w:style>
  <w:style w:type="paragraph" w:styleId="663">
    <w:name w:val="No Spacing"/>
    <w:uiPriority w:val="1"/>
    <w:qFormat/>
    <w:pPr>
      <w:spacing w:before="0" w:after="0" w:line="240" w:lineRule="auto"/>
    </w:pPr>
  </w:style>
  <w:style w:type="character" w:styleId="664">
    <w:name w:val="Title Char"/>
    <w:basedOn w:val="827"/>
    <w:link w:val="839"/>
    <w:uiPriority w:val="10"/>
    <w:rPr>
      <w:sz w:val="48"/>
      <w:szCs w:val="48"/>
    </w:rPr>
  </w:style>
  <w:style w:type="character" w:styleId="665">
    <w:name w:val="Subtitle Char"/>
    <w:basedOn w:val="827"/>
    <w:link w:val="841"/>
    <w:uiPriority w:val="11"/>
    <w:rPr>
      <w:sz w:val="24"/>
      <w:szCs w:val="24"/>
    </w:rPr>
  </w:style>
  <w:style w:type="character" w:styleId="666">
    <w:name w:val="Quote Char"/>
    <w:link w:val="843"/>
    <w:uiPriority w:val="29"/>
    <w:rPr>
      <w:i/>
    </w:rPr>
  </w:style>
  <w:style w:type="character" w:styleId="667">
    <w:name w:val="Intense Quote Char"/>
    <w:link w:val="847"/>
    <w:uiPriority w:val="30"/>
    <w:rPr>
      <w:i/>
    </w:rPr>
  </w:style>
  <w:style w:type="paragraph" w:styleId="668">
    <w:name w:val="Header"/>
    <w:basedOn w:val="817"/>
    <w:link w:val="66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69">
    <w:name w:val="Header Char"/>
    <w:basedOn w:val="827"/>
    <w:link w:val="668"/>
    <w:uiPriority w:val="99"/>
  </w:style>
  <w:style w:type="paragraph" w:styleId="670">
    <w:name w:val="Footer"/>
    <w:basedOn w:val="817"/>
    <w:link w:val="671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71">
    <w:name w:val="Footer Char"/>
    <w:basedOn w:val="827"/>
    <w:link w:val="670"/>
    <w:uiPriority w:val="99"/>
  </w:style>
  <w:style w:type="paragraph" w:styleId="672">
    <w:name w:val="Caption"/>
    <w:basedOn w:val="817"/>
    <w:next w:val="817"/>
    <w:link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827"/>
    <w:link w:val="672"/>
    <w:uiPriority w:val="35"/>
    <w:rPr>
      <w:b/>
      <w:bCs/>
      <w:color w:val="4f81bd" w:themeColor="accent1"/>
      <w:sz w:val="18"/>
      <w:szCs w:val="18"/>
    </w:rPr>
  </w:style>
  <w:style w:type="table" w:styleId="674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8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9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1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09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10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11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12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13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14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15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3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4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5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6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7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8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29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3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4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5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6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7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8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0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4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7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1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pPr>
      <w:spacing w:after="40" w:line="240" w:lineRule="auto"/>
    </w:pPr>
    <w:rPr>
      <w:sz w:val="18"/>
    </w:r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27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27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spacing w:after="57"/>
      <w:ind w:left="0" w:right="0" w:firstLine="0"/>
    </w:pPr>
  </w:style>
  <w:style w:type="paragraph" w:styleId="807">
    <w:name w:val="toc 2"/>
    <w:basedOn w:val="817"/>
    <w:next w:val="817"/>
    <w:uiPriority w:val="39"/>
    <w:unhideWhenUsed/>
    <w:pPr>
      <w:spacing w:after="57"/>
      <w:ind w:left="283" w:right="0" w:firstLine="0"/>
    </w:pPr>
  </w:style>
  <w:style w:type="paragraph" w:styleId="808">
    <w:name w:val="toc 3"/>
    <w:basedOn w:val="817"/>
    <w:next w:val="817"/>
    <w:uiPriority w:val="39"/>
    <w:unhideWhenUsed/>
    <w:pPr>
      <w:spacing w:after="57"/>
      <w:ind w:left="567" w:right="0" w:firstLine="0"/>
    </w:pPr>
  </w:style>
  <w:style w:type="paragraph" w:styleId="809">
    <w:name w:val="toc 4"/>
    <w:basedOn w:val="817"/>
    <w:next w:val="817"/>
    <w:uiPriority w:val="39"/>
    <w:unhideWhenUsed/>
    <w:pPr>
      <w:spacing w:after="57"/>
      <w:ind w:left="850" w:right="0" w:firstLine="0"/>
    </w:pPr>
  </w:style>
  <w:style w:type="paragraph" w:styleId="810">
    <w:name w:val="toc 5"/>
    <w:basedOn w:val="817"/>
    <w:next w:val="817"/>
    <w:uiPriority w:val="39"/>
    <w:unhideWhenUsed/>
    <w:pPr>
      <w:spacing w:after="57"/>
      <w:ind w:left="1134" w:right="0" w:firstLine="0"/>
    </w:pPr>
  </w:style>
  <w:style w:type="paragraph" w:styleId="811">
    <w:name w:val="toc 6"/>
    <w:basedOn w:val="817"/>
    <w:next w:val="817"/>
    <w:uiPriority w:val="39"/>
    <w:unhideWhenUsed/>
    <w:pPr>
      <w:spacing w:after="57"/>
      <w:ind w:left="1417" w:right="0" w:firstLine="0"/>
    </w:pPr>
  </w:style>
  <w:style w:type="paragraph" w:styleId="812">
    <w:name w:val="toc 7"/>
    <w:basedOn w:val="817"/>
    <w:next w:val="817"/>
    <w:uiPriority w:val="39"/>
    <w:unhideWhenUsed/>
    <w:pPr>
      <w:spacing w:after="57"/>
      <w:ind w:left="1701" w:right="0" w:firstLine="0"/>
    </w:pPr>
  </w:style>
  <w:style w:type="paragraph" w:styleId="813">
    <w:name w:val="toc 8"/>
    <w:basedOn w:val="817"/>
    <w:next w:val="817"/>
    <w:uiPriority w:val="39"/>
    <w:unhideWhenUsed/>
    <w:pPr>
      <w:spacing w:after="57"/>
      <w:ind w:left="1984" w:right="0" w:firstLine="0"/>
    </w:pPr>
  </w:style>
  <w:style w:type="paragraph" w:styleId="814">
    <w:name w:val="toc 9"/>
    <w:basedOn w:val="817"/>
    <w:next w:val="817"/>
    <w:uiPriority w:val="39"/>
    <w:unhideWhenUsed/>
    <w:pPr>
      <w:spacing w:after="57"/>
      <w:ind w:left="2268" w:right="0" w:firstLine="0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818">
    <w:name w:val="Heading 1"/>
    <w:basedOn w:val="817"/>
    <w:next w:val="817"/>
    <w:link w:val="830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19">
    <w:name w:val="Heading 2"/>
    <w:basedOn w:val="817"/>
    <w:next w:val="817"/>
    <w:link w:val="831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0">
    <w:name w:val="Heading 3"/>
    <w:basedOn w:val="817"/>
    <w:next w:val="817"/>
    <w:link w:val="832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Cs w:val="28"/>
    </w:rPr>
  </w:style>
  <w:style w:type="paragraph" w:styleId="821">
    <w:name w:val="Heading 4"/>
    <w:basedOn w:val="817"/>
    <w:next w:val="817"/>
    <w:link w:val="833"/>
    <w:unhideWhenUsed/>
    <w:qFormat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822">
    <w:name w:val="Heading 5"/>
    <w:basedOn w:val="817"/>
    <w:next w:val="817"/>
    <w:link w:val="834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823">
    <w:name w:val="Heading 6"/>
    <w:basedOn w:val="817"/>
    <w:next w:val="817"/>
    <w:link w:val="835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824">
    <w:name w:val="Heading 7"/>
    <w:basedOn w:val="817"/>
    <w:next w:val="817"/>
    <w:link w:val="836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825">
    <w:name w:val="Heading 8"/>
    <w:basedOn w:val="817"/>
    <w:next w:val="817"/>
    <w:link w:val="837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826">
    <w:name w:val="Heading 9"/>
    <w:basedOn w:val="817"/>
    <w:next w:val="817"/>
    <w:link w:val="838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character" w:styleId="830" w:customStyle="1">
    <w:name w:val="Заголовок 1 Знак"/>
    <w:basedOn w:val="827"/>
    <w:link w:val="81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1" w:customStyle="1">
    <w:name w:val="Заголовок 2 Знак"/>
    <w:basedOn w:val="827"/>
    <w:link w:val="81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32" w:customStyle="1">
    <w:name w:val="Заголовок 3 Знак"/>
    <w:basedOn w:val="827"/>
    <w:link w:val="82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833" w:customStyle="1">
    <w:name w:val="Заголовок 4 Знак"/>
    <w:basedOn w:val="827"/>
    <w:link w:val="821"/>
    <w:rPr>
      <w:rFonts w:eastAsiaTheme="majorEastAsia" w:cstheme="majorBidi"/>
      <w:i/>
      <w:iCs/>
      <w:color w:val="2f5496" w:themeColor="accent1" w:themeShade="BF"/>
      <w:sz w:val="28"/>
    </w:rPr>
  </w:style>
  <w:style w:type="character" w:styleId="834" w:customStyle="1">
    <w:name w:val="Заголовок 5 Знак"/>
    <w:basedOn w:val="827"/>
    <w:link w:val="822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styleId="835" w:customStyle="1">
    <w:name w:val="Заголовок 6 Знак"/>
    <w:basedOn w:val="827"/>
    <w:link w:val="823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styleId="836" w:customStyle="1">
    <w:name w:val="Заголовок 7 Знак"/>
    <w:basedOn w:val="827"/>
    <w:link w:val="824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styleId="837" w:customStyle="1">
    <w:name w:val="Заголовок 8 Знак"/>
    <w:basedOn w:val="827"/>
    <w:link w:val="825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styleId="838" w:customStyle="1">
    <w:name w:val="Заголовок 9 Знак"/>
    <w:basedOn w:val="827"/>
    <w:link w:val="826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839">
    <w:name w:val="Title"/>
    <w:basedOn w:val="817"/>
    <w:next w:val="817"/>
    <w:link w:val="840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0" w:customStyle="1">
    <w:name w:val="Заголовок Знак"/>
    <w:basedOn w:val="827"/>
    <w:link w:val="83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1">
    <w:name w:val="Subtitle"/>
    <w:basedOn w:val="817"/>
    <w:next w:val="817"/>
    <w:link w:val="842"/>
    <w:uiPriority w:val="11"/>
    <w:qFormat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842" w:customStyle="1">
    <w:name w:val="Подзаголовок Знак"/>
    <w:basedOn w:val="827"/>
    <w:link w:val="84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43">
    <w:name w:val="Quote"/>
    <w:basedOn w:val="817"/>
    <w:next w:val="817"/>
    <w:link w:val="84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844" w:customStyle="1">
    <w:name w:val="Цитата 2 Знак"/>
    <w:basedOn w:val="827"/>
    <w:link w:val="84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845">
    <w:name w:val="List Paragraph"/>
    <w:basedOn w:val="817"/>
    <w:uiPriority w:val="34"/>
    <w:qFormat/>
    <w:pPr>
      <w:ind w:left="720"/>
      <w:contextualSpacing/>
    </w:pPr>
  </w:style>
  <w:style w:type="character" w:styleId="846">
    <w:name w:val="Intense Emphasis"/>
    <w:basedOn w:val="827"/>
    <w:uiPriority w:val="21"/>
    <w:qFormat/>
    <w:rPr>
      <w:i/>
      <w:iCs/>
      <w:color w:val="2f5496" w:themeColor="accent1" w:themeShade="BF"/>
    </w:rPr>
  </w:style>
  <w:style w:type="paragraph" w:styleId="847">
    <w:name w:val="Intense Quote"/>
    <w:basedOn w:val="817"/>
    <w:next w:val="817"/>
    <w:link w:val="848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848" w:customStyle="1">
    <w:name w:val="Выделенная цитата Знак"/>
    <w:basedOn w:val="827"/>
    <w:link w:val="847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849">
    <w:name w:val="Intense Reference"/>
    <w:basedOn w:val="827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850" w:customStyle="1">
    <w:name w:val="Заголовок 2 Знак1"/>
    <w:rPr>
      <w:rFonts w:ascii="Times New Roman" w:hAnsi="Times New Roman" w:eastAsia="Times New Roman" w:cs="Times New Roman"/>
      <w:b/>
      <w:bCs/>
      <w:iCs/>
      <w:sz w:val="28"/>
      <w:szCs w:val="28"/>
    </w:rPr>
  </w:style>
  <w:style w:type="table" w:styleId="851" w:customStyle="1">
    <w:name w:val="Сетка таблицы11"/>
    <w:basedOn w:val="828"/>
    <w:next w:val="852"/>
    <w:uiPriority w:val="39"/>
    <w:pPr>
      <w:spacing w:after="0" w:line="240" w:lineRule="auto"/>
    </w:pPr>
    <w:rPr>
      <w:rFonts w:ascii="Calibri" w:hAnsi="Calibri" w:eastAsia="Calibri" w:cs="Times New Roman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2">
    <w:name w:val="Table Grid"/>
    <w:basedOn w:val="828"/>
    <w:uiPriority w:val="39"/>
    <w:semiHidden/>
    <w:unhideWhenUsed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11</cp:revision>
  <dcterms:created xsi:type="dcterms:W3CDTF">2026-04-22T07:03:00Z</dcterms:created>
  <dcterms:modified xsi:type="dcterms:W3CDTF">2026-05-18T11:35:46Z</dcterms:modified>
</cp:coreProperties>
</file>