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813C4C" w14:textId="77777777" w:rsidR="00F76577" w:rsidRPr="00052EEE" w:rsidRDefault="00F76577">
      <w:pPr>
        <w:pStyle w:val="14"/>
        <w:tabs>
          <w:tab w:val="left" w:pos="397"/>
          <w:tab w:val="left" w:pos="1247"/>
        </w:tabs>
        <w:spacing w:before="0" w:line="240" w:lineRule="auto"/>
        <w:ind w:left="397" w:hanging="397"/>
        <w:rPr>
          <w:sz w:val="22"/>
          <w:szCs w:val="22"/>
        </w:rPr>
      </w:pPr>
    </w:p>
    <w:p w14:paraId="54A82C2C" w14:textId="77777777" w:rsidR="00B16826" w:rsidRPr="00052EEE" w:rsidRDefault="00B16826" w:rsidP="00B16826">
      <w:pPr>
        <w:tabs>
          <w:tab w:val="left" w:pos="397"/>
          <w:tab w:val="left" w:pos="1247"/>
        </w:tabs>
        <w:jc w:val="center"/>
        <w:rPr>
          <w:b/>
          <w:sz w:val="22"/>
          <w:szCs w:val="22"/>
        </w:rPr>
      </w:pPr>
      <w:r w:rsidRPr="00052EEE">
        <w:rPr>
          <w:b/>
          <w:sz w:val="22"/>
          <w:szCs w:val="22"/>
        </w:rPr>
        <w:t>Техническое задание</w:t>
      </w:r>
    </w:p>
    <w:p w14:paraId="52B371B8" w14:textId="03948A42" w:rsidR="00B16826" w:rsidRPr="00052EEE" w:rsidRDefault="00B16826" w:rsidP="00B16826">
      <w:pPr>
        <w:ind w:right="-1"/>
        <w:jc w:val="center"/>
        <w:rPr>
          <w:b/>
          <w:sz w:val="22"/>
          <w:szCs w:val="22"/>
        </w:rPr>
      </w:pPr>
      <w:r w:rsidRPr="00052EEE">
        <w:rPr>
          <w:b/>
          <w:sz w:val="22"/>
          <w:szCs w:val="22"/>
        </w:rPr>
        <w:t xml:space="preserve">на </w:t>
      </w:r>
      <w:bookmarkStart w:id="0" w:name="_Hlk230179902"/>
      <w:r w:rsidR="00C91B5D">
        <w:rPr>
          <w:b/>
          <w:sz w:val="22"/>
          <w:szCs w:val="22"/>
        </w:rPr>
        <w:t xml:space="preserve">оказание услуг по </w:t>
      </w:r>
      <w:r w:rsidR="00FA1070">
        <w:rPr>
          <w:b/>
          <w:sz w:val="22"/>
          <w:szCs w:val="22"/>
        </w:rPr>
        <w:t>техни​‌‌﻿​‍⁠​‍​‍‍​​‌​⁠‍​​⁠‌﻿‌‌﻿﻿‍‌‌‌​​‌⁠​​‌﻿​⁠​‌﻿ческо</w:t>
      </w:r>
      <w:r w:rsidR="00C91B5D">
        <w:rPr>
          <w:b/>
          <w:sz w:val="22"/>
          <w:szCs w:val="22"/>
        </w:rPr>
        <w:t>му</w:t>
      </w:r>
      <w:r w:rsidRPr="00052EEE">
        <w:rPr>
          <w:b/>
          <w:sz w:val="22"/>
          <w:szCs w:val="22"/>
        </w:rPr>
        <w:t xml:space="preserve"> обследовани</w:t>
      </w:r>
      <w:r w:rsidR="00C91B5D">
        <w:rPr>
          <w:b/>
          <w:sz w:val="22"/>
          <w:szCs w:val="22"/>
        </w:rPr>
        <w:t>ю</w:t>
      </w:r>
      <w:r w:rsidRPr="00052EEE">
        <w:rPr>
          <w:b/>
          <w:sz w:val="22"/>
          <w:szCs w:val="22"/>
        </w:rPr>
        <w:t xml:space="preserve"> состояния здания (сооружения)</w:t>
      </w:r>
    </w:p>
    <w:bookmarkEnd w:id="0"/>
    <w:p w14:paraId="328510DC" w14:textId="77777777" w:rsidR="00B16826" w:rsidRPr="00052EEE" w:rsidRDefault="00B16826" w:rsidP="00B16826">
      <w:pPr>
        <w:ind w:right="-1"/>
        <w:jc w:val="center"/>
        <w:rPr>
          <w:sz w:val="22"/>
          <w:szCs w:val="22"/>
        </w:rPr>
      </w:pPr>
    </w:p>
    <w:p w14:paraId="6D4117A7" w14:textId="35E48344" w:rsidR="00F76577" w:rsidRPr="00052EEE" w:rsidRDefault="00B16826" w:rsidP="00B16826">
      <w:pPr>
        <w:pStyle w:val="14"/>
        <w:tabs>
          <w:tab w:val="left" w:pos="397"/>
          <w:tab w:val="left" w:pos="1247"/>
        </w:tabs>
        <w:spacing w:before="0" w:line="240" w:lineRule="auto"/>
        <w:ind w:left="397" w:hanging="397"/>
        <w:rPr>
          <w:sz w:val="22"/>
          <w:szCs w:val="22"/>
        </w:rPr>
      </w:pPr>
      <w:r w:rsidRPr="00052EEE">
        <w:rPr>
          <w:i/>
          <w:iCs/>
          <w:sz w:val="22"/>
          <w:szCs w:val="22"/>
          <w:highlight w:val="yellow"/>
        </w:rPr>
        <w:t>ОКПД2-71.20.19.190 Услуги по техническим испытаниям и анализу прочие, не включенные в другие группировки</w:t>
      </w:r>
    </w:p>
    <w:tbl>
      <w:tblPr>
        <w:tblpPr w:leftFromText="180" w:rightFromText="180" w:vertAnchor="text" w:tblpY="1"/>
        <w:tblOverlap w:val="never"/>
        <w:tblW w:w="10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5"/>
        <w:gridCol w:w="7957"/>
      </w:tblGrid>
      <w:tr w:rsidR="00F76577" w:rsidRPr="00052EEE" w14:paraId="2C56CE51" w14:textId="77777777">
        <w:trPr>
          <w:trHeight w:val="262"/>
          <w:tblHeader/>
        </w:trPr>
        <w:tc>
          <w:tcPr>
            <w:tcW w:w="2265" w:type="dxa"/>
            <w:shd w:val="clear" w:color="auto" w:fill="auto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5356038" w14:textId="77777777" w:rsidR="00F76577" w:rsidRPr="00052EEE" w:rsidRDefault="0096281D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052EEE">
              <w:rPr>
                <w:b/>
                <w:sz w:val="22"/>
                <w:szCs w:val="22"/>
              </w:rPr>
              <w:t>Наименование данных</w:t>
            </w:r>
          </w:p>
        </w:tc>
        <w:tc>
          <w:tcPr>
            <w:tcW w:w="7957" w:type="dxa"/>
            <w:shd w:val="clear" w:color="auto" w:fill="auto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BB93C9B" w14:textId="77777777" w:rsidR="00F76577" w:rsidRPr="00052EEE" w:rsidRDefault="0096281D">
            <w:pPr>
              <w:tabs>
                <w:tab w:val="left" w:pos="567"/>
              </w:tabs>
              <w:ind w:left="567" w:hanging="567"/>
              <w:contextualSpacing/>
              <w:jc w:val="center"/>
              <w:rPr>
                <w:b/>
                <w:sz w:val="22"/>
                <w:szCs w:val="22"/>
              </w:rPr>
            </w:pPr>
            <w:r w:rsidRPr="00052EEE">
              <w:rPr>
                <w:b/>
                <w:sz w:val="22"/>
                <w:szCs w:val="22"/>
              </w:rPr>
              <w:t>Основные данные и требования</w:t>
            </w:r>
          </w:p>
        </w:tc>
      </w:tr>
      <w:tr w:rsidR="00F76577" w:rsidRPr="00052EEE" w14:paraId="095CBC16" w14:textId="77777777">
        <w:trPr>
          <w:trHeight w:val="262"/>
        </w:trPr>
        <w:tc>
          <w:tcPr>
            <w:tcW w:w="2265" w:type="dxa"/>
            <w:shd w:val="clear" w:color="auto" w:fill="auto"/>
            <w:noWrap/>
            <w:tcMar>
              <w:top w:w="16" w:type="dxa"/>
              <w:left w:w="57" w:type="dxa"/>
              <w:bottom w:w="0" w:type="dxa"/>
              <w:right w:w="57" w:type="dxa"/>
            </w:tcMar>
          </w:tcPr>
          <w:p w14:paraId="1935C242" w14:textId="77777777" w:rsidR="00F76577" w:rsidRPr="00052EEE" w:rsidRDefault="0096281D">
            <w:pPr>
              <w:pStyle w:val="afff"/>
              <w:numPr>
                <w:ilvl w:val="0"/>
                <w:numId w:val="22"/>
              </w:numPr>
              <w:tabs>
                <w:tab w:val="left" w:pos="366"/>
              </w:tabs>
              <w:ind w:left="366" w:hanging="366"/>
              <w:rPr>
                <w:rFonts w:eastAsia="Arial Unicode MS"/>
                <w:sz w:val="22"/>
                <w:szCs w:val="22"/>
              </w:rPr>
            </w:pPr>
            <w:r w:rsidRPr="00052EEE">
              <w:rPr>
                <w:rFonts w:eastAsia="Arial Unicode MS"/>
                <w:sz w:val="22"/>
                <w:szCs w:val="22"/>
              </w:rPr>
              <w:t>Заказчик</w:t>
            </w:r>
          </w:p>
        </w:tc>
        <w:tc>
          <w:tcPr>
            <w:tcW w:w="7957" w:type="dxa"/>
            <w:shd w:val="clear" w:color="auto" w:fill="auto"/>
            <w:noWrap/>
            <w:tcMar>
              <w:top w:w="16" w:type="dxa"/>
              <w:left w:w="57" w:type="dxa"/>
              <w:bottom w:w="0" w:type="dxa"/>
              <w:right w:w="57" w:type="dxa"/>
            </w:tcMar>
            <w:vAlign w:val="center"/>
          </w:tcPr>
          <w:p w14:paraId="3E6A26BB" w14:textId="7CB2D262" w:rsidR="00F76577" w:rsidRPr="00052EEE" w:rsidRDefault="0096281D">
            <w:pPr>
              <w:pStyle w:val="ab"/>
              <w:widowControl w:val="0"/>
              <w:jc w:val="both"/>
              <w:rPr>
                <w:color w:val="000000"/>
                <w:sz w:val="22"/>
                <w:szCs w:val="22"/>
              </w:rPr>
            </w:pPr>
            <w:r w:rsidRPr="00052EEE">
              <w:rPr>
                <w:color w:val="000000"/>
                <w:sz w:val="22"/>
                <w:szCs w:val="22"/>
              </w:rPr>
              <w:t>Муниципальное автономное дошкольное образовательное учреждение детский сад № 1</w:t>
            </w:r>
            <w:r w:rsidR="00FA1070">
              <w:rPr>
                <w:color w:val="000000"/>
                <w:sz w:val="22"/>
                <w:szCs w:val="22"/>
              </w:rPr>
              <w:t>07</w:t>
            </w:r>
          </w:p>
        </w:tc>
      </w:tr>
      <w:tr w:rsidR="00F76577" w:rsidRPr="00052EEE" w14:paraId="64E12732" w14:textId="77777777">
        <w:trPr>
          <w:trHeight w:val="262"/>
        </w:trPr>
        <w:tc>
          <w:tcPr>
            <w:tcW w:w="2265" w:type="dxa"/>
            <w:shd w:val="clear" w:color="auto" w:fill="auto"/>
            <w:noWrap/>
            <w:tcMar>
              <w:top w:w="16" w:type="dxa"/>
              <w:left w:w="57" w:type="dxa"/>
              <w:bottom w:w="0" w:type="dxa"/>
              <w:right w:w="57" w:type="dxa"/>
            </w:tcMar>
          </w:tcPr>
          <w:p w14:paraId="45A85DE6" w14:textId="77777777" w:rsidR="00F76577" w:rsidRPr="00052EEE" w:rsidRDefault="0096281D">
            <w:pPr>
              <w:pStyle w:val="afff"/>
              <w:numPr>
                <w:ilvl w:val="0"/>
                <w:numId w:val="22"/>
              </w:numPr>
              <w:tabs>
                <w:tab w:val="left" w:pos="366"/>
              </w:tabs>
              <w:ind w:left="366" w:hanging="366"/>
              <w:rPr>
                <w:rFonts w:eastAsia="Arial Unicode MS"/>
                <w:sz w:val="22"/>
                <w:szCs w:val="22"/>
              </w:rPr>
            </w:pPr>
            <w:r w:rsidRPr="00052EEE">
              <w:rPr>
                <w:rFonts w:eastAsia="Arial Unicode MS"/>
                <w:sz w:val="22"/>
                <w:szCs w:val="22"/>
              </w:rPr>
              <w:t>Объект обследования</w:t>
            </w:r>
          </w:p>
        </w:tc>
        <w:tc>
          <w:tcPr>
            <w:tcW w:w="7957" w:type="dxa"/>
            <w:shd w:val="clear" w:color="auto" w:fill="auto"/>
            <w:noWrap/>
            <w:tcMar>
              <w:top w:w="16" w:type="dxa"/>
              <w:left w:w="57" w:type="dxa"/>
              <w:bottom w:w="0" w:type="dxa"/>
              <w:right w:w="57" w:type="dxa"/>
            </w:tcMar>
            <w:vAlign w:val="center"/>
          </w:tcPr>
          <w:p w14:paraId="67272C73" w14:textId="58AC0F12" w:rsidR="00F76577" w:rsidRPr="00052EEE" w:rsidRDefault="00FA1070">
            <w:pPr>
              <w:pStyle w:val="ab"/>
              <w:widowControl w:val="0"/>
              <w:jc w:val="both"/>
              <w:rPr>
                <w:color w:val="000000"/>
                <w:sz w:val="22"/>
                <w:szCs w:val="22"/>
              </w:rPr>
            </w:pPr>
            <w:r w:rsidRPr="00052EEE">
              <w:rPr>
                <w:color w:val="000000"/>
                <w:sz w:val="22"/>
                <w:szCs w:val="22"/>
              </w:rPr>
              <w:t>Муниципальное автономное дошкольное образовательное учреждение детский сад № 1</w:t>
            </w:r>
            <w:r>
              <w:rPr>
                <w:color w:val="000000"/>
                <w:sz w:val="22"/>
                <w:szCs w:val="22"/>
              </w:rPr>
              <w:t>07</w:t>
            </w:r>
          </w:p>
        </w:tc>
      </w:tr>
      <w:tr w:rsidR="00F76577" w:rsidRPr="00052EEE" w14:paraId="6A8C4D28" w14:textId="77777777">
        <w:trPr>
          <w:trHeight w:val="262"/>
        </w:trPr>
        <w:tc>
          <w:tcPr>
            <w:tcW w:w="2265" w:type="dxa"/>
            <w:shd w:val="clear" w:color="auto" w:fill="auto"/>
            <w:noWrap/>
            <w:tcMar>
              <w:top w:w="16" w:type="dxa"/>
              <w:left w:w="57" w:type="dxa"/>
              <w:bottom w:w="0" w:type="dxa"/>
              <w:right w:w="57" w:type="dxa"/>
            </w:tcMar>
          </w:tcPr>
          <w:p w14:paraId="2CA986D3" w14:textId="77777777" w:rsidR="00F76577" w:rsidRPr="00052EEE" w:rsidRDefault="0096281D">
            <w:pPr>
              <w:pStyle w:val="afff"/>
              <w:numPr>
                <w:ilvl w:val="0"/>
                <w:numId w:val="22"/>
              </w:numPr>
              <w:tabs>
                <w:tab w:val="left" w:pos="366"/>
              </w:tabs>
              <w:ind w:left="366" w:hanging="366"/>
              <w:rPr>
                <w:rFonts w:eastAsia="Arial Unicode MS"/>
                <w:sz w:val="22"/>
                <w:szCs w:val="22"/>
              </w:rPr>
            </w:pPr>
            <w:r w:rsidRPr="00052EEE">
              <w:rPr>
                <w:rFonts w:eastAsia="Arial Unicode MS"/>
                <w:sz w:val="22"/>
                <w:szCs w:val="22"/>
              </w:rPr>
              <w:t>Адрес расположения объекта обследования</w:t>
            </w:r>
          </w:p>
        </w:tc>
        <w:tc>
          <w:tcPr>
            <w:tcW w:w="7957" w:type="dxa"/>
            <w:shd w:val="clear" w:color="auto" w:fill="auto"/>
            <w:noWrap/>
            <w:tcMar>
              <w:top w:w="16" w:type="dxa"/>
              <w:left w:w="57" w:type="dxa"/>
              <w:bottom w:w="0" w:type="dxa"/>
              <w:right w:w="57" w:type="dxa"/>
            </w:tcMar>
          </w:tcPr>
          <w:p w14:paraId="15189156" w14:textId="17B01AA1" w:rsidR="00F76577" w:rsidRPr="00052EEE" w:rsidRDefault="00FA1070" w:rsidP="00B16826">
            <w:pPr>
              <w:widowControl w:val="0"/>
              <w:jc w:val="both"/>
              <w:rPr>
                <w:sz w:val="22"/>
                <w:szCs w:val="22"/>
              </w:rPr>
            </w:pPr>
            <w:bookmarkStart w:id="1" w:name="_Hlk230181614"/>
            <w:r w:rsidRPr="00FA1070">
              <w:rPr>
                <w:sz w:val="22"/>
                <w:szCs w:val="22"/>
              </w:rPr>
              <w:t>г. Екатеринбург, ул. Таганская, 85</w:t>
            </w:r>
            <w:bookmarkEnd w:id="1"/>
          </w:p>
        </w:tc>
      </w:tr>
      <w:tr w:rsidR="009C3775" w:rsidRPr="00052EEE" w14:paraId="236A274B" w14:textId="77777777">
        <w:trPr>
          <w:trHeight w:val="262"/>
        </w:trPr>
        <w:tc>
          <w:tcPr>
            <w:tcW w:w="2265" w:type="dxa"/>
            <w:shd w:val="clear" w:color="auto" w:fill="auto"/>
            <w:noWrap/>
            <w:tcMar>
              <w:top w:w="16" w:type="dxa"/>
              <w:left w:w="57" w:type="dxa"/>
              <w:bottom w:w="0" w:type="dxa"/>
              <w:right w:w="57" w:type="dxa"/>
            </w:tcMar>
          </w:tcPr>
          <w:p w14:paraId="00C540AB" w14:textId="2990AF26" w:rsidR="009C3775" w:rsidRPr="00052EEE" w:rsidRDefault="009C3775" w:rsidP="009C3775">
            <w:pPr>
              <w:pStyle w:val="afff"/>
              <w:numPr>
                <w:ilvl w:val="0"/>
                <w:numId w:val="22"/>
              </w:numPr>
              <w:tabs>
                <w:tab w:val="left" w:pos="366"/>
              </w:tabs>
              <w:ind w:left="366" w:hanging="366"/>
              <w:rPr>
                <w:rFonts w:eastAsia="Arial Unicode MS"/>
                <w:sz w:val="22"/>
                <w:szCs w:val="22"/>
              </w:rPr>
            </w:pPr>
            <w:r w:rsidRPr="00052EEE">
              <w:rPr>
                <w:rFonts w:eastAsia="Arial Unicode MS"/>
                <w:sz w:val="22"/>
                <w:szCs w:val="22"/>
              </w:rPr>
              <w:t>Сроки оказания услуг</w:t>
            </w:r>
          </w:p>
        </w:tc>
        <w:tc>
          <w:tcPr>
            <w:tcW w:w="7957" w:type="dxa"/>
            <w:shd w:val="clear" w:color="auto" w:fill="auto"/>
            <w:noWrap/>
            <w:tcMar>
              <w:top w:w="16" w:type="dxa"/>
              <w:left w:w="57" w:type="dxa"/>
              <w:bottom w:w="0" w:type="dxa"/>
              <w:right w:w="57" w:type="dxa"/>
            </w:tcMar>
          </w:tcPr>
          <w:p w14:paraId="2A4E9300" w14:textId="2800AF16" w:rsidR="009C3775" w:rsidRPr="00052EEE" w:rsidRDefault="009C3775" w:rsidP="009C3775">
            <w:pPr>
              <w:widowControl w:val="0"/>
              <w:jc w:val="both"/>
              <w:rPr>
                <w:sz w:val="22"/>
                <w:szCs w:val="22"/>
              </w:rPr>
            </w:pPr>
            <w:bookmarkStart w:id="2" w:name="_Hlk230181633"/>
            <w:r w:rsidRPr="00052EEE">
              <w:rPr>
                <w:sz w:val="22"/>
                <w:szCs w:val="22"/>
              </w:rPr>
              <w:t>С даты заключения контракта в течение 3</w:t>
            </w:r>
            <w:r w:rsidR="00FA1070">
              <w:rPr>
                <w:sz w:val="22"/>
                <w:szCs w:val="22"/>
              </w:rPr>
              <w:t>5</w:t>
            </w:r>
            <w:r w:rsidRPr="00052EEE">
              <w:rPr>
                <w:sz w:val="22"/>
                <w:szCs w:val="22"/>
              </w:rPr>
              <w:t xml:space="preserve"> рабочих дней.</w:t>
            </w:r>
            <w:bookmarkEnd w:id="2"/>
          </w:p>
        </w:tc>
      </w:tr>
      <w:tr w:rsidR="009C3775" w:rsidRPr="00052EEE" w14:paraId="27576469" w14:textId="77777777">
        <w:trPr>
          <w:trHeight w:val="262"/>
        </w:trPr>
        <w:tc>
          <w:tcPr>
            <w:tcW w:w="2265" w:type="dxa"/>
            <w:shd w:val="clear" w:color="auto" w:fill="auto"/>
            <w:noWrap/>
            <w:tcMar>
              <w:top w:w="16" w:type="dxa"/>
              <w:left w:w="57" w:type="dxa"/>
              <w:bottom w:w="0" w:type="dxa"/>
              <w:right w:w="57" w:type="dxa"/>
            </w:tcMar>
          </w:tcPr>
          <w:p w14:paraId="2378EB39" w14:textId="77777777" w:rsidR="009C3775" w:rsidRPr="00052EEE" w:rsidRDefault="009C3775" w:rsidP="009C3775">
            <w:pPr>
              <w:pStyle w:val="afff"/>
              <w:numPr>
                <w:ilvl w:val="0"/>
                <w:numId w:val="22"/>
              </w:numPr>
              <w:tabs>
                <w:tab w:val="left" w:pos="366"/>
              </w:tabs>
              <w:ind w:left="366" w:hanging="366"/>
              <w:rPr>
                <w:rFonts w:eastAsia="Arial Unicode MS"/>
                <w:sz w:val="22"/>
                <w:szCs w:val="22"/>
              </w:rPr>
            </w:pPr>
            <w:r w:rsidRPr="00052EEE">
              <w:rPr>
                <w:rFonts w:eastAsia="Arial Unicode MS"/>
                <w:sz w:val="22"/>
                <w:szCs w:val="22"/>
              </w:rPr>
              <w:t>Цель</w:t>
            </w:r>
          </w:p>
        </w:tc>
        <w:tc>
          <w:tcPr>
            <w:tcW w:w="7957" w:type="dxa"/>
            <w:shd w:val="clear" w:color="auto" w:fill="auto"/>
            <w:noWrap/>
            <w:tcMar>
              <w:top w:w="16" w:type="dxa"/>
              <w:left w:w="57" w:type="dxa"/>
              <w:bottom w:w="0" w:type="dxa"/>
              <w:right w:w="57" w:type="dxa"/>
            </w:tcMar>
          </w:tcPr>
          <w:p w14:paraId="72426330" w14:textId="105E04DF" w:rsidR="00FA1070" w:rsidRPr="00FA1070" w:rsidRDefault="00FA1070" w:rsidP="00FA1070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  <w:r w:rsidRPr="00FA1070">
              <w:rPr>
                <w:rFonts w:ascii="Cambria Math" w:hAnsi="Cambria Math" w:cs="Cambria Math"/>
                <w:sz w:val="22"/>
                <w:szCs w:val="22"/>
              </w:rPr>
              <w:t>⎯</w:t>
            </w:r>
            <w:r w:rsidRPr="00FA1070">
              <w:rPr>
                <w:sz w:val="22"/>
                <w:szCs w:val="22"/>
              </w:rPr>
              <w:t xml:space="preserve"> Определение технического состояния строительных конструкций здания.</w:t>
            </w:r>
          </w:p>
          <w:p w14:paraId="2CA74038" w14:textId="125034A1" w:rsidR="009C3775" w:rsidRPr="00FA1070" w:rsidRDefault="00FA1070" w:rsidP="00FA1070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  <w:r w:rsidRPr="00FA1070">
              <w:rPr>
                <w:rFonts w:ascii="Cambria Math" w:hAnsi="Cambria Math" w:cs="Cambria Math"/>
                <w:sz w:val="22"/>
                <w:szCs w:val="22"/>
              </w:rPr>
              <w:t>⎯</w:t>
            </w:r>
            <w:r w:rsidRPr="00FA1070">
              <w:rPr>
                <w:sz w:val="22"/>
                <w:szCs w:val="22"/>
              </w:rPr>
              <w:t xml:space="preserve"> Рекомендации по устранению выявленных дефектов и повреждений для их дальнейшей надежной и безопасной эксплуатации и/или для последующего проектирования и строительства.</w:t>
            </w:r>
          </w:p>
        </w:tc>
      </w:tr>
      <w:tr w:rsidR="009C3775" w:rsidRPr="00052EEE" w14:paraId="3C19A578" w14:textId="77777777">
        <w:trPr>
          <w:trHeight w:val="262"/>
        </w:trPr>
        <w:tc>
          <w:tcPr>
            <w:tcW w:w="2265" w:type="dxa"/>
            <w:shd w:val="clear" w:color="auto" w:fill="auto"/>
            <w:noWrap/>
            <w:tcMar>
              <w:top w:w="16" w:type="dxa"/>
              <w:left w:w="57" w:type="dxa"/>
              <w:bottom w:w="0" w:type="dxa"/>
              <w:right w:w="57" w:type="dxa"/>
            </w:tcMar>
          </w:tcPr>
          <w:p w14:paraId="2FA0F848" w14:textId="77777777" w:rsidR="009C3775" w:rsidRPr="00052EEE" w:rsidRDefault="009C3775" w:rsidP="009C3775">
            <w:pPr>
              <w:pStyle w:val="afff"/>
              <w:numPr>
                <w:ilvl w:val="0"/>
                <w:numId w:val="22"/>
              </w:numPr>
              <w:tabs>
                <w:tab w:val="left" w:pos="366"/>
              </w:tabs>
              <w:ind w:left="366" w:hanging="366"/>
              <w:rPr>
                <w:rFonts w:eastAsia="Arial Unicode MS"/>
                <w:sz w:val="22"/>
                <w:szCs w:val="22"/>
              </w:rPr>
            </w:pPr>
            <w:r w:rsidRPr="00052EEE">
              <w:rPr>
                <w:rFonts w:eastAsia="Arial Unicode MS"/>
                <w:sz w:val="22"/>
                <w:szCs w:val="22"/>
              </w:rPr>
              <w:t>Конструкции и элементы здания, подлежащие обследованию</w:t>
            </w:r>
          </w:p>
        </w:tc>
        <w:tc>
          <w:tcPr>
            <w:tcW w:w="7957" w:type="dxa"/>
            <w:shd w:val="clear" w:color="auto" w:fill="auto"/>
            <w:noWrap/>
            <w:tcMar>
              <w:top w:w="16" w:type="dxa"/>
              <w:left w:w="57" w:type="dxa"/>
              <w:bottom w:w="0" w:type="dxa"/>
              <w:right w:w="57" w:type="dxa"/>
            </w:tcMar>
          </w:tcPr>
          <w:p w14:paraId="3EAB260A" w14:textId="77777777" w:rsidR="00FA1070" w:rsidRPr="00FA1070" w:rsidRDefault="00FA1070" w:rsidP="00FA1070">
            <w:pPr>
              <w:tabs>
                <w:tab w:val="left" w:pos="246"/>
              </w:tabs>
              <w:jc w:val="both"/>
              <w:rPr>
                <w:sz w:val="22"/>
                <w:szCs w:val="22"/>
              </w:rPr>
            </w:pPr>
            <w:r w:rsidRPr="00FA1070">
              <w:rPr>
                <w:sz w:val="22"/>
                <w:szCs w:val="22"/>
              </w:rPr>
              <w:t>фундамент (с доступных мест для визуального обследования);</w:t>
            </w:r>
          </w:p>
          <w:p w14:paraId="46DF1C62" w14:textId="5BFC2B07" w:rsidR="00FA1070" w:rsidRPr="00FA1070" w:rsidRDefault="00FA1070" w:rsidP="00FA1070">
            <w:pPr>
              <w:tabs>
                <w:tab w:val="left" w:pos="246"/>
              </w:tabs>
              <w:jc w:val="both"/>
              <w:rPr>
                <w:sz w:val="22"/>
                <w:szCs w:val="22"/>
              </w:rPr>
            </w:pPr>
            <w:r w:rsidRPr="00FA1070">
              <w:rPr>
                <w:sz w:val="22"/>
                <w:szCs w:val="22"/>
              </w:rPr>
              <w:t xml:space="preserve"> конструкции стен и перегородок;</w:t>
            </w:r>
          </w:p>
          <w:p w14:paraId="7850B1C4" w14:textId="6CB3DF02" w:rsidR="00FA1070" w:rsidRPr="00FA1070" w:rsidRDefault="00FA1070" w:rsidP="00FA1070">
            <w:pPr>
              <w:tabs>
                <w:tab w:val="left" w:pos="246"/>
              </w:tabs>
              <w:jc w:val="both"/>
              <w:rPr>
                <w:sz w:val="22"/>
                <w:szCs w:val="22"/>
              </w:rPr>
            </w:pPr>
            <w:r w:rsidRPr="00FA1070">
              <w:rPr>
                <w:sz w:val="22"/>
                <w:szCs w:val="22"/>
              </w:rPr>
              <w:t xml:space="preserve"> конструкции перекрытий и полов;</w:t>
            </w:r>
          </w:p>
          <w:p w14:paraId="464765D0" w14:textId="4AA88A5E" w:rsidR="009C3775" w:rsidRPr="00052EEE" w:rsidRDefault="00FA1070" w:rsidP="00FA1070">
            <w:pPr>
              <w:pStyle w:val="afff"/>
              <w:tabs>
                <w:tab w:val="left" w:pos="246"/>
              </w:tabs>
              <w:ind w:left="0"/>
              <w:jc w:val="both"/>
              <w:rPr>
                <w:sz w:val="22"/>
                <w:szCs w:val="22"/>
              </w:rPr>
            </w:pPr>
            <w:r w:rsidRPr="00FA1070">
              <w:rPr>
                <w:sz w:val="22"/>
                <w:szCs w:val="22"/>
              </w:rPr>
              <w:t xml:space="preserve"> конструкции крыши и </w:t>
            </w:r>
            <w:proofErr w:type="spellStart"/>
            <w:proofErr w:type="gramStart"/>
            <w:r w:rsidRPr="00FA1070">
              <w:rPr>
                <w:sz w:val="22"/>
                <w:szCs w:val="22"/>
              </w:rPr>
              <w:t>кровли.</w:t>
            </w:r>
            <w:r w:rsidR="009C3775" w:rsidRPr="00052EEE">
              <w:rPr>
                <w:sz w:val="22"/>
                <w:szCs w:val="22"/>
              </w:rPr>
              <w:t>и</w:t>
            </w:r>
            <w:proofErr w:type="spellEnd"/>
            <w:proofErr w:type="gramEnd"/>
            <w:r w:rsidR="009C3775" w:rsidRPr="00052EEE">
              <w:rPr>
                <w:sz w:val="22"/>
                <w:szCs w:val="22"/>
              </w:rPr>
              <w:t xml:space="preserve"> пр.</w:t>
            </w:r>
          </w:p>
        </w:tc>
      </w:tr>
      <w:tr w:rsidR="009C3775" w:rsidRPr="00052EEE" w14:paraId="12C23401" w14:textId="77777777">
        <w:trPr>
          <w:trHeight w:val="262"/>
        </w:trPr>
        <w:tc>
          <w:tcPr>
            <w:tcW w:w="2265" w:type="dxa"/>
            <w:shd w:val="clear" w:color="auto" w:fill="auto"/>
            <w:noWrap/>
            <w:tcMar>
              <w:top w:w="16" w:type="dxa"/>
              <w:left w:w="57" w:type="dxa"/>
              <w:bottom w:w="0" w:type="dxa"/>
              <w:right w:w="57" w:type="dxa"/>
            </w:tcMar>
          </w:tcPr>
          <w:p w14:paraId="5E591B89" w14:textId="77777777" w:rsidR="009C3775" w:rsidRPr="00052EEE" w:rsidRDefault="009C3775" w:rsidP="009C3775">
            <w:pPr>
              <w:pStyle w:val="afff"/>
              <w:numPr>
                <w:ilvl w:val="0"/>
                <w:numId w:val="22"/>
              </w:numPr>
              <w:tabs>
                <w:tab w:val="left" w:pos="366"/>
              </w:tabs>
              <w:ind w:left="366" w:right="-76" w:hanging="366"/>
              <w:rPr>
                <w:rFonts w:eastAsia="Arial Unicode MS"/>
                <w:sz w:val="22"/>
                <w:szCs w:val="22"/>
              </w:rPr>
            </w:pPr>
            <w:r w:rsidRPr="00052EEE">
              <w:rPr>
                <w:rFonts w:eastAsia="Arial Unicode MS"/>
                <w:sz w:val="22"/>
                <w:szCs w:val="22"/>
              </w:rPr>
              <w:t>Исходные данные, предоставляемые Заказчиком</w:t>
            </w:r>
          </w:p>
        </w:tc>
        <w:tc>
          <w:tcPr>
            <w:tcW w:w="7957" w:type="dxa"/>
            <w:shd w:val="clear" w:color="auto" w:fill="auto"/>
            <w:noWrap/>
            <w:tcMar>
              <w:top w:w="16" w:type="dxa"/>
              <w:left w:w="57" w:type="dxa"/>
              <w:bottom w:w="0" w:type="dxa"/>
              <w:right w:w="57" w:type="dxa"/>
            </w:tcMar>
          </w:tcPr>
          <w:p w14:paraId="1B822C91" w14:textId="77777777" w:rsidR="009C3775" w:rsidRPr="00052EEE" w:rsidRDefault="009C3775" w:rsidP="009C3775">
            <w:pPr>
              <w:pStyle w:val="afff"/>
              <w:ind w:left="0"/>
              <w:jc w:val="both"/>
              <w:rPr>
                <w:sz w:val="22"/>
                <w:szCs w:val="22"/>
              </w:rPr>
            </w:pPr>
            <w:r w:rsidRPr="00052EEE">
              <w:rPr>
                <w:sz w:val="22"/>
                <w:szCs w:val="22"/>
              </w:rPr>
              <w:t>- Технический паспорт;</w:t>
            </w:r>
          </w:p>
          <w:p w14:paraId="6BF46953" w14:textId="77777777" w:rsidR="009C3775" w:rsidRPr="00052EEE" w:rsidRDefault="009C3775" w:rsidP="009C3775">
            <w:pPr>
              <w:pStyle w:val="afff"/>
              <w:ind w:left="0"/>
              <w:jc w:val="both"/>
              <w:rPr>
                <w:sz w:val="22"/>
                <w:szCs w:val="22"/>
              </w:rPr>
            </w:pPr>
            <w:r w:rsidRPr="00052EEE">
              <w:rPr>
                <w:sz w:val="22"/>
                <w:szCs w:val="22"/>
              </w:rPr>
              <w:t>- документация, полученная от государственных или муниципальных органов или ресурсоснабжающих организаций, о месте и мощности подводки электроэнергии, воды, тепловой энергии, газа и отвода канализации (акты балансового разграничения инженерных сетей);</w:t>
            </w:r>
          </w:p>
          <w:p w14:paraId="1A798D44" w14:textId="77777777" w:rsidR="009C3775" w:rsidRPr="00052EEE" w:rsidRDefault="009C3775" w:rsidP="009C3775">
            <w:pPr>
              <w:pStyle w:val="afff"/>
              <w:ind w:left="0"/>
              <w:jc w:val="both"/>
              <w:rPr>
                <w:sz w:val="22"/>
                <w:szCs w:val="22"/>
              </w:rPr>
            </w:pPr>
            <w:r w:rsidRPr="00052EEE">
              <w:rPr>
                <w:sz w:val="22"/>
                <w:szCs w:val="22"/>
              </w:rPr>
              <w:t>- имеющиеся предписания государственных и муниципальных органов.</w:t>
            </w:r>
          </w:p>
          <w:p w14:paraId="442D23C6" w14:textId="05B4D38C" w:rsidR="009C3775" w:rsidRPr="00052EEE" w:rsidRDefault="009C3775" w:rsidP="009C3775">
            <w:pPr>
              <w:pStyle w:val="afff"/>
              <w:ind w:left="0"/>
              <w:jc w:val="both"/>
              <w:rPr>
                <w:sz w:val="22"/>
                <w:szCs w:val="22"/>
              </w:rPr>
            </w:pPr>
            <w:r w:rsidRPr="00052EEE">
              <w:rPr>
                <w:sz w:val="22"/>
                <w:szCs w:val="22"/>
              </w:rPr>
              <w:t xml:space="preserve">Исходные данные предоставляются Исполнителю/Подрядчику после заключения </w:t>
            </w:r>
            <w:r w:rsidR="00FA1070">
              <w:rPr>
                <w:sz w:val="22"/>
                <w:szCs w:val="22"/>
              </w:rPr>
              <w:t>Договора</w:t>
            </w:r>
            <w:r w:rsidRPr="00052EEE">
              <w:rPr>
                <w:sz w:val="22"/>
                <w:szCs w:val="22"/>
              </w:rPr>
              <w:t xml:space="preserve">. </w:t>
            </w:r>
          </w:p>
        </w:tc>
      </w:tr>
      <w:tr w:rsidR="009C3775" w:rsidRPr="00052EEE" w14:paraId="4A23CE68" w14:textId="77777777">
        <w:trPr>
          <w:trHeight w:val="328"/>
        </w:trPr>
        <w:tc>
          <w:tcPr>
            <w:tcW w:w="2265" w:type="dxa"/>
            <w:shd w:val="clear" w:color="auto" w:fill="auto"/>
            <w:noWrap/>
            <w:tcMar>
              <w:top w:w="16" w:type="dxa"/>
              <w:left w:w="57" w:type="dxa"/>
              <w:bottom w:w="0" w:type="dxa"/>
              <w:right w:w="57" w:type="dxa"/>
            </w:tcMar>
          </w:tcPr>
          <w:p w14:paraId="1BF84F55" w14:textId="77777777" w:rsidR="009C3775" w:rsidRPr="00052EEE" w:rsidRDefault="009C3775" w:rsidP="009C3775">
            <w:pPr>
              <w:pStyle w:val="afff"/>
              <w:numPr>
                <w:ilvl w:val="0"/>
                <w:numId w:val="22"/>
              </w:numPr>
              <w:tabs>
                <w:tab w:val="left" w:pos="366"/>
              </w:tabs>
              <w:ind w:left="366" w:hanging="366"/>
              <w:rPr>
                <w:sz w:val="22"/>
                <w:szCs w:val="22"/>
              </w:rPr>
            </w:pPr>
            <w:r w:rsidRPr="00052EEE">
              <w:rPr>
                <w:sz w:val="22"/>
                <w:szCs w:val="22"/>
              </w:rPr>
              <w:t xml:space="preserve">Содержание </w:t>
            </w:r>
            <w:r w:rsidRPr="00052EEE">
              <w:rPr>
                <w:rFonts w:eastAsia="Arial Unicode MS"/>
                <w:sz w:val="22"/>
                <w:szCs w:val="22"/>
              </w:rPr>
              <w:t>оказываемых</w:t>
            </w:r>
            <w:r w:rsidRPr="00052EEE">
              <w:rPr>
                <w:sz w:val="22"/>
                <w:szCs w:val="22"/>
              </w:rPr>
              <w:t xml:space="preserve"> услуг</w:t>
            </w:r>
          </w:p>
        </w:tc>
        <w:tc>
          <w:tcPr>
            <w:tcW w:w="7957" w:type="dxa"/>
            <w:shd w:val="clear" w:color="auto" w:fill="auto"/>
            <w:noWrap/>
            <w:tcMar>
              <w:top w:w="16" w:type="dxa"/>
              <w:left w:w="57" w:type="dxa"/>
              <w:bottom w:w="0" w:type="dxa"/>
              <w:right w:w="57" w:type="dxa"/>
            </w:tcMar>
          </w:tcPr>
          <w:p w14:paraId="7F77734F" w14:textId="77777777" w:rsidR="00FA1070" w:rsidRPr="00FA1070" w:rsidRDefault="00FA1070" w:rsidP="00FA1070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  <w:r w:rsidRPr="00FA1070">
              <w:rPr>
                <w:sz w:val="22"/>
                <w:szCs w:val="22"/>
              </w:rPr>
              <w:t>Обследование выполняется согласно ГОСТ 31937-2024 и включает:</w:t>
            </w:r>
          </w:p>
          <w:p w14:paraId="248F89F9" w14:textId="77777777" w:rsidR="00FA1070" w:rsidRPr="00FA1070" w:rsidRDefault="00FA1070" w:rsidP="00FA1070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  <w:r w:rsidRPr="00FA1070">
              <w:rPr>
                <w:sz w:val="22"/>
                <w:szCs w:val="22"/>
              </w:rPr>
              <w:t>1. Подготовка к проведению обследования.</w:t>
            </w:r>
          </w:p>
          <w:p w14:paraId="31ACDB11" w14:textId="77777777" w:rsidR="00FA1070" w:rsidRPr="00FA1070" w:rsidRDefault="00FA1070" w:rsidP="00FA1070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  <w:r w:rsidRPr="00FA1070">
              <w:rPr>
                <w:sz w:val="22"/>
                <w:szCs w:val="22"/>
              </w:rPr>
              <w:t>♦ сбор и анализ исходной документации по объекту;</w:t>
            </w:r>
          </w:p>
          <w:p w14:paraId="4F5CEB33" w14:textId="77777777" w:rsidR="00FA1070" w:rsidRPr="00FA1070" w:rsidRDefault="00FA1070" w:rsidP="00FA1070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  <w:r w:rsidRPr="00FA1070">
              <w:rPr>
                <w:sz w:val="22"/>
                <w:szCs w:val="22"/>
              </w:rPr>
              <w:t>♦ ознакомление с объектом обследования, выявление его конструктивных и объемно-планировочных решений, используемых строительных материалов в составе основных конструкций.</w:t>
            </w:r>
          </w:p>
          <w:p w14:paraId="3AB7DD11" w14:textId="77777777" w:rsidR="00FA1070" w:rsidRPr="00FA1070" w:rsidRDefault="00FA1070" w:rsidP="00FA1070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  <w:r w:rsidRPr="00FA1070">
              <w:rPr>
                <w:sz w:val="22"/>
                <w:szCs w:val="22"/>
              </w:rPr>
              <w:t>2. Выполнение предварительного (визуального) обследования технического состояния объекта с фотофиксацией обнаруженных дефектов и повреждений, включая:</w:t>
            </w:r>
          </w:p>
          <w:p w14:paraId="3AA8B157" w14:textId="77777777" w:rsidR="00FA1070" w:rsidRPr="00FA1070" w:rsidRDefault="00FA1070" w:rsidP="00FA1070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  <w:r w:rsidRPr="00FA1070">
              <w:rPr>
                <w:sz w:val="22"/>
                <w:szCs w:val="22"/>
              </w:rPr>
              <w:t>♦ оценку условий эксплуатации объекта с выявлением неблагоприятных факторов;</w:t>
            </w:r>
          </w:p>
          <w:p w14:paraId="74A81A1D" w14:textId="77777777" w:rsidR="00FA1070" w:rsidRPr="00FA1070" w:rsidRDefault="00FA1070" w:rsidP="00FA1070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  <w:r w:rsidRPr="00FA1070">
              <w:rPr>
                <w:sz w:val="22"/>
                <w:szCs w:val="22"/>
              </w:rPr>
              <w:t>♦ установление аварийных участков (при наличии) и визуально-диагностируемых деформаций;</w:t>
            </w:r>
          </w:p>
          <w:p w14:paraId="6FFEBD9F" w14:textId="77777777" w:rsidR="00FA1070" w:rsidRPr="00FA1070" w:rsidRDefault="00FA1070" w:rsidP="00FA1070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  <w:r w:rsidRPr="00FA1070">
              <w:rPr>
                <w:sz w:val="22"/>
                <w:szCs w:val="22"/>
              </w:rPr>
              <w:t>♦ освидетельствование доступных для визуального осмотра дефектов и повреждений строительных конструкций;</w:t>
            </w:r>
          </w:p>
          <w:p w14:paraId="1ABD7CF7" w14:textId="77777777" w:rsidR="00FA1070" w:rsidRPr="00FA1070" w:rsidRDefault="00FA1070" w:rsidP="00FA1070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  <w:r w:rsidRPr="00FA1070">
              <w:rPr>
                <w:sz w:val="22"/>
                <w:szCs w:val="22"/>
              </w:rPr>
              <w:t>♦ фотофиксацию основных характерных дефектов и повреждений обследуемых конструкций;</w:t>
            </w:r>
          </w:p>
          <w:p w14:paraId="726FE179" w14:textId="77777777" w:rsidR="00FA1070" w:rsidRPr="00FA1070" w:rsidRDefault="00FA1070" w:rsidP="00FA1070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  <w:r w:rsidRPr="00FA1070">
              <w:rPr>
                <w:sz w:val="22"/>
                <w:szCs w:val="22"/>
              </w:rPr>
              <w:t>♦ предварительную оценку технического состояния конструкций и их эксплуатационной пригодности;</w:t>
            </w:r>
          </w:p>
          <w:p w14:paraId="6D6B5835" w14:textId="4929E5AE" w:rsidR="009C3775" w:rsidRPr="00FA1070" w:rsidRDefault="00FA1070" w:rsidP="00FA1070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  <w:r w:rsidRPr="00FA1070">
              <w:rPr>
                <w:sz w:val="22"/>
                <w:szCs w:val="22"/>
              </w:rPr>
              <w:t>♦ обработку материалов обследования с выявлением основных причин и факторов, негативно влияющих на техническое состояние строительных конструкций.</w:t>
            </w:r>
          </w:p>
        </w:tc>
      </w:tr>
      <w:tr w:rsidR="009C3775" w:rsidRPr="00052EEE" w14:paraId="4F20A6ED" w14:textId="77777777">
        <w:trPr>
          <w:trHeight w:val="328"/>
        </w:trPr>
        <w:tc>
          <w:tcPr>
            <w:tcW w:w="2265" w:type="dxa"/>
            <w:shd w:val="clear" w:color="auto" w:fill="auto"/>
            <w:noWrap/>
            <w:tcMar>
              <w:top w:w="16" w:type="dxa"/>
              <w:left w:w="57" w:type="dxa"/>
              <w:bottom w:w="0" w:type="dxa"/>
              <w:right w:w="57" w:type="dxa"/>
            </w:tcMar>
          </w:tcPr>
          <w:p w14:paraId="5AB24E03" w14:textId="77777777" w:rsidR="009C3775" w:rsidRPr="00052EEE" w:rsidRDefault="009C3775" w:rsidP="009C3775">
            <w:pPr>
              <w:pStyle w:val="afff"/>
              <w:numPr>
                <w:ilvl w:val="0"/>
                <w:numId w:val="22"/>
              </w:numPr>
              <w:tabs>
                <w:tab w:val="left" w:pos="366"/>
              </w:tabs>
              <w:ind w:left="366" w:hanging="366"/>
              <w:rPr>
                <w:sz w:val="22"/>
                <w:szCs w:val="22"/>
              </w:rPr>
            </w:pPr>
            <w:r w:rsidRPr="00052EEE">
              <w:rPr>
                <w:sz w:val="22"/>
                <w:szCs w:val="22"/>
              </w:rPr>
              <w:t xml:space="preserve">Основные требования к содержанию и </w:t>
            </w:r>
            <w:r w:rsidRPr="00052EEE">
              <w:rPr>
                <w:rFonts w:eastAsia="Arial Unicode MS"/>
                <w:sz w:val="22"/>
                <w:szCs w:val="22"/>
              </w:rPr>
              <w:t>оказанию</w:t>
            </w:r>
            <w:r w:rsidRPr="00052EEE">
              <w:rPr>
                <w:sz w:val="22"/>
                <w:szCs w:val="22"/>
              </w:rPr>
              <w:t xml:space="preserve"> услуг.</w:t>
            </w:r>
          </w:p>
        </w:tc>
        <w:tc>
          <w:tcPr>
            <w:tcW w:w="7957" w:type="dxa"/>
            <w:shd w:val="clear" w:color="auto" w:fill="auto"/>
            <w:noWrap/>
            <w:tcMar>
              <w:top w:w="16" w:type="dxa"/>
              <w:left w:w="57" w:type="dxa"/>
              <w:bottom w:w="0" w:type="dxa"/>
              <w:right w:w="57" w:type="dxa"/>
            </w:tcMar>
          </w:tcPr>
          <w:p w14:paraId="0567A7F4" w14:textId="77777777" w:rsidR="009C3775" w:rsidRPr="00052EEE" w:rsidRDefault="009C3775" w:rsidP="009C3775">
            <w:pPr>
              <w:pStyle w:val="afff"/>
              <w:numPr>
                <w:ilvl w:val="1"/>
                <w:numId w:val="22"/>
              </w:numPr>
              <w:tabs>
                <w:tab w:val="left" w:pos="567"/>
              </w:tabs>
              <w:ind w:left="567" w:hanging="567"/>
              <w:jc w:val="both"/>
              <w:rPr>
                <w:sz w:val="22"/>
                <w:szCs w:val="22"/>
              </w:rPr>
            </w:pPr>
            <w:r w:rsidRPr="00052EEE">
              <w:rPr>
                <w:sz w:val="22"/>
                <w:szCs w:val="22"/>
              </w:rPr>
              <w:t>Обследование технического состояния строительных конструкций, инженерных сетей здания выполнить на основании нормативно-технической и методической документации:</w:t>
            </w:r>
          </w:p>
          <w:p w14:paraId="74A2ED77" w14:textId="77777777" w:rsidR="009C3775" w:rsidRPr="00052EEE" w:rsidRDefault="009C3775" w:rsidP="009C3775">
            <w:pPr>
              <w:pStyle w:val="afff"/>
              <w:numPr>
                <w:ilvl w:val="0"/>
                <w:numId w:val="23"/>
              </w:numPr>
              <w:tabs>
                <w:tab w:val="left" w:pos="567"/>
              </w:tabs>
              <w:ind w:left="568" w:hanging="284"/>
              <w:jc w:val="both"/>
              <w:rPr>
                <w:sz w:val="22"/>
                <w:szCs w:val="22"/>
              </w:rPr>
            </w:pPr>
            <w:r w:rsidRPr="00052EEE">
              <w:rPr>
                <w:sz w:val="22"/>
                <w:szCs w:val="22"/>
              </w:rPr>
              <w:lastRenderedPageBreak/>
              <w:t>ГОСТ 31937-2024 «Здания и сооружения. Правила обследования и мониторинга технического состояния»;</w:t>
            </w:r>
          </w:p>
          <w:p w14:paraId="297CE66B" w14:textId="77777777" w:rsidR="009C3775" w:rsidRPr="00052EEE" w:rsidRDefault="009C3775" w:rsidP="009C3775">
            <w:pPr>
              <w:pStyle w:val="afff"/>
              <w:numPr>
                <w:ilvl w:val="0"/>
                <w:numId w:val="23"/>
              </w:numPr>
              <w:tabs>
                <w:tab w:val="left" w:pos="567"/>
              </w:tabs>
              <w:ind w:left="568" w:hanging="284"/>
              <w:jc w:val="both"/>
              <w:rPr>
                <w:sz w:val="22"/>
                <w:szCs w:val="22"/>
              </w:rPr>
            </w:pPr>
            <w:r w:rsidRPr="00052EEE">
              <w:rPr>
                <w:sz w:val="22"/>
                <w:szCs w:val="22"/>
              </w:rPr>
              <w:t>Федерального закона от 30.12.2009 № 384-ФЗ «Технический регламент о безопасности зданий и сооружений»;</w:t>
            </w:r>
          </w:p>
          <w:p w14:paraId="37A057D6" w14:textId="77777777" w:rsidR="009C3775" w:rsidRPr="00052EEE" w:rsidRDefault="009C3775" w:rsidP="009C3775">
            <w:pPr>
              <w:pStyle w:val="afff"/>
              <w:numPr>
                <w:ilvl w:val="0"/>
                <w:numId w:val="23"/>
              </w:numPr>
              <w:tabs>
                <w:tab w:val="left" w:pos="567"/>
              </w:tabs>
              <w:ind w:left="568" w:hanging="284"/>
              <w:jc w:val="both"/>
              <w:rPr>
                <w:sz w:val="22"/>
                <w:szCs w:val="22"/>
              </w:rPr>
            </w:pPr>
            <w:r w:rsidRPr="00052EEE">
              <w:rPr>
                <w:sz w:val="22"/>
                <w:szCs w:val="22"/>
              </w:rPr>
              <w:t>Федеральный закон от 21 июля 1997 г. N 116-ФЗ "О промышленной безопасности опасных производственных объектов"</w:t>
            </w:r>
          </w:p>
          <w:p w14:paraId="1D5672BA" w14:textId="77777777" w:rsidR="009C3775" w:rsidRPr="00052EEE" w:rsidRDefault="009C3775" w:rsidP="009C3775">
            <w:pPr>
              <w:tabs>
                <w:tab w:val="left" w:pos="567"/>
              </w:tabs>
              <w:ind w:firstLine="243"/>
              <w:jc w:val="both"/>
              <w:rPr>
                <w:sz w:val="22"/>
                <w:szCs w:val="22"/>
              </w:rPr>
            </w:pPr>
            <w:r w:rsidRPr="00052EEE">
              <w:rPr>
                <w:sz w:val="22"/>
                <w:szCs w:val="22"/>
              </w:rPr>
              <w:t>-Федерального закона "О пожарной безопасности" от 21.12.1994 N 69-ФЗ</w:t>
            </w:r>
          </w:p>
          <w:p w14:paraId="187C1613" w14:textId="77777777" w:rsidR="009C3775" w:rsidRPr="00052EEE" w:rsidRDefault="009C3775" w:rsidP="009C3775">
            <w:pPr>
              <w:tabs>
                <w:tab w:val="left" w:pos="567"/>
              </w:tabs>
              <w:ind w:firstLine="243"/>
              <w:jc w:val="both"/>
              <w:rPr>
                <w:sz w:val="22"/>
                <w:szCs w:val="22"/>
              </w:rPr>
            </w:pPr>
            <w:r w:rsidRPr="00052EEE">
              <w:rPr>
                <w:sz w:val="22"/>
                <w:szCs w:val="22"/>
              </w:rPr>
              <w:t>- Федерального закона "О санитарно-эпидемиологическом благополучии населения" от 30.03.1999 N 52-ФЗ</w:t>
            </w:r>
          </w:p>
          <w:p w14:paraId="6B679BD6" w14:textId="77777777" w:rsidR="009C3775" w:rsidRPr="00052EEE" w:rsidRDefault="009C3775" w:rsidP="009C3775">
            <w:pPr>
              <w:pStyle w:val="afff"/>
              <w:numPr>
                <w:ilvl w:val="0"/>
                <w:numId w:val="23"/>
              </w:numPr>
              <w:tabs>
                <w:tab w:val="left" w:pos="567"/>
              </w:tabs>
              <w:ind w:left="385" w:hanging="142"/>
              <w:jc w:val="both"/>
              <w:rPr>
                <w:sz w:val="22"/>
                <w:szCs w:val="22"/>
              </w:rPr>
            </w:pPr>
            <w:r w:rsidRPr="00052EEE">
              <w:rPr>
                <w:sz w:val="22"/>
                <w:szCs w:val="22"/>
              </w:rPr>
              <w:t>Федерального закона "Об охране окружающей среды" от 10.01.2002 N 7-ФЗ</w:t>
            </w:r>
          </w:p>
          <w:p w14:paraId="00D23EC8" w14:textId="77777777" w:rsidR="009C3775" w:rsidRPr="00052EEE" w:rsidRDefault="009C3775" w:rsidP="009C3775">
            <w:pPr>
              <w:pStyle w:val="afff"/>
              <w:numPr>
                <w:ilvl w:val="0"/>
                <w:numId w:val="23"/>
              </w:numPr>
              <w:tabs>
                <w:tab w:val="left" w:pos="567"/>
              </w:tabs>
              <w:ind w:left="385" w:hanging="284"/>
              <w:jc w:val="both"/>
              <w:rPr>
                <w:sz w:val="22"/>
                <w:szCs w:val="22"/>
              </w:rPr>
            </w:pPr>
            <w:r w:rsidRPr="00052EEE">
              <w:rPr>
                <w:sz w:val="22"/>
                <w:szCs w:val="22"/>
              </w:rPr>
              <w:t>Федерального закона «Технический регламент о требованиях пожарной безопасности» от 22.07.2008 № 123-ФЗ;</w:t>
            </w:r>
          </w:p>
          <w:p w14:paraId="1CBF30A3" w14:textId="77777777" w:rsidR="009C3775" w:rsidRPr="00052EEE" w:rsidRDefault="009C3775" w:rsidP="009C3775">
            <w:pPr>
              <w:pStyle w:val="afff"/>
              <w:numPr>
                <w:ilvl w:val="0"/>
                <w:numId w:val="23"/>
              </w:numPr>
              <w:tabs>
                <w:tab w:val="left" w:pos="567"/>
              </w:tabs>
              <w:ind w:left="385" w:hanging="284"/>
              <w:jc w:val="both"/>
              <w:rPr>
                <w:sz w:val="22"/>
                <w:szCs w:val="22"/>
              </w:rPr>
            </w:pPr>
            <w:r w:rsidRPr="00052EEE">
              <w:rPr>
                <w:sz w:val="22"/>
                <w:szCs w:val="22"/>
              </w:rPr>
              <w:t>Федерального закона № 184-ФЗ «О техническом регулировании»;</w:t>
            </w:r>
          </w:p>
          <w:p w14:paraId="6DB9969C" w14:textId="77777777" w:rsidR="009C3775" w:rsidRPr="00052EEE" w:rsidRDefault="009C3775" w:rsidP="009C3775">
            <w:pPr>
              <w:pStyle w:val="afff"/>
              <w:numPr>
                <w:ilvl w:val="0"/>
                <w:numId w:val="23"/>
              </w:numPr>
              <w:tabs>
                <w:tab w:val="left" w:pos="567"/>
              </w:tabs>
              <w:ind w:left="385" w:hanging="284"/>
              <w:jc w:val="both"/>
              <w:rPr>
                <w:sz w:val="22"/>
                <w:szCs w:val="22"/>
              </w:rPr>
            </w:pPr>
            <w:r w:rsidRPr="00052EEE">
              <w:rPr>
                <w:sz w:val="22"/>
                <w:szCs w:val="22"/>
              </w:rPr>
              <w:t>других нормативных технических документов и нормативных правовых актов, определяющих требования к порядку проведения экспертизы промышленной безопасности.</w:t>
            </w:r>
          </w:p>
          <w:p w14:paraId="03D3C943" w14:textId="77777777" w:rsidR="009C3775" w:rsidRPr="00052EEE" w:rsidRDefault="009C3775" w:rsidP="009C3775">
            <w:pPr>
              <w:pStyle w:val="afff"/>
              <w:numPr>
                <w:ilvl w:val="1"/>
                <w:numId w:val="22"/>
              </w:numPr>
              <w:tabs>
                <w:tab w:val="left" w:pos="567"/>
              </w:tabs>
              <w:ind w:left="567" w:hanging="567"/>
              <w:jc w:val="both"/>
              <w:rPr>
                <w:sz w:val="22"/>
                <w:szCs w:val="22"/>
              </w:rPr>
            </w:pPr>
            <w:r w:rsidRPr="00052EEE">
              <w:rPr>
                <w:sz w:val="22"/>
                <w:szCs w:val="22"/>
              </w:rPr>
              <w:t>При необходимости допускается уточнить категории технического состояния строительных конструкций в соответствии с СП 13-102-2003 «Правила обследования несущих строительных конструкций зданий и сооружений».</w:t>
            </w:r>
          </w:p>
          <w:p w14:paraId="6EDCBE78" w14:textId="77777777" w:rsidR="009C3775" w:rsidRPr="00052EEE" w:rsidRDefault="009C3775" w:rsidP="009C3775">
            <w:pPr>
              <w:pStyle w:val="afff"/>
              <w:numPr>
                <w:ilvl w:val="1"/>
                <w:numId w:val="22"/>
              </w:numPr>
              <w:tabs>
                <w:tab w:val="left" w:pos="567"/>
              </w:tabs>
              <w:ind w:left="567" w:hanging="567"/>
              <w:jc w:val="both"/>
              <w:rPr>
                <w:sz w:val="22"/>
                <w:szCs w:val="22"/>
              </w:rPr>
            </w:pPr>
            <w:r w:rsidRPr="00052EEE">
              <w:rPr>
                <w:sz w:val="22"/>
                <w:szCs w:val="22"/>
              </w:rPr>
              <w:t>Замечания и предложения, содержащиеся в отчетах технических обследований, должны быть обоснованы и сопровождаться ссылками на требования нормативно-технической документации.</w:t>
            </w:r>
          </w:p>
          <w:p w14:paraId="2583E51A" w14:textId="77777777" w:rsidR="009C3775" w:rsidRPr="00052EEE" w:rsidRDefault="009C3775" w:rsidP="009C3775">
            <w:pPr>
              <w:pStyle w:val="afff"/>
              <w:numPr>
                <w:ilvl w:val="1"/>
                <w:numId w:val="22"/>
              </w:numPr>
              <w:tabs>
                <w:tab w:val="left" w:pos="567"/>
              </w:tabs>
              <w:ind w:left="567" w:hanging="567"/>
              <w:jc w:val="both"/>
              <w:rPr>
                <w:sz w:val="22"/>
                <w:szCs w:val="22"/>
              </w:rPr>
            </w:pPr>
            <w:r w:rsidRPr="00052EEE">
              <w:rPr>
                <w:sz w:val="22"/>
                <w:szCs w:val="22"/>
              </w:rPr>
              <w:t xml:space="preserve">Указать в отчете </w:t>
            </w:r>
            <w:proofErr w:type="gramStart"/>
            <w:r w:rsidRPr="00052EEE">
              <w:rPr>
                <w:sz w:val="22"/>
                <w:szCs w:val="22"/>
              </w:rPr>
              <w:t>обоснование, в случае, если</w:t>
            </w:r>
            <w:proofErr w:type="gramEnd"/>
            <w:r w:rsidRPr="00052EEE">
              <w:rPr>
                <w:sz w:val="22"/>
                <w:szCs w:val="22"/>
              </w:rPr>
              <w:t xml:space="preserve"> Исполнителем принято решение об отсутствии проведения детального (инструментального) обследования. </w:t>
            </w:r>
          </w:p>
          <w:p w14:paraId="4FF8D250" w14:textId="77777777" w:rsidR="009C3775" w:rsidRPr="00052EEE" w:rsidRDefault="009C3775" w:rsidP="009C3775">
            <w:pPr>
              <w:pStyle w:val="afff"/>
              <w:numPr>
                <w:ilvl w:val="1"/>
                <w:numId w:val="22"/>
              </w:numPr>
              <w:tabs>
                <w:tab w:val="left" w:pos="567"/>
              </w:tabs>
              <w:ind w:left="567" w:hanging="567"/>
              <w:jc w:val="both"/>
              <w:rPr>
                <w:sz w:val="22"/>
                <w:szCs w:val="22"/>
              </w:rPr>
            </w:pPr>
            <w:r w:rsidRPr="00052EEE">
              <w:rPr>
                <w:sz w:val="22"/>
                <w:szCs w:val="22"/>
              </w:rPr>
              <w:t>В технических отчетах должен быть установлен состав работ по ремонту/усилению зданий и сооружений (в том числе противоаварийные мероприятия).</w:t>
            </w:r>
          </w:p>
          <w:p w14:paraId="17A925ED" w14:textId="77777777" w:rsidR="009C3775" w:rsidRPr="00052EEE" w:rsidRDefault="009C3775" w:rsidP="009C3775">
            <w:pPr>
              <w:pStyle w:val="afff"/>
              <w:numPr>
                <w:ilvl w:val="1"/>
                <w:numId w:val="22"/>
              </w:numPr>
              <w:tabs>
                <w:tab w:val="left" w:pos="567"/>
              </w:tabs>
              <w:ind w:left="567" w:hanging="567"/>
              <w:jc w:val="both"/>
              <w:rPr>
                <w:sz w:val="22"/>
                <w:szCs w:val="22"/>
              </w:rPr>
            </w:pPr>
            <w:r w:rsidRPr="00052EEE">
              <w:rPr>
                <w:sz w:val="22"/>
                <w:szCs w:val="22"/>
              </w:rPr>
              <w:t>В технических отчетах должен быть установлен состав и объем работ по мониторингу технического состояния зданий и сооружений (при необходимости).</w:t>
            </w:r>
          </w:p>
        </w:tc>
      </w:tr>
      <w:tr w:rsidR="009C3775" w:rsidRPr="00052EEE" w14:paraId="6FDE9197" w14:textId="77777777">
        <w:trPr>
          <w:trHeight w:val="262"/>
        </w:trPr>
        <w:tc>
          <w:tcPr>
            <w:tcW w:w="2265" w:type="dxa"/>
            <w:shd w:val="clear" w:color="auto" w:fill="auto"/>
            <w:noWrap/>
            <w:tcMar>
              <w:top w:w="16" w:type="dxa"/>
              <w:left w:w="57" w:type="dxa"/>
              <w:bottom w:w="0" w:type="dxa"/>
              <w:right w:w="57" w:type="dxa"/>
            </w:tcMar>
          </w:tcPr>
          <w:p w14:paraId="32B0A3EC" w14:textId="77777777" w:rsidR="009C3775" w:rsidRPr="00052EEE" w:rsidRDefault="009C3775" w:rsidP="009C3775">
            <w:pPr>
              <w:pStyle w:val="afff"/>
              <w:numPr>
                <w:ilvl w:val="0"/>
                <w:numId w:val="22"/>
              </w:numPr>
              <w:tabs>
                <w:tab w:val="left" w:pos="366"/>
              </w:tabs>
              <w:ind w:left="366" w:hanging="366"/>
              <w:rPr>
                <w:rFonts w:eastAsia="Arial Unicode MS"/>
                <w:sz w:val="22"/>
                <w:szCs w:val="22"/>
              </w:rPr>
            </w:pPr>
            <w:r w:rsidRPr="00052EEE">
              <w:rPr>
                <w:rFonts w:eastAsia="Arial Unicode MS"/>
                <w:sz w:val="22"/>
                <w:szCs w:val="22"/>
              </w:rPr>
              <w:lastRenderedPageBreak/>
              <w:t>Требования к подрядной организации и исполнителю</w:t>
            </w:r>
          </w:p>
        </w:tc>
        <w:tc>
          <w:tcPr>
            <w:tcW w:w="7957" w:type="dxa"/>
            <w:shd w:val="clear" w:color="auto" w:fill="auto"/>
            <w:noWrap/>
            <w:tcMar>
              <w:top w:w="16" w:type="dxa"/>
              <w:left w:w="57" w:type="dxa"/>
              <w:bottom w:w="0" w:type="dxa"/>
              <w:right w:w="57" w:type="dxa"/>
            </w:tcMar>
          </w:tcPr>
          <w:p w14:paraId="3D8D55B3" w14:textId="77777777" w:rsidR="009C3775" w:rsidRPr="00052EEE" w:rsidRDefault="009C3775" w:rsidP="009C3775">
            <w:pPr>
              <w:pStyle w:val="afff"/>
              <w:numPr>
                <w:ilvl w:val="1"/>
                <w:numId w:val="22"/>
              </w:numPr>
              <w:tabs>
                <w:tab w:val="left" w:pos="567"/>
              </w:tabs>
              <w:ind w:left="567" w:hanging="567"/>
              <w:jc w:val="both"/>
              <w:rPr>
                <w:sz w:val="22"/>
                <w:szCs w:val="22"/>
              </w:rPr>
            </w:pPr>
            <w:r w:rsidRPr="00052EEE">
              <w:rPr>
                <w:sz w:val="22"/>
                <w:szCs w:val="22"/>
              </w:rPr>
              <w:t xml:space="preserve">Исполнитель должен быть оснащен современной приборной базой для выполнения вышеперечисленных услуг. Измерительные приборы и инструменты должны быть </w:t>
            </w:r>
            <w:proofErr w:type="spellStart"/>
            <w:r w:rsidRPr="00052EEE">
              <w:rPr>
                <w:sz w:val="22"/>
                <w:szCs w:val="22"/>
              </w:rPr>
              <w:t>поверены</w:t>
            </w:r>
            <w:proofErr w:type="spellEnd"/>
            <w:r w:rsidRPr="00052EEE">
              <w:rPr>
                <w:sz w:val="22"/>
                <w:szCs w:val="22"/>
              </w:rPr>
              <w:t xml:space="preserve"> в порядке, установленном законодательством Российской Федерации. </w:t>
            </w:r>
          </w:p>
          <w:p w14:paraId="721D7A02" w14:textId="77777777" w:rsidR="009C3775" w:rsidRPr="00052EEE" w:rsidRDefault="009C3775" w:rsidP="009C3775">
            <w:pPr>
              <w:pStyle w:val="afff"/>
              <w:numPr>
                <w:ilvl w:val="1"/>
                <w:numId w:val="22"/>
              </w:numPr>
              <w:tabs>
                <w:tab w:val="left" w:pos="567"/>
              </w:tabs>
              <w:ind w:left="567" w:hanging="567"/>
              <w:jc w:val="both"/>
              <w:rPr>
                <w:sz w:val="22"/>
                <w:szCs w:val="22"/>
              </w:rPr>
            </w:pPr>
            <w:r w:rsidRPr="00052EEE">
              <w:rPr>
                <w:sz w:val="22"/>
                <w:szCs w:val="22"/>
              </w:rPr>
              <w:t>Исполнитель должен иметь квалифицированные кадры для оказания услуг</w:t>
            </w:r>
          </w:p>
        </w:tc>
      </w:tr>
      <w:tr w:rsidR="009C3775" w:rsidRPr="00052EEE" w14:paraId="11C28192" w14:textId="77777777">
        <w:trPr>
          <w:trHeight w:val="262"/>
        </w:trPr>
        <w:tc>
          <w:tcPr>
            <w:tcW w:w="2265" w:type="dxa"/>
            <w:shd w:val="clear" w:color="auto" w:fill="auto"/>
            <w:noWrap/>
            <w:tcMar>
              <w:top w:w="16" w:type="dxa"/>
              <w:left w:w="57" w:type="dxa"/>
              <w:bottom w:w="0" w:type="dxa"/>
              <w:right w:w="57" w:type="dxa"/>
            </w:tcMar>
          </w:tcPr>
          <w:p w14:paraId="4884393A" w14:textId="77777777" w:rsidR="009C3775" w:rsidRPr="00052EEE" w:rsidRDefault="009C3775" w:rsidP="009C3775">
            <w:pPr>
              <w:pStyle w:val="afff"/>
              <w:numPr>
                <w:ilvl w:val="0"/>
                <w:numId w:val="22"/>
              </w:numPr>
              <w:tabs>
                <w:tab w:val="left" w:pos="366"/>
              </w:tabs>
              <w:ind w:left="366" w:hanging="366"/>
              <w:rPr>
                <w:rFonts w:eastAsia="Arial Unicode MS"/>
                <w:sz w:val="22"/>
                <w:szCs w:val="22"/>
              </w:rPr>
            </w:pPr>
            <w:r w:rsidRPr="00052EEE">
              <w:rPr>
                <w:rFonts w:eastAsia="Arial Unicode MS"/>
                <w:sz w:val="22"/>
                <w:szCs w:val="22"/>
              </w:rPr>
              <w:t>Ответственность исполнителя</w:t>
            </w:r>
          </w:p>
        </w:tc>
        <w:tc>
          <w:tcPr>
            <w:tcW w:w="7957" w:type="dxa"/>
            <w:shd w:val="clear" w:color="auto" w:fill="auto"/>
            <w:noWrap/>
            <w:tcMar>
              <w:top w:w="16" w:type="dxa"/>
              <w:left w:w="57" w:type="dxa"/>
              <w:bottom w:w="0" w:type="dxa"/>
              <w:right w:w="57" w:type="dxa"/>
            </w:tcMar>
          </w:tcPr>
          <w:p w14:paraId="13944B27" w14:textId="77777777" w:rsidR="009C3775" w:rsidRPr="00052EEE" w:rsidRDefault="009C3775" w:rsidP="009C3775">
            <w:pPr>
              <w:tabs>
                <w:tab w:val="left" w:pos="567"/>
              </w:tabs>
              <w:ind w:firstLine="567"/>
              <w:jc w:val="both"/>
              <w:rPr>
                <w:sz w:val="22"/>
                <w:szCs w:val="22"/>
              </w:rPr>
            </w:pPr>
            <w:r w:rsidRPr="00052EEE">
              <w:rPr>
                <w:sz w:val="22"/>
                <w:szCs w:val="22"/>
              </w:rPr>
              <w:t>Исполнитель несёт ответственность за:</w:t>
            </w:r>
          </w:p>
          <w:p w14:paraId="3B13CBEB" w14:textId="77777777" w:rsidR="009C3775" w:rsidRPr="00052EEE" w:rsidRDefault="009C3775" w:rsidP="009C3775">
            <w:pPr>
              <w:pStyle w:val="afff"/>
              <w:numPr>
                <w:ilvl w:val="1"/>
                <w:numId w:val="22"/>
              </w:numPr>
              <w:tabs>
                <w:tab w:val="left" w:pos="567"/>
              </w:tabs>
              <w:ind w:left="567" w:hanging="567"/>
              <w:jc w:val="both"/>
              <w:rPr>
                <w:sz w:val="22"/>
                <w:szCs w:val="22"/>
              </w:rPr>
            </w:pPr>
            <w:r w:rsidRPr="00052EEE">
              <w:rPr>
                <w:sz w:val="22"/>
                <w:szCs w:val="22"/>
              </w:rPr>
              <w:t>Квалификацию персонала, оказывающего услуги по обследованию технического состояния зданий и сооружений.</w:t>
            </w:r>
          </w:p>
          <w:p w14:paraId="0182CB6B" w14:textId="77777777" w:rsidR="009C3775" w:rsidRPr="00052EEE" w:rsidRDefault="009C3775" w:rsidP="009C3775">
            <w:pPr>
              <w:pStyle w:val="afff"/>
              <w:numPr>
                <w:ilvl w:val="1"/>
                <w:numId w:val="22"/>
              </w:numPr>
              <w:tabs>
                <w:tab w:val="left" w:pos="567"/>
              </w:tabs>
              <w:ind w:left="567" w:hanging="567"/>
              <w:jc w:val="both"/>
              <w:rPr>
                <w:sz w:val="22"/>
                <w:szCs w:val="22"/>
              </w:rPr>
            </w:pPr>
            <w:r w:rsidRPr="00052EEE">
              <w:rPr>
                <w:sz w:val="22"/>
                <w:szCs w:val="22"/>
              </w:rPr>
              <w:t>Соблюдение требований охраны труда, пожарной безопасности и других нормативно-правовых актов, принятых на объекте обследования.</w:t>
            </w:r>
          </w:p>
        </w:tc>
      </w:tr>
      <w:tr w:rsidR="009C3775" w:rsidRPr="00052EEE" w14:paraId="1017FC01" w14:textId="77777777">
        <w:trPr>
          <w:trHeight w:val="262"/>
        </w:trPr>
        <w:tc>
          <w:tcPr>
            <w:tcW w:w="2265" w:type="dxa"/>
            <w:shd w:val="clear" w:color="auto" w:fill="auto"/>
            <w:noWrap/>
            <w:tcMar>
              <w:top w:w="16" w:type="dxa"/>
              <w:left w:w="57" w:type="dxa"/>
              <w:bottom w:w="0" w:type="dxa"/>
              <w:right w:w="57" w:type="dxa"/>
            </w:tcMar>
          </w:tcPr>
          <w:p w14:paraId="6DF16C45" w14:textId="77777777" w:rsidR="009C3775" w:rsidRPr="00052EEE" w:rsidRDefault="009C3775" w:rsidP="009C3775">
            <w:pPr>
              <w:pStyle w:val="afff"/>
              <w:numPr>
                <w:ilvl w:val="0"/>
                <w:numId w:val="22"/>
              </w:numPr>
              <w:tabs>
                <w:tab w:val="left" w:pos="366"/>
              </w:tabs>
              <w:ind w:left="366" w:hanging="366"/>
              <w:rPr>
                <w:rFonts w:eastAsia="Arial Unicode MS"/>
                <w:sz w:val="22"/>
                <w:szCs w:val="22"/>
              </w:rPr>
            </w:pPr>
            <w:r w:rsidRPr="00052EEE">
              <w:rPr>
                <w:rFonts w:eastAsia="Arial Unicode MS"/>
                <w:sz w:val="22"/>
                <w:szCs w:val="22"/>
              </w:rPr>
              <w:t>Результат оказания услуг</w:t>
            </w:r>
          </w:p>
        </w:tc>
        <w:tc>
          <w:tcPr>
            <w:tcW w:w="7957" w:type="dxa"/>
            <w:shd w:val="clear" w:color="auto" w:fill="auto"/>
            <w:noWrap/>
            <w:tcMar>
              <w:top w:w="16" w:type="dxa"/>
              <w:left w:w="57" w:type="dxa"/>
              <w:bottom w:w="0" w:type="dxa"/>
              <w:right w:w="57" w:type="dxa"/>
            </w:tcMar>
          </w:tcPr>
          <w:p w14:paraId="61D37B2D" w14:textId="6F6AB029" w:rsidR="009C3775" w:rsidRPr="00052EEE" w:rsidRDefault="009C3775" w:rsidP="009C3775">
            <w:pPr>
              <w:pStyle w:val="afff"/>
              <w:numPr>
                <w:ilvl w:val="1"/>
                <w:numId w:val="22"/>
              </w:numPr>
              <w:tabs>
                <w:tab w:val="left" w:pos="567"/>
              </w:tabs>
              <w:ind w:left="567" w:hanging="567"/>
              <w:jc w:val="both"/>
              <w:rPr>
                <w:sz w:val="22"/>
                <w:szCs w:val="22"/>
              </w:rPr>
            </w:pPr>
            <w:r w:rsidRPr="00052EEE">
              <w:rPr>
                <w:sz w:val="22"/>
                <w:szCs w:val="22"/>
              </w:rPr>
              <w:t>Результаты оказания услуг предоставляются в виде технического отчет</w:t>
            </w:r>
            <w:r w:rsidR="00FA1070">
              <w:rPr>
                <w:sz w:val="22"/>
                <w:szCs w:val="22"/>
              </w:rPr>
              <w:t>а</w:t>
            </w:r>
            <w:r w:rsidRPr="00052EEE">
              <w:rPr>
                <w:sz w:val="22"/>
                <w:szCs w:val="22"/>
              </w:rPr>
              <w:t>, включающего в себя заключение по форме ГОСТ 31937-2024 (приложения А или Б), или по форме, установленной специализированной организацией в зависимости от вида обследования. Рекомендуемый срок следующего обследования указывают в отчете по результатам обследования.</w:t>
            </w:r>
          </w:p>
          <w:p w14:paraId="0929695C" w14:textId="77777777" w:rsidR="009C3775" w:rsidRPr="00052EEE" w:rsidRDefault="009C3775" w:rsidP="009C3775">
            <w:pPr>
              <w:pStyle w:val="afff"/>
              <w:numPr>
                <w:ilvl w:val="1"/>
                <w:numId w:val="22"/>
              </w:numPr>
              <w:tabs>
                <w:tab w:val="left" w:pos="567"/>
              </w:tabs>
              <w:ind w:left="567" w:hanging="567"/>
              <w:jc w:val="both"/>
              <w:rPr>
                <w:sz w:val="22"/>
                <w:szCs w:val="22"/>
              </w:rPr>
            </w:pPr>
            <w:r w:rsidRPr="00052EEE">
              <w:rPr>
                <w:sz w:val="22"/>
                <w:szCs w:val="22"/>
              </w:rPr>
              <w:t>Результаты обследования предварительно должны быть рассмотрены и согласованы с Заказчиком на техническом совещании. Время и место проведения совещания, состав его участников согласовывается дополнительно по готовности Исполнителя.</w:t>
            </w:r>
          </w:p>
          <w:p w14:paraId="14BB9324" w14:textId="77777777" w:rsidR="009C3775" w:rsidRPr="00052EEE" w:rsidRDefault="009C3775" w:rsidP="009C3775">
            <w:pPr>
              <w:pStyle w:val="afff"/>
              <w:numPr>
                <w:ilvl w:val="1"/>
                <w:numId w:val="22"/>
              </w:numPr>
              <w:tabs>
                <w:tab w:val="left" w:pos="567"/>
              </w:tabs>
              <w:ind w:left="567" w:hanging="567"/>
              <w:jc w:val="both"/>
              <w:rPr>
                <w:sz w:val="22"/>
                <w:szCs w:val="22"/>
              </w:rPr>
            </w:pPr>
            <w:r w:rsidRPr="00052EEE">
              <w:rPr>
                <w:sz w:val="22"/>
                <w:szCs w:val="22"/>
              </w:rPr>
              <w:t>Все дефекты и неисправности, кроме описания и обозначения на чертежах, должны сопровождаться фотографиями в цветном изображении: непосредственно дефект, общее изображение конструкции, а также элемента здания и сооружения.</w:t>
            </w:r>
          </w:p>
          <w:p w14:paraId="7B087FB3" w14:textId="313FAE52" w:rsidR="009C3775" w:rsidRPr="00052EEE" w:rsidRDefault="009C3775" w:rsidP="009C3775">
            <w:pPr>
              <w:pStyle w:val="afff"/>
              <w:numPr>
                <w:ilvl w:val="1"/>
                <w:numId w:val="22"/>
              </w:numPr>
              <w:tabs>
                <w:tab w:val="left" w:pos="567"/>
              </w:tabs>
              <w:ind w:left="567" w:hanging="567"/>
              <w:jc w:val="both"/>
              <w:rPr>
                <w:sz w:val="22"/>
                <w:szCs w:val="22"/>
              </w:rPr>
            </w:pPr>
            <w:r w:rsidRPr="00052EEE">
              <w:rPr>
                <w:sz w:val="22"/>
                <w:szCs w:val="22"/>
              </w:rPr>
              <w:lastRenderedPageBreak/>
              <w:t xml:space="preserve">Срок гарантии на результат оказанных услуг – </w:t>
            </w:r>
            <w:r w:rsidR="00FA1070">
              <w:rPr>
                <w:sz w:val="22"/>
                <w:szCs w:val="22"/>
              </w:rPr>
              <w:t>не менее 12</w:t>
            </w:r>
            <w:r w:rsidRPr="00052EEE">
              <w:rPr>
                <w:sz w:val="22"/>
                <w:szCs w:val="22"/>
              </w:rPr>
              <w:t xml:space="preserve"> </w:t>
            </w:r>
            <w:r w:rsidR="00FA1070">
              <w:rPr>
                <w:sz w:val="22"/>
                <w:szCs w:val="22"/>
              </w:rPr>
              <w:t>месяцев</w:t>
            </w:r>
            <w:r w:rsidRPr="00052EEE">
              <w:rPr>
                <w:sz w:val="22"/>
                <w:szCs w:val="22"/>
              </w:rPr>
              <w:t xml:space="preserve"> со дня подписания акта выполненных работ.</w:t>
            </w:r>
          </w:p>
        </w:tc>
      </w:tr>
      <w:tr w:rsidR="009C3775" w:rsidRPr="00052EEE" w14:paraId="299EC6A7" w14:textId="77777777">
        <w:trPr>
          <w:trHeight w:val="922"/>
        </w:trPr>
        <w:tc>
          <w:tcPr>
            <w:tcW w:w="2265" w:type="dxa"/>
            <w:shd w:val="clear" w:color="auto" w:fill="auto"/>
            <w:noWrap/>
            <w:tcMar>
              <w:top w:w="16" w:type="dxa"/>
              <w:left w:w="57" w:type="dxa"/>
              <w:bottom w:w="0" w:type="dxa"/>
              <w:right w:w="57" w:type="dxa"/>
            </w:tcMar>
          </w:tcPr>
          <w:p w14:paraId="032B5D27" w14:textId="77777777" w:rsidR="009C3775" w:rsidRPr="00052EEE" w:rsidRDefault="009C3775" w:rsidP="009C3775">
            <w:pPr>
              <w:pStyle w:val="afff"/>
              <w:numPr>
                <w:ilvl w:val="0"/>
                <w:numId w:val="22"/>
              </w:numPr>
              <w:tabs>
                <w:tab w:val="left" w:pos="366"/>
              </w:tabs>
              <w:ind w:left="366" w:hanging="366"/>
              <w:rPr>
                <w:rFonts w:eastAsia="Arial Unicode MS"/>
                <w:sz w:val="22"/>
                <w:szCs w:val="22"/>
              </w:rPr>
            </w:pPr>
            <w:r w:rsidRPr="00052EEE">
              <w:rPr>
                <w:rFonts w:eastAsia="Arial Unicode MS"/>
                <w:sz w:val="22"/>
                <w:szCs w:val="22"/>
              </w:rPr>
              <w:lastRenderedPageBreak/>
              <w:t>Вид и количество экземпляров документации, выдаваемой Заказчику, по результатам оказанных услуг</w:t>
            </w:r>
          </w:p>
        </w:tc>
        <w:tc>
          <w:tcPr>
            <w:tcW w:w="7957" w:type="dxa"/>
            <w:shd w:val="clear" w:color="auto" w:fill="auto"/>
            <w:noWrap/>
            <w:tcMar>
              <w:top w:w="16" w:type="dxa"/>
              <w:left w:w="57" w:type="dxa"/>
              <w:bottom w:w="0" w:type="dxa"/>
              <w:right w:w="57" w:type="dxa"/>
            </w:tcMar>
          </w:tcPr>
          <w:p w14:paraId="31A149C8" w14:textId="77777777" w:rsidR="009C3775" w:rsidRPr="00052EEE" w:rsidRDefault="009C3775" w:rsidP="009C3775">
            <w:pPr>
              <w:tabs>
                <w:tab w:val="left" w:pos="567"/>
              </w:tabs>
              <w:ind w:left="567"/>
              <w:jc w:val="both"/>
              <w:rPr>
                <w:sz w:val="22"/>
                <w:szCs w:val="22"/>
              </w:rPr>
            </w:pPr>
            <w:r w:rsidRPr="00052EEE">
              <w:rPr>
                <w:sz w:val="22"/>
                <w:szCs w:val="22"/>
              </w:rPr>
              <w:t>По результатам обследования предоставить подписанные технические отчеты:</w:t>
            </w:r>
          </w:p>
          <w:p w14:paraId="1398425F" w14:textId="77777777" w:rsidR="009C3775" w:rsidRPr="00052EEE" w:rsidRDefault="009C3775" w:rsidP="009C3775">
            <w:pPr>
              <w:pStyle w:val="afff"/>
              <w:numPr>
                <w:ilvl w:val="1"/>
                <w:numId w:val="22"/>
              </w:numPr>
              <w:tabs>
                <w:tab w:val="left" w:pos="567"/>
              </w:tabs>
              <w:ind w:left="567" w:hanging="567"/>
              <w:jc w:val="both"/>
              <w:rPr>
                <w:sz w:val="22"/>
                <w:szCs w:val="22"/>
              </w:rPr>
            </w:pPr>
            <w:r w:rsidRPr="00052EEE">
              <w:rPr>
                <w:sz w:val="22"/>
                <w:szCs w:val="22"/>
              </w:rPr>
              <w:t>На бумажном носителе формата А4, графические материалы, при необходимости, допускается выполнять на бумаге формата А3 и выше;</w:t>
            </w:r>
          </w:p>
          <w:p w14:paraId="5336F048" w14:textId="77777777" w:rsidR="009C3775" w:rsidRPr="00052EEE" w:rsidRDefault="009C3775" w:rsidP="009C3775">
            <w:pPr>
              <w:pStyle w:val="afff"/>
              <w:numPr>
                <w:ilvl w:val="1"/>
                <w:numId w:val="22"/>
              </w:numPr>
              <w:tabs>
                <w:tab w:val="left" w:pos="515"/>
              </w:tabs>
              <w:ind w:left="567" w:hanging="567"/>
              <w:rPr>
                <w:sz w:val="22"/>
                <w:szCs w:val="22"/>
              </w:rPr>
            </w:pPr>
            <w:r w:rsidRPr="00052EEE">
              <w:rPr>
                <w:sz w:val="22"/>
                <w:szCs w:val="22"/>
              </w:rPr>
              <w:t>в 2-х (двух) экземплярах на бумажном носителе и в 1-м (одном) экземпляре в электронном виде в редактируемых форматах («.</w:t>
            </w:r>
            <w:proofErr w:type="spellStart"/>
            <w:r w:rsidRPr="00052EEE">
              <w:rPr>
                <w:sz w:val="22"/>
                <w:szCs w:val="22"/>
              </w:rPr>
              <w:t>doc</w:t>
            </w:r>
            <w:proofErr w:type="spellEnd"/>
            <w:r w:rsidRPr="00052EEE">
              <w:rPr>
                <w:sz w:val="22"/>
                <w:szCs w:val="22"/>
              </w:rPr>
              <w:t>», «.</w:t>
            </w:r>
            <w:proofErr w:type="spellStart"/>
            <w:r w:rsidRPr="00052EEE">
              <w:rPr>
                <w:sz w:val="22"/>
                <w:szCs w:val="22"/>
              </w:rPr>
              <w:t>docх</w:t>
            </w:r>
            <w:proofErr w:type="spellEnd"/>
            <w:r w:rsidRPr="00052EEE">
              <w:rPr>
                <w:sz w:val="22"/>
                <w:szCs w:val="22"/>
              </w:rPr>
              <w:t>», «.</w:t>
            </w:r>
            <w:proofErr w:type="spellStart"/>
            <w:r w:rsidRPr="00052EEE">
              <w:rPr>
                <w:sz w:val="22"/>
                <w:szCs w:val="22"/>
              </w:rPr>
              <w:t>dwg</w:t>
            </w:r>
            <w:proofErr w:type="spellEnd"/>
            <w:r w:rsidRPr="00052EEE">
              <w:rPr>
                <w:sz w:val="22"/>
                <w:szCs w:val="22"/>
              </w:rPr>
              <w:t>» или др.) и в формате «.</w:t>
            </w:r>
            <w:proofErr w:type="spellStart"/>
            <w:r w:rsidRPr="00052EEE">
              <w:rPr>
                <w:sz w:val="22"/>
                <w:szCs w:val="22"/>
              </w:rPr>
              <w:t>pdf</w:t>
            </w:r>
            <w:proofErr w:type="spellEnd"/>
            <w:r w:rsidRPr="00052EEE">
              <w:rPr>
                <w:sz w:val="22"/>
                <w:szCs w:val="22"/>
              </w:rPr>
              <w:t>».</w:t>
            </w:r>
          </w:p>
          <w:p w14:paraId="7DACD5B7" w14:textId="77777777" w:rsidR="009C3775" w:rsidRPr="00052EEE" w:rsidRDefault="009C3775" w:rsidP="009C3775">
            <w:pPr>
              <w:pStyle w:val="afff"/>
              <w:numPr>
                <w:ilvl w:val="1"/>
                <w:numId w:val="22"/>
              </w:numPr>
              <w:tabs>
                <w:tab w:val="left" w:pos="515"/>
              </w:tabs>
              <w:ind w:left="567" w:hanging="567"/>
              <w:rPr>
                <w:rFonts w:eastAsia="Calibri"/>
                <w:sz w:val="22"/>
                <w:szCs w:val="22"/>
                <w:lang w:eastAsia="en-US"/>
              </w:rPr>
            </w:pPr>
            <w:r w:rsidRPr="00052EEE">
              <w:rPr>
                <w:sz w:val="22"/>
                <w:szCs w:val="22"/>
              </w:rPr>
              <w:t>Электронный вид технических отчетов, в том числе в формате «.</w:t>
            </w:r>
            <w:r w:rsidRPr="00052EEE">
              <w:rPr>
                <w:sz w:val="22"/>
                <w:szCs w:val="22"/>
                <w:lang w:val="en-US"/>
              </w:rPr>
              <w:t>pdf</w:t>
            </w:r>
            <w:r w:rsidRPr="00052EEE">
              <w:rPr>
                <w:sz w:val="22"/>
                <w:szCs w:val="22"/>
              </w:rPr>
              <w:t>», должен обеспечивать возможность поиска по текстовому содержанию документа и возможность копирования текста.</w:t>
            </w:r>
          </w:p>
          <w:p w14:paraId="6A8FCC55" w14:textId="77777777" w:rsidR="009C3775" w:rsidRPr="00052EEE" w:rsidRDefault="009C3775" w:rsidP="009C3775">
            <w:pPr>
              <w:pStyle w:val="afff"/>
              <w:numPr>
                <w:ilvl w:val="1"/>
                <w:numId w:val="22"/>
              </w:numPr>
              <w:tabs>
                <w:tab w:val="left" w:pos="515"/>
              </w:tabs>
              <w:ind w:left="567" w:hanging="567"/>
              <w:rPr>
                <w:rFonts w:eastAsia="Calibri"/>
                <w:sz w:val="22"/>
                <w:szCs w:val="22"/>
                <w:lang w:eastAsia="en-US"/>
              </w:rPr>
            </w:pPr>
            <w:r w:rsidRPr="00052EEE">
              <w:rPr>
                <w:sz w:val="22"/>
                <w:szCs w:val="22"/>
              </w:rPr>
              <w:t>Размеры, форматы и содержание текстовых документов и чертежей, выполненные в электронных форматах, должны быть идентичны бумажному оригиналу, к которому они прилагаются.</w:t>
            </w:r>
          </w:p>
        </w:tc>
      </w:tr>
    </w:tbl>
    <w:p w14:paraId="5BD80E89" w14:textId="730F4EE9" w:rsidR="00F76577" w:rsidRPr="00052EEE" w:rsidRDefault="0096281D" w:rsidP="00FA1070">
      <w:pPr>
        <w:tabs>
          <w:tab w:val="left" w:pos="7655"/>
        </w:tabs>
        <w:rPr>
          <w:i/>
          <w:sz w:val="22"/>
          <w:szCs w:val="22"/>
          <w:shd w:val="clear" w:color="auto" w:fill="FFFFFF"/>
        </w:rPr>
      </w:pPr>
      <w:r w:rsidRPr="00052EEE">
        <w:rPr>
          <w:i/>
          <w:sz w:val="22"/>
          <w:szCs w:val="22"/>
          <w:shd w:val="clear" w:color="auto" w:fill="FFFFFF"/>
        </w:rPr>
        <w:t xml:space="preserve"> </w:t>
      </w:r>
    </w:p>
    <w:sectPr w:rsidR="00F76577" w:rsidRPr="00052EEE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568" w:right="566" w:bottom="1134" w:left="1134" w:header="851" w:footer="567" w:gutter="0"/>
      <w:cols w:space="708"/>
      <w:titlePg/>
    </w:sectPr>
    <!-- MKR-12258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C746B0" w14:textId="77777777" w:rsidR="009958A2" w:rsidRDefault="009958A2">
      <w:r>
        <w:separator/>
      </w:r>
    </w:p>
  </w:endnote>
  <w:endnote w:type="continuationSeparator" w:id="0">
    <w:p w14:paraId="13797BA0" w14:textId="77777777" w:rsidR="009958A2" w:rsidRDefault="00995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auto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ET">
    <w:charset w:val="00"/>
    <w:family w:val="auto"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43601F" w14:textId="77777777" w:rsidR="00F76577" w:rsidRDefault="0096281D">
    <w:pPr>
      <w:pStyle w:val="aff0"/>
      <w:framePr w:wrap="around" w:vAnchor="text" w:hAnchor="margin" w:xAlign="right" w:y="1"/>
      <w:rPr>
        <w:rStyle w:val="afff0"/>
      </w:rPr>
    </w:pPr>
    <w:r>
      <w:rPr>
        <w:rStyle w:val="afff0"/>
      </w:rPr>
      <w:fldChar w:fldCharType="begin"/>
    </w:r>
    <w:r>
      <w:rPr>
        <w:rStyle w:val="afff0"/>
      </w:rPr>
      <w:instrText xml:space="preserve">PAGE  </w:instrText>
    </w:r>
    <w:r>
      <w:rPr>
        <w:rStyle w:val="afff0"/>
      </w:rPr>
      <w:fldChar w:fldCharType="end"/>
    </w:r>
  </w:p>
  <w:p w14:paraId="5CCB49BF" w14:textId="77777777" w:rsidR="00F76577" w:rsidRDefault="00F76577">
    <w:pPr>
      <w:pStyle w:val="aff0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7489234"/>
      <w:docPartObj>
        <w:docPartGallery w:val="Page Numbers (Bottom of Page)"/>
        <w:docPartUnique/>
      </w:docPartObj>
    </w:sdtPr>
    <w:sdtEndPr/>
    <w:sdtContent>
      <w:p w14:paraId="0A7253AA" w14:textId="77777777" w:rsidR="00F76577" w:rsidRDefault="00F76577">
        <w:pPr>
          <w:pStyle w:val="aff0"/>
          <w:jc w:val="right"/>
        </w:pPr>
      </w:p>
      <w:p w14:paraId="5F0066AA" w14:textId="77777777" w:rsidR="00F76577" w:rsidRDefault="0096281D">
        <w:pPr>
          <w:pStyle w:val="af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2A0C">
          <w:rPr>
            <w:noProof/>
          </w:rPr>
          <w:t>5</w:t>
        </w:r>
        <w:r>
          <w:fldChar w:fldCharType="end"/>
        </w:r>
      </w:p>
    </w:sdtContent>
  </w:sdt>
  <w:p w14:paraId="2D6F73A8" w14:textId="77777777" w:rsidR="00F76577" w:rsidRDefault="00F76577">
    <w:pPr>
      <w:pStyle w:val="af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C6D2A7" w14:textId="77777777" w:rsidR="00F76577" w:rsidRDefault="00F76577">
    <w:pPr>
      <w:pStyle w:val="aff0"/>
      <w:numPr>
        <w:ilvl w:val="0"/>
        <w:numId w:val="28"/>
      </w:num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9649B8" w14:textId="77777777" w:rsidR="009958A2" w:rsidRDefault="009958A2">
      <w:r>
        <w:separator/>
      </w:r>
    </w:p>
  </w:footnote>
  <w:footnote w:type="continuationSeparator" w:id="0">
    <w:p w14:paraId="54CE9A42" w14:textId="77777777" w:rsidR="009958A2" w:rsidRDefault="009958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A25E79" w14:textId="77777777" w:rsidR="00F76577" w:rsidRDefault="0096281D">
    <w:pPr>
      <w:pStyle w:val="afe"/>
      <w:framePr w:wrap="around" w:vAnchor="text" w:hAnchor="margin" w:xAlign="center" w:y="1"/>
      <w:rPr>
        <w:rStyle w:val="afff0"/>
      </w:rPr>
    </w:pPr>
    <w:r>
      <w:rPr>
        <w:rStyle w:val="afff0"/>
      </w:rPr>
      <w:fldChar w:fldCharType="begin"/>
    </w:r>
    <w:r>
      <w:rPr>
        <w:rStyle w:val="afff0"/>
      </w:rPr>
      <w:instrText xml:space="preserve">PAGE  </w:instrText>
    </w:r>
    <w:r>
      <w:rPr>
        <w:rStyle w:val="afff0"/>
      </w:rPr>
      <w:fldChar w:fldCharType="end"/>
    </w:r>
  </w:p>
  <w:p w14:paraId="760F223E" w14:textId="77777777" w:rsidR="00F76577" w:rsidRDefault="00F76577">
    <w:pPr>
      <w:pStyle w:val="af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33428268"/>
      <w:docPartObj>
        <w:docPartGallery w:val="Page Numbers (Top of Page)"/>
        <w:docPartUnique/>
      </w:docPartObj>
    </w:sdtPr>
    <w:sdtEndPr/>
    <w:sdtContent>
      <w:p w14:paraId="7C842D63" w14:textId="77777777" w:rsidR="00F76577" w:rsidRDefault="00F76577">
        <w:pPr>
          <w:pStyle w:val="afe"/>
          <w:jc w:val="center"/>
          <w:rPr>
            <w:sz w:val="28"/>
            <w:szCs w:val="28"/>
          </w:rPr>
        </w:pPr>
      </w:p>
      <w:p w14:paraId="75CE25CC" w14:textId="77777777" w:rsidR="00F76577" w:rsidRDefault="009958A2">
        <w:pPr>
          <w:pStyle w:val="afe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E876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3486D91"/>
    <w:multiLevelType w:val="multilevel"/>
    <w:tmpl w:val="244CBE4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969138E"/>
    <w:multiLevelType w:val="multilevel"/>
    <w:tmpl w:val="C280559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D92267D"/>
    <w:multiLevelType w:val="multilevel"/>
    <w:tmpl w:val="ADDEA5B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0128CA"/>
    <w:multiLevelType w:val="multilevel"/>
    <w:tmpl w:val="D51898C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110AFA"/>
    <w:multiLevelType w:val="multilevel"/>
    <w:tmpl w:val="29F630BA"/>
    <w:lvl w:ilvl="0">
      <w:start w:val="1"/>
      <w:numFmt w:val="decimal"/>
      <w:lvlText w:val="%1."/>
      <w:lvlJc w:val="left"/>
      <w:pPr>
        <w:tabs>
          <w:tab w:val="num" w:pos="1021"/>
        </w:tabs>
        <w:ind w:left="0" w:firstLine="6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21"/>
        </w:tabs>
        <w:ind w:left="0" w:firstLine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21"/>
        </w:tabs>
        <w:ind w:left="0" w:firstLine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21"/>
        </w:tabs>
        <w:ind w:left="0" w:firstLine="6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21"/>
        </w:tabs>
        <w:ind w:left="0" w:firstLine="6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21"/>
        </w:tabs>
        <w:ind w:left="0" w:firstLine="6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21"/>
        </w:tabs>
        <w:ind w:left="0" w:firstLine="6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21"/>
        </w:tabs>
        <w:ind w:left="0" w:firstLine="6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21"/>
        </w:tabs>
        <w:ind w:left="0" w:firstLine="680"/>
      </w:pPr>
      <w:rPr>
        <w:rFonts w:hint="default"/>
      </w:rPr>
    </w:lvl>
  </w:abstractNum>
  <w:abstractNum w:abstractNumId="6" w15:restartNumberingAfterBreak="0">
    <w:nsid w:val="298B7330"/>
    <w:multiLevelType w:val="multilevel"/>
    <w:tmpl w:val="DF4266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7" w15:restartNumberingAfterBreak="0">
    <w:nsid w:val="30526F6F"/>
    <w:multiLevelType w:val="multilevel"/>
    <w:tmpl w:val="4ED0CF50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559543D"/>
    <w:multiLevelType w:val="multilevel"/>
    <w:tmpl w:val="D478B5B2"/>
    <w:lvl w:ilvl="0">
      <w:start w:val="9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76901F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F741363"/>
    <w:multiLevelType w:val="multilevel"/>
    <w:tmpl w:val="22C4362A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0FA04FD"/>
    <w:multiLevelType w:val="multilevel"/>
    <w:tmpl w:val="31B0B36E"/>
    <w:lvl w:ilvl="0">
      <w:start w:val="7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79448B7"/>
    <w:multiLevelType w:val="multilevel"/>
    <w:tmpl w:val="221C1930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5125304D"/>
    <w:multiLevelType w:val="multilevel"/>
    <w:tmpl w:val="9D1CD58E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1AC7B9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4EC1A24"/>
    <w:multiLevelType w:val="multilevel"/>
    <w:tmpl w:val="2638B55E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1A4BEB"/>
    <w:multiLevelType w:val="multilevel"/>
    <w:tmpl w:val="8D54589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D7C33D0"/>
    <w:multiLevelType w:val="multilevel"/>
    <w:tmpl w:val="87622C9A"/>
    <w:lvl w:ilvl="0">
      <w:start w:val="3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5FE942F7"/>
    <w:multiLevelType w:val="multilevel"/>
    <w:tmpl w:val="8D8A5A7C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0AE38AF"/>
    <w:multiLevelType w:val="multilevel"/>
    <w:tmpl w:val="DF1839DC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4531C98"/>
    <w:multiLevelType w:val="multilevel"/>
    <w:tmpl w:val="23C81200"/>
    <w:lvl w:ilvl="0">
      <w:start w:val="8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55D6BB8"/>
    <w:multiLevelType w:val="multilevel"/>
    <w:tmpl w:val="00BA3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8294484"/>
    <w:multiLevelType w:val="multilevel"/>
    <w:tmpl w:val="9E4C6EB8"/>
    <w:lvl w:ilvl="0">
      <w:start w:val="49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7C497C"/>
    <w:multiLevelType w:val="multilevel"/>
    <w:tmpl w:val="0C5C74C0"/>
    <w:lvl w:ilvl="0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4" w15:restartNumberingAfterBreak="0">
    <w:nsid w:val="708A3470"/>
    <w:multiLevelType w:val="multilevel"/>
    <w:tmpl w:val="8BD8527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25" w15:restartNumberingAfterBreak="0">
    <w:nsid w:val="7C54039C"/>
    <w:multiLevelType w:val="multilevel"/>
    <w:tmpl w:val="5036B2A6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96491D"/>
    <w:multiLevelType w:val="multilevel"/>
    <w:tmpl w:val="10EA5ABE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CB50C95"/>
    <w:multiLevelType w:val="multilevel"/>
    <w:tmpl w:val="BDEA7336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EF549D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18"/>
  </w:num>
  <w:num w:numId="3">
    <w:abstractNumId w:val="13"/>
  </w:num>
  <w:num w:numId="4">
    <w:abstractNumId w:val="22"/>
  </w:num>
  <w:num w:numId="5">
    <w:abstractNumId w:val="21"/>
  </w:num>
  <w:num w:numId="6">
    <w:abstractNumId w:val="4"/>
  </w:num>
  <w:num w:numId="7">
    <w:abstractNumId w:val="27"/>
  </w:num>
  <w:num w:numId="8">
    <w:abstractNumId w:val="26"/>
  </w:num>
  <w:num w:numId="9">
    <w:abstractNumId w:val="5"/>
  </w:num>
  <w:num w:numId="10">
    <w:abstractNumId w:val="2"/>
  </w:num>
  <w:num w:numId="11">
    <w:abstractNumId w:val="7"/>
  </w:num>
  <w:num w:numId="12">
    <w:abstractNumId w:val="20"/>
  </w:num>
  <w:num w:numId="13">
    <w:abstractNumId w:val="17"/>
  </w:num>
  <w:num w:numId="14">
    <w:abstractNumId w:val="19"/>
  </w:num>
  <w:num w:numId="15">
    <w:abstractNumId w:val="24"/>
  </w:num>
  <w:num w:numId="16">
    <w:abstractNumId w:val="6"/>
  </w:num>
  <w:num w:numId="17">
    <w:abstractNumId w:val="12"/>
  </w:num>
  <w:num w:numId="18">
    <w:abstractNumId w:val="16"/>
  </w:num>
  <w:num w:numId="19">
    <w:abstractNumId w:val="11"/>
  </w:num>
  <w:num w:numId="20">
    <w:abstractNumId w:val="10"/>
  </w:num>
  <w:num w:numId="21">
    <w:abstractNumId w:val="8"/>
  </w:num>
  <w:num w:numId="22">
    <w:abstractNumId w:val="0"/>
  </w:num>
  <w:num w:numId="23">
    <w:abstractNumId w:val="15"/>
  </w:num>
  <w:num w:numId="24">
    <w:abstractNumId w:val="28"/>
  </w:num>
  <w:num w:numId="25">
    <w:abstractNumId w:val="23"/>
  </w:num>
  <w:num w:numId="26">
    <w:abstractNumId w:val="14"/>
  </w:num>
  <w:num w:numId="27">
    <w:abstractNumId w:val="9"/>
  </w:num>
  <w:num w:numId="28">
    <w:abstractNumId w:val="3"/>
  </w:num>
  <w:num w:numId="29">
    <w:abstractNumId w:val="25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577"/>
    <w:rsid w:val="00052EEE"/>
    <w:rsid w:val="001F3DD1"/>
    <w:rsid w:val="003F0A52"/>
    <w:rsid w:val="00590E19"/>
    <w:rsid w:val="007B75DC"/>
    <w:rsid w:val="0096281D"/>
    <w:rsid w:val="009958A2"/>
    <w:rsid w:val="009A627D"/>
    <w:rsid w:val="009C3775"/>
    <w:rsid w:val="00A750B4"/>
    <w:rsid w:val="00B16826"/>
    <w:rsid w:val="00B33FAB"/>
    <w:rsid w:val="00BE234D"/>
    <w:rsid w:val="00C42A0C"/>
    <w:rsid w:val="00C91B5D"/>
    <w:rsid w:val="00D51372"/>
    <w:rsid w:val="00DA40E9"/>
    <w:rsid w:val="00E51A33"/>
    <w:rsid w:val="00F76577"/>
    <w:rsid w:val="00FA1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5C56A"/>
  <w15:docId w15:val="{8CF89B27-7FBE-4DB0-87BF-F51F25BEA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b/>
      <w:bCs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qFormat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3">
    <w:name w:val="Заголовок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b">
    <w:name w:val="No Spacing"/>
    <w:basedOn w:val="a"/>
    <w:uiPriority w:val="1"/>
    <w:qFormat/>
  </w:style>
  <w:style w:type="character" w:styleId="ac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d">
    <w:name w:val="Emphasis"/>
    <w:basedOn w:val="a0"/>
    <w:uiPriority w:val="20"/>
    <w:qFormat/>
    <w:rPr>
      <w:i/>
      <w:iCs/>
    </w:r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0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f1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f2">
    <w:name w:val="footnote text"/>
    <w:basedOn w:val="a"/>
    <w:link w:val="af3"/>
    <w:uiPriority w:val="99"/>
    <w:semiHidden/>
    <w:unhideWhenUsed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8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9">
    <w:name w:val="Placeholder Text"/>
    <w:basedOn w:val="a0"/>
    <w:uiPriority w:val="99"/>
    <w:semiHidden/>
    <w:rPr>
      <w:color w:val="666666"/>
    </w:rPr>
  </w:style>
  <w:style w:type="paragraph" w:styleId="afa">
    <w:name w:val="TOC Heading"/>
    <w:uiPriority w:val="39"/>
    <w:unhideWhenUsed/>
  </w:style>
  <w:style w:type="paragraph" w:styleId="afb">
    <w:name w:val="table of figures"/>
    <w:basedOn w:val="a"/>
    <w:next w:val="a"/>
    <w:uiPriority w:val="99"/>
    <w:unhideWhenUsed/>
  </w:style>
  <w:style w:type="paragraph" w:styleId="afc">
    <w:name w:val="Body Text"/>
    <w:basedOn w:val="a"/>
    <w:link w:val="afd"/>
    <w:pPr>
      <w:jc w:val="both"/>
    </w:pPr>
  </w:style>
  <w:style w:type="paragraph" w:styleId="a4">
    <w:name w:val="Title"/>
    <w:basedOn w:val="a"/>
    <w:link w:val="a3"/>
    <w:qFormat/>
    <w:pPr>
      <w:jc w:val="center"/>
    </w:pPr>
    <w:rPr>
      <w:b/>
      <w:bCs/>
    </w:rPr>
  </w:style>
  <w:style w:type="paragraph" w:styleId="afe">
    <w:name w:val="header"/>
    <w:basedOn w:val="a"/>
    <w:link w:val="aff"/>
    <w:uiPriority w:val="99"/>
    <w:pPr>
      <w:tabs>
        <w:tab w:val="center" w:pos="4677"/>
        <w:tab w:val="right" w:pos="9355"/>
      </w:tabs>
    </w:pPr>
  </w:style>
  <w:style w:type="paragraph" w:styleId="aff0">
    <w:name w:val="footer"/>
    <w:basedOn w:val="a"/>
    <w:link w:val="aff1"/>
    <w:uiPriority w:val="99"/>
    <w:pPr>
      <w:tabs>
        <w:tab w:val="center" w:pos="4677"/>
        <w:tab w:val="right" w:pos="9355"/>
      </w:tabs>
    </w:pPr>
  </w:style>
  <w:style w:type="paragraph" w:styleId="aff2">
    <w:name w:val="Balloon Text"/>
    <w:basedOn w:val="a"/>
    <w:semiHidden/>
    <w:rPr>
      <w:rFonts w:ascii="Tahoma" w:hAnsi="Tahoma" w:cs="Tahoma"/>
      <w:sz w:val="16"/>
      <w:szCs w:val="16"/>
    </w:rPr>
  </w:style>
  <w:style w:type="table" w:styleId="aff3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d">
    <w:name w:val="Основной текст Знак"/>
    <w:link w:val="afc"/>
    <w:rPr>
      <w:sz w:val="24"/>
      <w:szCs w:val="24"/>
      <w:lang w:val="ru-RU" w:eastAsia="ru-RU" w:bidi="ar-SA"/>
    </w:rPr>
  </w:style>
  <w:style w:type="character" w:customStyle="1" w:styleId="aff1">
    <w:name w:val="Нижний колонтитул Знак"/>
    <w:link w:val="aff0"/>
    <w:uiPriority w:val="99"/>
    <w:rPr>
      <w:sz w:val="24"/>
      <w:szCs w:val="24"/>
    </w:rPr>
  </w:style>
  <w:style w:type="paragraph" w:styleId="aff4">
    <w:name w:val="Body Text Indent"/>
    <w:basedOn w:val="a"/>
    <w:link w:val="aff5"/>
    <w:pPr>
      <w:spacing w:after="120"/>
      <w:ind w:left="283"/>
    </w:pPr>
  </w:style>
  <w:style w:type="paragraph" w:styleId="aff6">
    <w:name w:val="List Number"/>
    <w:basedOn w:val="a"/>
    <w:uiPriority w:val="99"/>
    <w:pPr>
      <w:widowControl w:val="0"/>
      <w:spacing w:before="60" w:after="60"/>
      <w:jc w:val="both"/>
    </w:pPr>
    <w:rPr>
      <w:rFonts w:eastAsia="Arial Unicode MS"/>
      <w:spacing w:val="1"/>
      <w:szCs w:val="20"/>
    </w:rPr>
  </w:style>
  <w:style w:type="character" w:customStyle="1" w:styleId="13">
    <w:name w:val="Основной текст Знак1"/>
    <w:semiHidden/>
    <w:rPr>
      <w:sz w:val="24"/>
      <w:szCs w:val="24"/>
      <w:lang w:val="ru-RU" w:eastAsia="ru-RU" w:bidi="ar-SA"/>
    </w:rPr>
  </w:style>
  <w:style w:type="paragraph" w:customStyle="1" w:styleId="aff7">
    <w:name w:val="Стиль начало"/>
    <w:basedOn w:val="a"/>
    <w:pPr>
      <w:spacing w:line="264" w:lineRule="auto"/>
    </w:pPr>
    <w:rPr>
      <w:sz w:val="28"/>
      <w:szCs w:val="20"/>
    </w:rPr>
  </w:style>
  <w:style w:type="paragraph" w:customStyle="1" w:styleId="aff8">
    <w:name w:val="Знак 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20">
    <w:name w:val="Заголовок 2 Знак"/>
    <w:link w:val="2"/>
    <w:rPr>
      <w:b/>
      <w:bCs/>
      <w:sz w:val="24"/>
      <w:szCs w:val="24"/>
      <w:lang w:eastAsia="en-US"/>
    </w:rPr>
  </w:style>
  <w:style w:type="paragraph" w:customStyle="1" w:styleId="russian">
    <w:name w:val="russian"/>
    <w:basedOn w:val="a"/>
    <w:pPr>
      <w:widowControl w:val="0"/>
      <w:spacing w:line="360" w:lineRule="auto"/>
      <w:ind w:firstLine="567"/>
      <w:jc w:val="both"/>
    </w:pPr>
    <w:rPr>
      <w:rFonts w:ascii="TimesET" w:hAnsi="TimesET"/>
      <w:szCs w:val="20"/>
      <w:lang w:eastAsia="en-US"/>
    </w:rPr>
  </w:style>
  <w:style w:type="character" w:customStyle="1" w:styleId="aff5">
    <w:name w:val="Основной текст с отступом Знак"/>
    <w:link w:val="aff4"/>
    <w:rPr>
      <w:sz w:val="24"/>
      <w:szCs w:val="24"/>
    </w:rPr>
  </w:style>
  <w:style w:type="character" w:customStyle="1" w:styleId="aff">
    <w:name w:val="Верхний колонтитул Знак"/>
    <w:link w:val="afe"/>
    <w:uiPriority w:val="99"/>
    <w:rPr>
      <w:sz w:val="24"/>
      <w:szCs w:val="24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14">
    <w:name w:val="Основной текст с отступом1"/>
    <w:basedOn w:val="a"/>
    <w:link w:val="BodyTextIndentChar"/>
    <w:pPr>
      <w:spacing w:before="120" w:line="360" w:lineRule="auto"/>
      <w:ind w:firstLine="720"/>
      <w:jc w:val="both"/>
    </w:pPr>
    <w:rPr>
      <w:szCs w:val="20"/>
    </w:rPr>
  </w:style>
  <w:style w:type="character" w:customStyle="1" w:styleId="BodyTextIndentChar">
    <w:name w:val="Body Text Indent Char"/>
    <w:link w:val="14"/>
    <w:rPr>
      <w:sz w:val="24"/>
    </w:rPr>
  </w:style>
  <w:style w:type="paragraph" w:customStyle="1" w:styleId="140">
    <w:name w:val="Стиль14"/>
    <w:basedOn w:val="a"/>
    <w:pPr>
      <w:spacing w:line="264" w:lineRule="auto"/>
      <w:ind w:firstLine="720"/>
      <w:jc w:val="both"/>
    </w:pPr>
    <w:rPr>
      <w:sz w:val="28"/>
      <w:szCs w:val="20"/>
    </w:rPr>
  </w:style>
  <w:style w:type="character" w:styleId="aff9">
    <w:name w:val="annotation reference"/>
    <w:uiPriority w:val="99"/>
    <w:semiHidden/>
    <w:unhideWhenUsed/>
    <w:rPr>
      <w:sz w:val="16"/>
      <w:szCs w:val="16"/>
    </w:rPr>
  </w:style>
  <w:style w:type="paragraph" w:styleId="affa">
    <w:name w:val="annotation text"/>
    <w:basedOn w:val="a"/>
    <w:link w:val="affb"/>
    <w:unhideWhenUsed/>
    <w:rPr>
      <w:sz w:val="20"/>
      <w:szCs w:val="20"/>
    </w:rPr>
  </w:style>
  <w:style w:type="character" w:customStyle="1" w:styleId="affb">
    <w:name w:val="Текст примечания Знак"/>
    <w:basedOn w:val="a0"/>
    <w:link w:val="affa"/>
  </w:style>
  <w:style w:type="paragraph" w:styleId="affc">
    <w:name w:val="annotation subject"/>
    <w:basedOn w:val="affa"/>
    <w:next w:val="affa"/>
    <w:link w:val="affd"/>
    <w:uiPriority w:val="99"/>
    <w:semiHidden/>
    <w:unhideWhenUsed/>
    <w:rPr>
      <w:b/>
      <w:bCs/>
    </w:rPr>
  </w:style>
  <w:style w:type="character" w:customStyle="1" w:styleId="affd">
    <w:name w:val="Тема примечания Знак"/>
    <w:link w:val="affc"/>
    <w:uiPriority w:val="99"/>
    <w:semiHidden/>
    <w:rPr>
      <w:b/>
      <w:bCs/>
    </w:rPr>
  </w:style>
  <w:style w:type="paragraph" w:styleId="affe">
    <w:name w:val="Revision"/>
    <w:hidden/>
    <w:uiPriority w:val="99"/>
    <w:semiHidden/>
    <w:rPr>
      <w:sz w:val="24"/>
      <w:szCs w:val="24"/>
    </w:rPr>
  </w:style>
  <w:style w:type="paragraph" w:styleId="afff">
    <w:name w:val="List Paragraph"/>
    <w:basedOn w:val="a"/>
    <w:uiPriority w:val="34"/>
    <w:qFormat/>
    <w:pPr>
      <w:ind w:left="720"/>
      <w:contextualSpacing/>
    </w:pPr>
  </w:style>
  <w:style w:type="paragraph" w:styleId="25">
    <w:name w:val="Body Text Indent 2"/>
    <w:basedOn w:val="a"/>
    <w:link w:val="26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link w:val="25"/>
    <w:rPr>
      <w:sz w:val="24"/>
      <w:szCs w:val="24"/>
    </w:rPr>
  </w:style>
  <w:style w:type="character" w:styleId="afff0">
    <w:name w:val="page number"/>
    <w:basedOn w:val="a0"/>
  </w:style>
  <w:style w:type="paragraph" w:customStyle="1" w:styleId="Style5">
    <w:name w:val="Style5"/>
    <w:basedOn w:val="a"/>
    <w:pPr>
      <w:widowControl w:val="0"/>
      <w:spacing w:line="259" w:lineRule="exact"/>
      <w:ind w:firstLine="706"/>
    </w:pPr>
  </w:style>
  <w:style w:type="character" w:customStyle="1" w:styleId="FontStyle23">
    <w:name w:val="Font Style23"/>
    <w:rPr>
      <w:rFonts w:ascii="Times New Roman" w:hAnsi="Times New Roman" w:cs="Times New Roman"/>
      <w:sz w:val="20"/>
      <w:szCs w:val="20"/>
    </w:rPr>
  </w:style>
  <w:style w:type="paragraph" w:customStyle="1" w:styleId="27">
    <w:name w:val="Основной текст с отступом2"/>
    <w:basedOn w:val="a"/>
    <w:pPr>
      <w:spacing w:before="120" w:line="360" w:lineRule="auto"/>
      <w:ind w:firstLine="720"/>
      <w:jc w:val="both"/>
    </w:pPr>
    <w:rPr>
      <w:szCs w:val="20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8">
    <w:name w:val="Body Text 2"/>
    <w:basedOn w:val="a"/>
    <w:link w:val="29"/>
    <w:uiPriority w:val="99"/>
    <w:semiHidden/>
    <w:unhideWhenUsed/>
    <w:pPr>
      <w:spacing w:after="120" w:line="480" w:lineRule="auto"/>
    </w:pPr>
  </w:style>
  <w:style w:type="character" w:customStyle="1" w:styleId="29">
    <w:name w:val="Основной текст 2 Знак"/>
    <w:basedOn w:val="a0"/>
    <w:link w:val="28"/>
    <w:uiPriority w:val="99"/>
    <w:semiHidden/>
    <w:rPr>
      <w:sz w:val="24"/>
      <w:szCs w:val="24"/>
    </w:rPr>
  </w:style>
  <w:style w:type="paragraph" w:customStyle="1" w:styleId="33">
    <w:name w:val="Основной текст с отступом3"/>
    <w:basedOn w:val="a"/>
    <w:pPr>
      <w:spacing w:before="120" w:line="360" w:lineRule="auto"/>
      <w:ind w:firstLine="720"/>
      <w:jc w:val="both"/>
    </w:pPr>
    <w:rPr>
      <w:szCs w:val="20"/>
    </w:rPr>
  </w:style>
  <w:style w:type="paragraph" w:customStyle="1" w:styleId="afff1">
    <w:name w:val="Стиль По ширине"/>
    <w:basedOn w:val="a"/>
    <w:pPr>
      <w:spacing w:before="60" w:after="60"/>
      <w:jc w:val="both"/>
    </w:pPr>
  </w:style>
  <w:style w:type="paragraph" w:styleId="afff2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customStyle="1" w:styleId="43">
    <w:name w:val="Основной текст с отступом4"/>
    <w:basedOn w:val="a"/>
    <w:pPr>
      <w:spacing w:before="120" w:line="360" w:lineRule="auto"/>
      <w:ind w:firstLine="720"/>
      <w:jc w:val="both"/>
    </w:pPr>
    <w:rPr>
      <w:szCs w:val="20"/>
    </w:rPr>
  </w:style>
  <w:style w:type="character" w:styleId="afff3">
    <w:name w:val="endnote reference"/>
    <w:basedOn w:val="a0"/>
    <w:semiHidden/>
    <w:rPr>
      <w:vertAlign w:val="superscript"/>
    </w:rPr>
  </w:style>
  <w:style w:type="paragraph" w:customStyle="1" w:styleId="Default">
    <w:name w:val="Default"/>
    <w:rsid w:val="00FA107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46C7C-815B-401E-822E-2DF7A3FC6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1029</Words>
  <Characters>5870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</vt:lpstr>
    </vt:vector>
  </TitlesOfParts>
  <Company>АОЭиЭ Иркутскэнерго</Company>
  <LinksUpToDate>false</LinksUpToDate>
  <CharactersWithSpaces>6886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DOC-MARKER-eApXRw_Qx_hnAtfQjSeYXA</dc:description>
  <dc:title>Д О Г О В О Р</dc:title>
  <dc:creator>Beloborodova_IV@tec11.irkutskenergo.ru</dc:creator>
  <cp:lastModifiedBy>Личманова Оксана Юрьевна</cp:lastModifiedBy>
  <cp:revision>5</cp:revision>
  <dcterms:created xsi:type="dcterms:W3CDTF">2026-05-20T05:19:00Z</dcterms:created>
  <dcterms:modified xsi:type="dcterms:W3CDTF">2026-05-20T10:04:00Z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-2033596883</vt:i4>
  </property>
</Properties>
</file>