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34" w:rsidRDefault="001A55E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 </w:t>
      </w:r>
    </w:p>
    <w:p w:rsidR="007B2C34" w:rsidRDefault="001A55E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поставку маршрутизаторов, конвектора и счетчиков.</w:t>
      </w:r>
    </w:p>
    <w:p w:rsidR="007B2C34" w:rsidRDefault="001A55E9">
      <w:pPr>
        <w:pStyle w:val="aff0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:rsidR="007B2C34" w:rsidRDefault="001A55E9">
      <w:pPr>
        <w:pStyle w:val="aff0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</w:t>
      </w:r>
      <w:r>
        <w:rPr>
          <w:rFonts w:ascii="Times New Roman" w:hAnsi="Times New Roman"/>
          <w:i/>
          <w:iCs/>
          <w:sz w:val="18"/>
          <w:szCs w:val="18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7B2C34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Национальный реж</w:t>
            </w:r>
            <w:r>
              <w:rPr>
                <w:rFonts w:ascii="Times New Roman" w:hAnsi="Times New Roman"/>
                <w:b/>
                <w:bCs/>
              </w:rPr>
              <w:t>им</w:t>
            </w:r>
          </w:p>
        </w:tc>
      </w:tr>
      <w:tr w:rsidR="007B2C34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34" w:rsidRDefault="007B2C3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34" w:rsidRDefault="007B2C3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34" w:rsidRDefault="007B2C3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</w:t>
            </w:r>
          </w:p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(Преимущество)</w:t>
            </w:r>
            <w:bookmarkEnd w:id="0"/>
          </w:p>
        </w:tc>
      </w:tr>
      <w:tr w:rsidR="007B2C34">
        <w:trPr>
          <w:trHeight w:val="18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7B2C34">
            <w:pPr>
              <w:pStyle w:val="aff0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26.30.11.122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Маршрутизатор каналов связи</w:t>
            </w: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B2C34">
        <w:trPr>
          <w:trHeight w:val="25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7B2C34">
            <w:pPr>
              <w:pStyle w:val="aff0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26.51.44.000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Конвертор</w:t>
            </w: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B2C34">
        <w:trPr>
          <w:trHeight w:val="24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7B2C34">
            <w:pPr>
              <w:pStyle w:val="aff0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26.51.63.130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>Счетчик</w:t>
            </w: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B2C34">
        <w:trPr>
          <w:trHeight w:val="2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7B2C34">
            <w:pPr>
              <w:pStyle w:val="aff0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26.51.63.130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</w:rPr>
              <w:t>Счетчик</w:t>
            </w: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1A55E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7B2C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7B2C34" w:rsidRDefault="001A55E9">
      <w:pPr>
        <w:spacing w:after="0" w:line="240" w:lineRule="auto"/>
        <w:ind w:left="-284"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>В случае</w:t>
      </w:r>
      <w:proofErr w:type="gramStart"/>
      <w:r>
        <w:rPr>
          <w:rFonts w:ascii="Times New Roman" w:hAnsi="Times New Roman"/>
          <w:bCs/>
          <w:i/>
          <w:iCs/>
          <w:sz w:val="18"/>
          <w:szCs w:val="18"/>
        </w:rPr>
        <w:t>,</w:t>
      </w:r>
      <w:proofErr w:type="gramEnd"/>
      <w:r>
        <w:rPr>
          <w:rFonts w:ascii="Times New Roman" w:hAnsi="Times New Roman"/>
          <w:bCs/>
          <w:i/>
          <w:iCs/>
          <w:sz w:val="18"/>
          <w:szCs w:val="18"/>
        </w:rPr>
        <w:t xml:space="preserve">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модели, промышленные образцы,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наименования или эквивалент», «пате</w:t>
      </w:r>
      <w:r>
        <w:rPr>
          <w:rFonts w:ascii="Times New Roman" w:hAnsi="Times New Roman"/>
          <w:bCs/>
          <w:i/>
          <w:iCs/>
          <w:sz w:val="18"/>
          <w:szCs w:val="18"/>
        </w:rPr>
        <w:t>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885"/>
        <w:gridCol w:w="6815"/>
        <w:gridCol w:w="725"/>
        <w:gridCol w:w="724"/>
      </w:tblGrid>
      <w:tr w:rsidR="007B2C34">
        <w:trPr>
          <w:trHeight w:val="20"/>
          <w:tblHeader/>
        </w:trPr>
        <w:tc>
          <w:tcPr>
            <w:tcW w:w="568" w:type="dxa"/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663" w:type="dxa"/>
          </w:tcPr>
          <w:p w:rsidR="007B2C34" w:rsidRDefault="001A55E9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7B2C34">
        <w:trPr>
          <w:trHeight w:val="20"/>
        </w:trPr>
        <w:tc>
          <w:tcPr>
            <w:tcW w:w="568" w:type="dxa"/>
            <w:shd w:val="clear" w:color="auto" w:fill="auto"/>
          </w:tcPr>
          <w:p w:rsidR="007B2C34" w:rsidRDefault="007B2C34">
            <w:pPr>
              <w:pStyle w:val="aff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 xml:space="preserve">Маршрутизатор каналов связи </w:t>
            </w:r>
          </w:p>
          <w:p w:rsidR="007B2C34" w:rsidRDefault="001A55E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proofErr w:type="spellStart"/>
            <w:r>
              <w:rPr>
                <w:rStyle w:val="docy"/>
                <w:rFonts w:ascii="Times New Roman" w:hAnsi="Times New Roman"/>
              </w:rPr>
              <w:t>РиМ</w:t>
            </w:r>
            <w:proofErr w:type="spellEnd"/>
            <w:r>
              <w:rPr>
                <w:rStyle w:val="docy"/>
                <w:rFonts w:ascii="Times New Roman" w:hAnsi="Times New Roman"/>
              </w:rPr>
              <w:t xml:space="preserve"> 099.03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>
              <w:rPr>
                <w:rStyle w:val="docy"/>
                <w:rFonts w:ascii="Times New Roman" w:hAnsi="Times New Roman"/>
              </w:rPr>
              <w:t>ВК</w:t>
            </w:r>
            <w:proofErr w:type="gramStart"/>
            <w:r>
              <w:rPr>
                <w:rStyle w:val="docy"/>
                <w:rFonts w:ascii="Times New Roman" w:hAnsi="Times New Roman"/>
              </w:rPr>
              <w:t>1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 питания: не менее 3х230/400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Рабочий диапазон фазных напряжений: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не менее 164 до не более 264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Предельное значение фазного напряжения: не менее 280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Номинальная активная потребляемая мощность, (без учета мощности, потребляемой подключенными коммуникаторами,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 учетом обеспечения подзарядки аккумулятора),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 Вт,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– МКС обеспечивают</w:t>
            </w:r>
            <w:r>
              <w:rPr>
                <w:rFonts w:ascii="Times New Roman" w:hAnsi="Times New Roman"/>
              </w:rPr>
              <w:t xml:space="preserve"> подключение встраиваемых коммуникаторов с суммарной потребляемой мощностью не более 56 Вт.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частота: не менее 50 Гц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Рабочий диапазон частот,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 не менее 49,5 и до не более 50,5 Гц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Пределы допускаемых значений поправки часов (ЧРВ) после выполнения синхронизации: не более 1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Пределы допускаемых значений хода часов (ЧРВ):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0,5 с/</w:t>
            </w:r>
            <w:proofErr w:type="spellStart"/>
            <w:r>
              <w:rPr>
                <w:rFonts w:ascii="Times New Roman" w:hAnsi="Times New Roman"/>
              </w:rPr>
              <w:t>сут</w:t>
            </w:r>
            <w:proofErr w:type="spell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автономности ЧРВ и функции фиксации изменения состояния электронных пломб, фиксации крит</w:t>
            </w:r>
            <w:r>
              <w:rPr>
                <w:rFonts w:ascii="Times New Roman" w:hAnsi="Times New Roman"/>
              </w:rPr>
              <w:t xml:space="preserve">ических событий при отсутствии напряжения сети и </w:t>
            </w:r>
            <w:proofErr w:type="gramStart"/>
            <w:r>
              <w:rPr>
                <w:rFonts w:ascii="Times New Roman" w:hAnsi="Times New Roman"/>
              </w:rPr>
              <w:t>при</w:t>
            </w:r>
            <w:proofErr w:type="gramEnd"/>
            <w:r>
              <w:rPr>
                <w:rFonts w:ascii="Times New Roman" w:hAnsi="Times New Roman"/>
              </w:rPr>
              <w:t xml:space="preserve"> отключенном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источнике</w:t>
            </w:r>
            <w:proofErr w:type="gramEnd"/>
            <w:r>
              <w:rPr>
                <w:rFonts w:ascii="Times New Roman" w:hAnsi="Times New Roman"/>
              </w:rPr>
              <w:t xml:space="preserve"> резервного электропитания: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элемента питания: не менее 48 ч,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подключенном элементе питания не менее 10 лет,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Время автономной работы МКС при отключенном сетевом</w:t>
            </w:r>
            <w:r>
              <w:rPr>
                <w:rFonts w:ascii="Times New Roman" w:hAnsi="Times New Roman"/>
              </w:rPr>
              <w:t xml:space="preserve"> напряжении (при подключенном источнике резервного электропитания – аккумуляторе, не менее 24 ч,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- При емкости подключенного аккумулятора не менее 12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•ч</w:t>
            </w:r>
            <w:proofErr w:type="spellEnd"/>
            <w:r>
              <w:rPr>
                <w:rFonts w:ascii="Times New Roman" w:hAnsi="Times New Roman"/>
              </w:rPr>
              <w:t xml:space="preserve"> (или источника бесперебойного питания 12 В, 1 А, 7 </w:t>
            </w:r>
            <w:proofErr w:type="spellStart"/>
            <w:r>
              <w:rPr>
                <w:rFonts w:ascii="Times New Roman" w:hAnsi="Times New Roman"/>
              </w:rPr>
              <w:t>А•ч</w:t>
            </w:r>
            <w:proofErr w:type="spellEnd"/>
            <w:r>
              <w:rPr>
                <w:rFonts w:ascii="Times New Roman" w:hAnsi="Times New Roman"/>
              </w:rPr>
              <w:t>). В течение указанного времени досту</w:t>
            </w:r>
            <w:r>
              <w:rPr>
                <w:rFonts w:ascii="Times New Roman" w:hAnsi="Times New Roman"/>
              </w:rPr>
              <w:t xml:space="preserve">пна функция опроса МКС устройствами верхнего уровня АС по интерфейсам LAN </w:t>
            </w:r>
            <w:proofErr w:type="spellStart"/>
            <w:r>
              <w:rPr>
                <w:rFonts w:ascii="Times New Roman" w:hAnsi="Times New Roman"/>
              </w:rPr>
              <w:t>Ethernet</w:t>
            </w:r>
            <w:proofErr w:type="spellEnd"/>
            <w:r>
              <w:rPr>
                <w:rFonts w:ascii="Times New Roman" w:hAnsi="Times New Roman"/>
              </w:rPr>
              <w:t xml:space="preserve"> и GPRS.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 подзарядки аккумулятора: не более 1100 мА,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количество опрашиваемых приборов учета (счетчики электрической энергии, интеллектуальные приборы учета э</w:t>
            </w:r>
            <w:r>
              <w:rPr>
                <w:rFonts w:ascii="Times New Roman" w:hAnsi="Times New Roman"/>
              </w:rPr>
              <w:t>лектроэнергии и т.п.), не менее 750 шт.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защиты, обеспечиваемая оболочками МКС (код IP по ГОСТ </w:t>
            </w:r>
            <w:r>
              <w:rPr>
                <w:rFonts w:ascii="Times New Roman" w:hAnsi="Times New Roman"/>
              </w:rPr>
              <w:lastRenderedPageBreak/>
              <w:t>14254-2015)6 не ниже IP51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работы: круглосуточный (непрерывный)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Дополнительное оборудование: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монтажное </w:t>
            </w:r>
            <w:proofErr w:type="spellStart"/>
            <w:r>
              <w:rPr>
                <w:rFonts w:ascii="Times New Roman" w:hAnsi="Times New Roman"/>
              </w:rPr>
              <w:t>РиМ</w:t>
            </w:r>
            <w:proofErr w:type="spellEnd"/>
            <w:r>
              <w:rPr>
                <w:rFonts w:ascii="Times New Roman" w:hAnsi="Times New Roman"/>
              </w:rPr>
              <w:t xml:space="preserve"> 000.22 не менее 1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B2C34">
        <w:trPr>
          <w:trHeight w:val="20"/>
        </w:trPr>
        <w:tc>
          <w:tcPr>
            <w:tcW w:w="568" w:type="dxa"/>
            <w:shd w:val="clear" w:color="auto" w:fill="auto"/>
          </w:tcPr>
          <w:p w:rsidR="007B2C34" w:rsidRDefault="007B2C34">
            <w:pPr>
              <w:pStyle w:val="aff0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 xml:space="preserve">Конвертор USB-RF </w:t>
            </w:r>
            <w:proofErr w:type="spellStart"/>
            <w:r>
              <w:rPr>
                <w:rStyle w:val="docy"/>
                <w:rFonts w:ascii="Times New Roman" w:hAnsi="Times New Roman"/>
              </w:rPr>
              <w:t>РиМ</w:t>
            </w:r>
            <w:proofErr w:type="spellEnd"/>
            <w:r>
              <w:rPr>
                <w:rStyle w:val="docy"/>
                <w:rFonts w:ascii="Times New Roman" w:hAnsi="Times New Roman"/>
              </w:rPr>
              <w:t xml:space="preserve"> 043.08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Назначение. Обеспечение связи между компьютером и электросчётчиками через радиоканал. Используется в составе мобильных терминалов или для удалённого считывания данных.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Интерфейсы.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USB (для подключения к компьютеру)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RF (для связи со счётчиками)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B2C34">
        <w:trPr>
          <w:trHeight w:val="20"/>
        </w:trPr>
        <w:tc>
          <w:tcPr>
            <w:tcW w:w="568" w:type="dxa"/>
            <w:shd w:val="clear" w:color="auto" w:fill="auto"/>
          </w:tcPr>
          <w:p w:rsidR="007B2C34" w:rsidRDefault="007B2C34">
            <w:pPr>
              <w:pStyle w:val="aff0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 xml:space="preserve">Счетчик </w:t>
            </w:r>
            <w:proofErr w:type="spellStart"/>
            <w:r>
              <w:rPr>
                <w:rStyle w:val="docy"/>
                <w:rFonts w:ascii="Times New Roman" w:hAnsi="Times New Roman"/>
              </w:rPr>
              <w:t>РиМ</w:t>
            </w:r>
            <w:proofErr w:type="spellEnd"/>
            <w:r>
              <w:rPr>
                <w:rStyle w:val="docy"/>
                <w:rFonts w:ascii="Times New Roman" w:hAnsi="Times New Roman"/>
              </w:rPr>
              <w:t xml:space="preserve"> 189.46 ВК</w:t>
            </w:r>
            <w:proofErr w:type="gramStart"/>
            <w:r>
              <w:rPr>
                <w:rStyle w:val="docy"/>
                <w:rFonts w:ascii="Times New Roman" w:hAnsi="Times New Roman"/>
              </w:rPr>
              <w:t>.О</w:t>
            </w:r>
            <w:proofErr w:type="gramEnd"/>
            <w:r>
              <w:rPr>
                <w:rStyle w:val="docy"/>
                <w:rFonts w:ascii="Times New Roman" w:hAnsi="Times New Roman"/>
              </w:rPr>
              <w:t xml:space="preserve"> с ДД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точности при измерении активной/реактивной энергии: не ниже 1/1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ток: не более 5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ток: не более 100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напряжение: не более 240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Установленный диапазон напряжений: от не менее 161 до не более 276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Расширенный диапазон напряжений: от не менее 138 до не более 276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Предельный диапазон напряжений: от не менее 0 до не более 400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частота: не менее 50 Гц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7B2C34">
        <w:trPr>
          <w:trHeight w:val="20"/>
        </w:trPr>
        <w:tc>
          <w:tcPr>
            <w:tcW w:w="568" w:type="dxa"/>
            <w:shd w:val="clear" w:color="auto" w:fill="auto"/>
          </w:tcPr>
          <w:p w:rsidR="007B2C34" w:rsidRDefault="007B2C34">
            <w:pPr>
              <w:pStyle w:val="aff0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Счетчик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489.46 ВК</w:t>
            </w:r>
            <w:proofErr w:type="gramStart"/>
            <w:r>
              <w:rPr>
                <w:rFonts w:ascii="Times New Roman" w:hAnsi="Times New Roman"/>
                <w:color w:val="000000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 </w:t>
            </w:r>
            <w:r>
              <w:rPr>
                <w:rStyle w:val="docy"/>
                <w:rFonts w:ascii="Times New Roman" w:hAnsi="Times New Roman"/>
              </w:rPr>
              <w:t>ДД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точности при измерении активной/реактивной энергии: не ниже 1/1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ток: не более 5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ток: не более 100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напряжение: не менее 3 фазы не более 240/ 400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Установленный диапазон напряжений: от </w:t>
            </w:r>
            <w:r>
              <w:rPr>
                <w:rFonts w:ascii="Times New Roman" w:hAnsi="Times New Roman"/>
              </w:rPr>
              <w:t>не менее 198 до не более 253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Расширенный диапазон напряжений: от не менее 140 до не более 264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Предельный диапазон напряжений: от не менее 0 до не более 400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7B2C34" w:rsidRDefault="001A5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частота: не менее 50 Гц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34" w:rsidRDefault="001A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7B2C34" w:rsidRDefault="001A55E9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E81E94" w:rsidRPr="00E81E94">
        <w:rPr>
          <w:rFonts w:ascii="Times New Roman" w:hAnsi="Times New Roman"/>
          <w:bCs/>
          <w:shd w:val="clear" w:color="auto" w:fill="F9FAFB"/>
        </w:rPr>
        <w:t xml:space="preserve">Поставка товара осуществляется путем его выборки Покупателем со </w:t>
      </w:r>
      <w:r w:rsidR="00E81E94">
        <w:rPr>
          <w:rFonts w:ascii="Times New Roman" w:hAnsi="Times New Roman"/>
          <w:bCs/>
          <w:shd w:val="clear" w:color="auto" w:fill="F9FAFB"/>
        </w:rPr>
        <w:t xml:space="preserve">склада Поставщика либо склада транспортной компании в </w:t>
      </w:r>
      <w:proofErr w:type="gramStart"/>
      <w:r w:rsidR="00E81E94">
        <w:rPr>
          <w:rFonts w:ascii="Times New Roman" w:hAnsi="Times New Roman"/>
          <w:bCs/>
          <w:shd w:val="clear" w:color="auto" w:fill="F9FAFB"/>
        </w:rPr>
        <w:t>г</w:t>
      </w:r>
      <w:proofErr w:type="gramEnd"/>
      <w:r w:rsidR="00E81E94">
        <w:rPr>
          <w:rFonts w:ascii="Times New Roman" w:hAnsi="Times New Roman"/>
          <w:bCs/>
          <w:shd w:val="clear" w:color="auto" w:fill="F9FAFB"/>
        </w:rPr>
        <w:t>. Красноярск.</w:t>
      </w:r>
      <w:bookmarkStart w:id="1" w:name="_GoBack"/>
      <w:bookmarkEnd w:id="1"/>
    </w:p>
    <w:p w:rsidR="007B2C34" w:rsidRDefault="001A55E9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>
        <w:rPr>
          <w:rFonts w:ascii="Times New Roman" w:hAnsi="Times New Roman"/>
          <w:bCs/>
          <w:shd w:val="clear" w:color="auto" w:fill="F9FAFB"/>
        </w:rPr>
        <w:t>в течение 15 рабочих дней с момента заключения договора.</w:t>
      </w:r>
    </w:p>
    <w:p w:rsidR="007B2C34" w:rsidRDefault="001A55E9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 xml:space="preserve">3.1. Доставка товара, погрузочно-разгрузочные работы, производятся силами и </w:t>
      </w:r>
      <w:r>
        <w:rPr>
          <w:rFonts w:ascii="Times New Roman" w:hAnsi="Times New Roman"/>
          <w:bCs/>
          <w:shd w:val="clear" w:color="auto" w:fill="F9FAFB"/>
        </w:rPr>
        <w:t>за счет Поставщика</w:t>
      </w:r>
    </w:p>
    <w:p w:rsidR="007B2C34" w:rsidRDefault="001A55E9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</w:t>
      </w:r>
      <w:r>
        <w:rPr>
          <w:color w:val="000000"/>
          <w:sz w:val="22"/>
          <w:szCs w:val="22"/>
        </w:rPr>
        <w:t xml:space="preserve">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4.3. Поставляемый Товар должен являться новым, ранее не использованным (все составные части </w:t>
      </w:r>
      <w:r>
        <w:rPr>
          <w:color w:val="000000"/>
          <w:sz w:val="22"/>
          <w:szCs w:val="22"/>
        </w:rPr>
        <w:t>Товара должны быть новыми), не должен иметь дефектов;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</w:t>
      </w:r>
      <w:r>
        <w:rPr>
          <w:color w:val="000000"/>
          <w:sz w:val="22"/>
          <w:szCs w:val="22"/>
        </w:rPr>
        <w:t>еской документации;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</w:t>
      </w:r>
      <w:r>
        <w:rPr>
          <w:b/>
          <w:bCs/>
          <w:color w:val="000000"/>
          <w:sz w:val="22"/>
          <w:szCs w:val="22"/>
        </w:rPr>
        <w:t>кировке поставляемого товара: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</w:t>
      </w:r>
      <w:r>
        <w:rPr>
          <w:color w:val="000000"/>
          <w:sz w:val="22"/>
          <w:szCs w:val="22"/>
        </w:rPr>
        <w:t>одержаться отчетливая информация на русском языке;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5.2. </w:t>
      </w:r>
      <w:r>
        <w:rPr>
          <w:color w:val="000000"/>
          <w:sz w:val="22"/>
          <w:szCs w:val="22"/>
        </w:rPr>
        <w:t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</w:t>
      </w:r>
      <w:r>
        <w:rPr>
          <w:color w:val="000000"/>
          <w:sz w:val="22"/>
          <w:szCs w:val="22"/>
        </w:rPr>
        <w:t xml:space="preserve">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</w:t>
      </w:r>
      <w:r>
        <w:rPr>
          <w:b/>
          <w:bCs/>
          <w:color w:val="000000"/>
          <w:sz w:val="22"/>
          <w:szCs w:val="22"/>
        </w:rPr>
        <w:t>а и (или) объему предоставления гарантий качества товара: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6.2. Гарантийные обязательства должны распространяться на каждую единицу товара с момента приемки </w:t>
      </w:r>
      <w:r>
        <w:rPr>
          <w:color w:val="000000"/>
          <w:sz w:val="22"/>
          <w:szCs w:val="22"/>
        </w:rPr>
        <w:t>товара Заказчиком.</w:t>
      </w:r>
    </w:p>
    <w:p w:rsidR="007B2C34" w:rsidRDefault="001A55E9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</w:t>
      </w:r>
      <w:r>
        <w:rPr>
          <w:color w:val="000000"/>
          <w:sz w:val="22"/>
          <w:szCs w:val="22"/>
        </w:rPr>
        <w:t xml:space="preserve">у ассортименту, заменить товар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соответствующий, своим транспортом и за свой счет, в сроки, определенные договором.</w:t>
      </w:r>
    </w:p>
    <w:sectPr w:rsidR="007B2C3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E9" w:rsidRDefault="001A55E9">
      <w:pPr>
        <w:spacing w:line="240" w:lineRule="auto"/>
      </w:pPr>
      <w:r>
        <w:separator/>
      </w:r>
    </w:p>
  </w:endnote>
  <w:endnote w:type="continuationSeparator" w:id="0">
    <w:p w:rsidR="001A55E9" w:rsidRDefault="001A5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E9" w:rsidRDefault="001A55E9">
      <w:pPr>
        <w:spacing w:after="0"/>
      </w:pPr>
      <w:r>
        <w:separator/>
      </w:r>
    </w:p>
  </w:footnote>
  <w:footnote w:type="continuationSeparator" w:id="0">
    <w:p w:rsidR="001A55E9" w:rsidRDefault="001A55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B029C"/>
    <w:multiLevelType w:val="hybridMultilevel"/>
    <w:tmpl w:val="721ABEAC"/>
    <w:lvl w:ilvl="0" w:tplc="5B2C1540">
      <w:start w:val="1"/>
      <w:numFmt w:val="decimal"/>
      <w:lvlText w:val="%1."/>
      <w:lvlJc w:val="left"/>
      <w:pPr>
        <w:ind w:left="720" w:hanging="360"/>
      </w:pPr>
    </w:lvl>
    <w:lvl w:ilvl="1" w:tplc="BE042374">
      <w:start w:val="1"/>
      <w:numFmt w:val="lowerLetter"/>
      <w:lvlText w:val="%2."/>
      <w:lvlJc w:val="left"/>
      <w:pPr>
        <w:ind w:left="1440" w:hanging="360"/>
      </w:pPr>
    </w:lvl>
    <w:lvl w:ilvl="2" w:tplc="6CDE10AA">
      <w:start w:val="1"/>
      <w:numFmt w:val="lowerRoman"/>
      <w:lvlText w:val="%3."/>
      <w:lvlJc w:val="right"/>
      <w:pPr>
        <w:ind w:left="2160" w:hanging="180"/>
      </w:pPr>
    </w:lvl>
    <w:lvl w:ilvl="3" w:tplc="C248EE5C">
      <w:start w:val="1"/>
      <w:numFmt w:val="decimal"/>
      <w:lvlText w:val="%4."/>
      <w:lvlJc w:val="left"/>
      <w:pPr>
        <w:ind w:left="2880" w:hanging="360"/>
      </w:pPr>
    </w:lvl>
    <w:lvl w:ilvl="4" w:tplc="EF681064">
      <w:start w:val="1"/>
      <w:numFmt w:val="lowerLetter"/>
      <w:lvlText w:val="%5."/>
      <w:lvlJc w:val="left"/>
      <w:pPr>
        <w:ind w:left="3600" w:hanging="360"/>
      </w:pPr>
    </w:lvl>
    <w:lvl w:ilvl="5" w:tplc="2D243A7A">
      <w:start w:val="1"/>
      <w:numFmt w:val="lowerRoman"/>
      <w:lvlText w:val="%6."/>
      <w:lvlJc w:val="right"/>
      <w:pPr>
        <w:ind w:left="4320" w:hanging="180"/>
      </w:pPr>
    </w:lvl>
    <w:lvl w:ilvl="6" w:tplc="CB1C8064">
      <w:start w:val="1"/>
      <w:numFmt w:val="decimal"/>
      <w:lvlText w:val="%7."/>
      <w:lvlJc w:val="left"/>
      <w:pPr>
        <w:ind w:left="5040" w:hanging="360"/>
      </w:pPr>
    </w:lvl>
    <w:lvl w:ilvl="7" w:tplc="203AC78E">
      <w:start w:val="1"/>
      <w:numFmt w:val="lowerLetter"/>
      <w:lvlText w:val="%8."/>
      <w:lvlJc w:val="left"/>
      <w:pPr>
        <w:ind w:left="5760" w:hanging="360"/>
      </w:pPr>
    </w:lvl>
    <w:lvl w:ilvl="8" w:tplc="2A9AA7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300EE"/>
    <w:multiLevelType w:val="hybridMultilevel"/>
    <w:tmpl w:val="A5DED2F2"/>
    <w:lvl w:ilvl="0" w:tplc="4BEAB08E">
      <w:start w:val="1"/>
      <w:numFmt w:val="decimal"/>
      <w:lvlText w:val="%1."/>
      <w:lvlJc w:val="left"/>
      <w:pPr>
        <w:ind w:left="720" w:hanging="360"/>
      </w:pPr>
    </w:lvl>
    <w:lvl w:ilvl="1" w:tplc="E800E032">
      <w:start w:val="1"/>
      <w:numFmt w:val="lowerLetter"/>
      <w:lvlText w:val="%2."/>
      <w:lvlJc w:val="left"/>
      <w:pPr>
        <w:ind w:left="1440" w:hanging="360"/>
      </w:pPr>
    </w:lvl>
    <w:lvl w:ilvl="2" w:tplc="8EE43108">
      <w:start w:val="1"/>
      <w:numFmt w:val="lowerRoman"/>
      <w:lvlText w:val="%3."/>
      <w:lvlJc w:val="right"/>
      <w:pPr>
        <w:ind w:left="2160" w:hanging="180"/>
      </w:pPr>
    </w:lvl>
    <w:lvl w:ilvl="3" w:tplc="89226160">
      <w:start w:val="1"/>
      <w:numFmt w:val="decimal"/>
      <w:lvlText w:val="%4."/>
      <w:lvlJc w:val="left"/>
      <w:pPr>
        <w:ind w:left="2880" w:hanging="360"/>
      </w:pPr>
    </w:lvl>
    <w:lvl w:ilvl="4" w:tplc="F44212CC">
      <w:start w:val="1"/>
      <w:numFmt w:val="lowerLetter"/>
      <w:lvlText w:val="%5."/>
      <w:lvlJc w:val="left"/>
      <w:pPr>
        <w:ind w:left="3600" w:hanging="360"/>
      </w:pPr>
    </w:lvl>
    <w:lvl w:ilvl="5" w:tplc="82184978">
      <w:start w:val="1"/>
      <w:numFmt w:val="lowerRoman"/>
      <w:lvlText w:val="%6."/>
      <w:lvlJc w:val="right"/>
      <w:pPr>
        <w:ind w:left="4320" w:hanging="180"/>
      </w:pPr>
    </w:lvl>
    <w:lvl w:ilvl="6" w:tplc="05F6FED0">
      <w:start w:val="1"/>
      <w:numFmt w:val="decimal"/>
      <w:lvlText w:val="%7."/>
      <w:lvlJc w:val="left"/>
      <w:pPr>
        <w:ind w:left="5040" w:hanging="360"/>
      </w:pPr>
    </w:lvl>
    <w:lvl w:ilvl="7" w:tplc="0D106078">
      <w:start w:val="1"/>
      <w:numFmt w:val="lowerLetter"/>
      <w:lvlText w:val="%8."/>
      <w:lvlJc w:val="left"/>
      <w:pPr>
        <w:ind w:left="5760" w:hanging="360"/>
      </w:pPr>
    </w:lvl>
    <w:lvl w:ilvl="8" w:tplc="4B32325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52668"/>
    <w:multiLevelType w:val="hybridMultilevel"/>
    <w:tmpl w:val="42701438"/>
    <w:lvl w:ilvl="0" w:tplc="2FB0CA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1862E5C">
      <w:start w:val="1"/>
      <w:numFmt w:val="lowerLetter"/>
      <w:lvlText w:val="%2."/>
      <w:lvlJc w:val="left"/>
      <w:pPr>
        <w:ind w:left="513" w:hanging="360"/>
      </w:pPr>
    </w:lvl>
    <w:lvl w:ilvl="2" w:tplc="CE88E326">
      <w:start w:val="1"/>
      <w:numFmt w:val="lowerRoman"/>
      <w:lvlText w:val="%3."/>
      <w:lvlJc w:val="right"/>
      <w:pPr>
        <w:ind w:left="1233" w:hanging="180"/>
      </w:pPr>
    </w:lvl>
    <w:lvl w:ilvl="3" w:tplc="C30C3556">
      <w:start w:val="1"/>
      <w:numFmt w:val="decimal"/>
      <w:lvlText w:val="%4."/>
      <w:lvlJc w:val="left"/>
      <w:pPr>
        <w:ind w:left="1953" w:hanging="360"/>
      </w:pPr>
    </w:lvl>
    <w:lvl w:ilvl="4" w:tplc="92FC5A9E">
      <w:start w:val="1"/>
      <w:numFmt w:val="lowerLetter"/>
      <w:lvlText w:val="%5."/>
      <w:lvlJc w:val="left"/>
      <w:pPr>
        <w:ind w:left="2673" w:hanging="360"/>
      </w:pPr>
    </w:lvl>
    <w:lvl w:ilvl="5" w:tplc="FA66DC40">
      <w:start w:val="1"/>
      <w:numFmt w:val="lowerRoman"/>
      <w:lvlText w:val="%6."/>
      <w:lvlJc w:val="right"/>
      <w:pPr>
        <w:ind w:left="3393" w:hanging="180"/>
      </w:pPr>
    </w:lvl>
    <w:lvl w:ilvl="6" w:tplc="0FFCBCB6">
      <w:start w:val="1"/>
      <w:numFmt w:val="decimal"/>
      <w:lvlText w:val="%7."/>
      <w:lvlJc w:val="left"/>
      <w:pPr>
        <w:ind w:left="4113" w:hanging="360"/>
      </w:pPr>
    </w:lvl>
    <w:lvl w:ilvl="7" w:tplc="01C2BE00">
      <w:start w:val="1"/>
      <w:numFmt w:val="lowerLetter"/>
      <w:lvlText w:val="%8."/>
      <w:lvlJc w:val="left"/>
      <w:pPr>
        <w:ind w:left="4833" w:hanging="360"/>
      </w:pPr>
    </w:lvl>
    <w:lvl w:ilvl="8" w:tplc="C10A189E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34"/>
    <w:rsid w:val="001A55E9"/>
    <w:rsid w:val="007B2C34"/>
    <w:rsid w:val="00E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3">
    <w:name w:val="Body Text"/>
    <w:basedOn w:val="a"/>
    <w:link w:val="af4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uiPriority w:val="11"/>
    <w:qFormat/>
    <w:pPr>
      <w:spacing w:before="200"/>
    </w:pPr>
    <w:rPr>
      <w:sz w:val="24"/>
      <w:szCs w:val="24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7">
    <w:name w:val="Название Знак"/>
    <w:basedOn w:val="a0"/>
    <w:link w:val="af6"/>
    <w:uiPriority w:val="10"/>
    <w:qFormat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9">
    <w:name w:val="Нижний колонтитул Знак"/>
    <w:link w:val="af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customStyle="1" w:styleId="ae">
    <w:name w:val="Текст концевой сноски Знак"/>
    <w:link w:val="ad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f0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1">
    <w:name w:val="No Spacing"/>
    <w:link w:val="aff2"/>
    <w:uiPriority w:val="1"/>
    <w:qFormat/>
    <w:rPr>
      <w:rFonts w:cs="Times New Roman"/>
      <w:sz w:val="22"/>
      <w:szCs w:val="22"/>
    </w:rPr>
  </w:style>
  <w:style w:type="character" w:customStyle="1" w:styleId="aff2">
    <w:name w:val="Без интервала Знак"/>
    <w:link w:val="aff1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c">
    <w:name w:val="Текст выноски Знак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basedOn w:val="a0"/>
  </w:style>
  <w:style w:type="character" w:customStyle="1" w:styleId="typography5vy1f47">
    <w:name w:val="_typography_5vy1f_47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3">
    <w:name w:val="Body Text"/>
    <w:basedOn w:val="a"/>
    <w:link w:val="af4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uiPriority w:val="11"/>
    <w:qFormat/>
    <w:pPr>
      <w:spacing w:before="200"/>
    </w:pPr>
    <w:rPr>
      <w:sz w:val="24"/>
      <w:szCs w:val="24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7">
    <w:name w:val="Название Знак"/>
    <w:basedOn w:val="a0"/>
    <w:link w:val="af6"/>
    <w:uiPriority w:val="10"/>
    <w:qFormat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9">
    <w:name w:val="Нижний колонтитул Знак"/>
    <w:link w:val="af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customStyle="1" w:styleId="ae">
    <w:name w:val="Текст концевой сноски Знак"/>
    <w:link w:val="ad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f0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1">
    <w:name w:val="No Spacing"/>
    <w:link w:val="aff2"/>
    <w:uiPriority w:val="1"/>
    <w:qFormat/>
    <w:rPr>
      <w:rFonts w:cs="Times New Roman"/>
      <w:sz w:val="22"/>
      <w:szCs w:val="22"/>
    </w:rPr>
  </w:style>
  <w:style w:type="character" w:customStyle="1" w:styleId="aff2">
    <w:name w:val="Без интервала Знак"/>
    <w:link w:val="aff1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c">
    <w:name w:val="Текст выноски Знак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basedOn w:val="a0"/>
  </w:style>
  <w:style w:type="character" w:customStyle="1" w:styleId="typography5vy1f47">
    <w:name w:val="_typography_5vy1f_4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D446-145D-4F63-8FF7-1CC8D370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6589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user</cp:lastModifiedBy>
  <cp:revision>5</cp:revision>
  <dcterms:created xsi:type="dcterms:W3CDTF">2026-05-19T10:47:00Z</dcterms:created>
  <dcterms:modified xsi:type="dcterms:W3CDTF">2026-05-21T06:03:00Z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