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557B2" w14:textId="77777777" w:rsidR="00B05E7B" w:rsidRPr="00873B63" w:rsidRDefault="00B05E7B" w:rsidP="0088781F">
      <w:pPr>
        <w:spacing w:after="0" w:line="240" w:lineRule="auto"/>
        <w:ind w:left="4253" w:right="-2"/>
        <w:rPr>
          <w:rFonts w:ascii="Times New Roman" w:eastAsia="Droid Sans" w:hAnsi="Times New Roman"/>
          <w:kern w:val="1"/>
          <w:lang w:eastAsia="zh-CN" w:bidi="hi-IN"/>
        </w:rPr>
      </w:pPr>
      <w:r w:rsidRPr="00873B63">
        <w:rPr>
          <w:rFonts w:ascii="Times New Roman" w:hAnsi="Times New Roman"/>
          <w:snapToGrid w:val="0"/>
        </w:rPr>
        <w:t>Пр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иложение № </w:t>
      </w:r>
      <w:r w:rsidR="00BE6567" w:rsidRPr="00873B63">
        <w:rPr>
          <w:rFonts w:ascii="Times New Roman" w:eastAsia="Droid Sans" w:hAnsi="Times New Roman"/>
          <w:kern w:val="1"/>
          <w:lang w:eastAsia="zh-CN" w:bidi="hi-IN"/>
        </w:rPr>
        <w:t xml:space="preserve">   </w:t>
      </w:r>
      <w:r w:rsidR="0088781F" w:rsidRPr="00873B63">
        <w:rPr>
          <w:rFonts w:ascii="Times New Roman" w:eastAsia="Droid Sans" w:hAnsi="Times New Roman"/>
          <w:kern w:val="1"/>
          <w:lang w:eastAsia="zh-CN" w:bidi="hi-IN"/>
        </w:rPr>
        <w:t xml:space="preserve"> 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к </w:t>
      </w:r>
      <w:r w:rsidR="0088781F" w:rsidRPr="00873B63">
        <w:rPr>
          <w:rFonts w:ascii="Times New Roman" w:eastAsia="Droid Sans" w:hAnsi="Times New Roman"/>
          <w:kern w:val="1"/>
          <w:lang w:eastAsia="zh-CN" w:bidi="hi-IN"/>
        </w:rPr>
        <w:t xml:space="preserve">договору 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№ </w:t>
      </w:r>
      <w:r w:rsidR="00373F9E" w:rsidRPr="00873B63">
        <w:rPr>
          <w:rFonts w:ascii="Times New Roman" w:eastAsia="Droid Sans" w:hAnsi="Times New Roman"/>
          <w:kern w:val="1"/>
          <w:lang w:eastAsia="zh-CN" w:bidi="hi-IN"/>
        </w:rPr>
        <w:t>_________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>_______</w:t>
      </w:r>
    </w:p>
    <w:p w14:paraId="27A1FB11" w14:textId="77777777" w:rsidR="00B05E7B" w:rsidRPr="00873B63" w:rsidRDefault="00B05E7B" w:rsidP="0088781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53" w:right="-2"/>
        <w:textAlignment w:val="baseline"/>
        <w:rPr>
          <w:rFonts w:ascii="Times New Roman" w:eastAsia="Droid Sans" w:hAnsi="Times New Roman"/>
          <w:kern w:val="1"/>
          <w:lang w:eastAsia="zh-CN" w:bidi="hi-IN"/>
        </w:rPr>
      </w:pPr>
      <w:proofErr w:type="gramStart"/>
      <w:r w:rsidRPr="00873B63">
        <w:rPr>
          <w:rFonts w:ascii="Times New Roman" w:eastAsia="Droid Sans" w:hAnsi="Times New Roman"/>
          <w:kern w:val="1"/>
          <w:lang w:eastAsia="zh-CN" w:bidi="hi-IN"/>
        </w:rPr>
        <w:t>от  «</w:t>
      </w:r>
      <w:proofErr w:type="gramEnd"/>
      <w:r w:rsidRPr="00873B63">
        <w:rPr>
          <w:rFonts w:ascii="Times New Roman" w:eastAsia="Droid Sans" w:hAnsi="Times New Roman"/>
          <w:kern w:val="1"/>
          <w:lang w:eastAsia="zh-CN" w:bidi="hi-IN"/>
        </w:rPr>
        <w:t xml:space="preserve">_____» </w:t>
      </w:r>
      <w:r w:rsidR="00373F9E" w:rsidRPr="00873B63">
        <w:rPr>
          <w:rFonts w:ascii="Times New Roman" w:eastAsia="Droid Sans" w:hAnsi="Times New Roman"/>
          <w:kern w:val="1"/>
          <w:lang w:eastAsia="zh-CN" w:bidi="hi-IN"/>
        </w:rPr>
        <w:t>_________</w:t>
      </w:r>
      <w:r w:rsidRPr="00873B63">
        <w:rPr>
          <w:rFonts w:ascii="Times New Roman" w:eastAsia="Droid Sans" w:hAnsi="Times New Roman"/>
          <w:kern w:val="1"/>
          <w:lang w:eastAsia="zh-CN" w:bidi="hi-IN"/>
        </w:rPr>
        <w:t>__20____</w:t>
      </w:r>
    </w:p>
    <w:p w14:paraId="0C2985E2" w14:textId="77777777" w:rsidR="00E01C40" w:rsidRPr="006842A3" w:rsidRDefault="00E01C40" w:rsidP="0001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7"/>
        <w:gridCol w:w="5065"/>
      </w:tblGrid>
      <w:tr w:rsidR="00B05E7B" w:rsidRPr="006842A3" w14:paraId="083D9A29" w14:textId="77777777" w:rsidTr="00531A52">
        <w:trPr>
          <w:trHeight w:val="269"/>
        </w:trPr>
        <w:tc>
          <w:tcPr>
            <w:tcW w:w="4197" w:type="dxa"/>
          </w:tcPr>
          <w:p w14:paraId="3001E640" w14:textId="77777777" w:rsidR="00B05E7B" w:rsidRPr="006842A3" w:rsidRDefault="00B05E7B" w:rsidP="00B05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5" w:type="dxa"/>
          </w:tcPr>
          <w:p w14:paraId="53EAF319" w14:textId="77777777" w:rsidR="00B05E7B" w:rsidRPr="006842A3" w:rsidRDefault="00B05E7B" w:rsidP="008878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42A3">
              <w:rPr>
                <w:rFonts w:ascii="Times New Roman" w:hAnsi="Times New Roman"/>
                <w:b/>
              </w:rPr>
              <w:t>«УТВЕРЖДАЮ»</w:t>
            </w:r>
          </w:p>
          <w:p w14:paraId="777CFBB7" w14:textId="77777777" w:rsidR="00B05E7B" w:rsidRPr="00B24986" w:rsidRDefault="00373F9E" w:rsidP="00B05E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986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B05E7B" w:rsidRPr="00B24986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10D1A26E" w14:textId="77777777" w:rsidR="00B05E7B" w:rsidRPr="006842A3" w:rsidRDefault="00B05E7B" w:rsidP="00B05E7B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842A3">
              <w:rPr>
                <w:rFonts w:ascii="Times New Roman" w:hAnsi="Times New Roman"/>
                <w:bCs/>
                <w:sz w:val="18"/>
              </w:rPr>
              <w:t>(МП, подпись)</w:t>
            </w:r>
          </w:p>
          <w:p w14:paraId="55510EAE" w14:textId="77777777" w:rsidR="00B05E7B" w:rsidRPr="00B24986" w:rsidRDefault="00B05E7B" w:rsidP="00B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>«____</w:t>
            </w:r>
            <w:proofErr w:type="gramStart"/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>_»</w:t>
            </w:r>
            <w:r w:rsidR="00373F9E" w:rsidRPr="00B24986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="00373F9E" w:rsidRPr="00B24986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DE75E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1570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 w:rsidRPr="00B24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AD164F" w14:textId="77777777" w:rsidR="00B05E7B" w:rsidRPr="006842A3" w:rsidRDefault="00B05E7B" w:rsidP="00B05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E4FD8FB" w14:textId="77777777" w:rsidR="004A603E" w:rsidRPr="006842A3" w:rsidRDefault="004A603E" w:rsidP="0001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3F6F8" w14:textId="77777777" w:rsidR="00EC74DA" w:rsidRPr="006842A3" w:rsidRDefault="000172CB" w:rsidP="000172CB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ТЕХНИЧЕСК</w:t>
      </w:r>
      <w:r w:rsidR="00EC74DA" w:rsidRPr="006842A3">
        <w:rPr>
          <w:rFonts w:ascii="Times New Roman" w:hAnsi="Times New Roman"/>
          <w:b/>
        </w:rPr>
        <w:t>ОЕ</w:t>
      </w:r>
      <w:r w:rsidRPr="006842A3">
        <w:rPr>
          <w:rFonts w:ascii="Times New Roman" w:hAnsi="Times New Roman"/>
          <w:b/>
        </w:rPr>
        <w:t xml:space="preserve"> ЗАДАНИ</w:t>
      </w:r>
      <w:r w:rsidR="00EC74DA" w:rsidRPr="006842A3">
        <w:rPr>
          <w:rFonts w:ascii="Times New Roman" w:hAnsi="Times New Roman"/>
          <w:b/>
        </w:rPr>
        <w:t>Е</w:t>
      </w:r>
    </w:p>
    <w:p w14:paraId="12FBB31C" w14:textId="14F81770" w:rsidR="00352A62" w:rsidRPr="006842A3" w:rsidRDefault="00B05E7B" w:rsidP="00352A62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на выполнение работ по разработке проектно</w:t>
      </w:r>
      <w:r w:rsidR="00056900">
        <w:rPr>
          <w:rFonts w:ascii="Times New Roman" w:hAnsi="Times New Roman"/>
          <w:b/>
        </w:rPr>
        <w:t>й</w:t>
      </w:r>
      <w:r w:rsidRPr="006842A3">
        <w:rPr>
          <w:rFonts w:ascii="Times New Roman" w:hAnsi="Times New Roman"/>
          <w:b/>
        </w:rPr>
        <w:t xml:space="preserve"> документации </w:t>
      </w:r>
      <w:r w:rsidR="00056900">
        <w:rPr>
          <w:rFonts w:ascii="Times New Roman" w:hAnsi="Times New Roman"/>
          <w:b/>
        </w:rPr>
        <w:t xml:space="preserve">и выполнения строительно-монтажных работ по </w:t>
      </w:r>
      <w:r w:rsidR="007B2F07">
        <w:rPr>
          <w:rFonts w:ascii="Times New Roman" w:hAnsi="Times New Roman"/>
          <w:b/>
        </w:rPr>
        <w:t>р</w:t>
      </w:r>
      <w:r w:rsidR="007B2F07" w:rsidRPr="007B2F07">
        <w:rPr>
          <w:rFonts w:ascii="Times New Roman" w:hAnsi="Times New Roman"/>
          <w:b/>
        </w:rPr>
        <w:t>еконструкци</w:t>
      </w:r>
      <w:r w:rsidR="007B2F07">
        <w:rPr>
          <w:rFonts w:ascii="Times New Roman" w:hAnsi="Times New Roman"/>
          <w:b/>
        </w:rPr>
        <w:t>и</w:t>
      </w:r>
      <w:r w:rsidR="007B2F07" w:rsidRPr="007B2F07">
        <w:rPr>
          <w:rFonts w:ascii="Times New Roman" w:hAnsi="Times New Roman"/>
          <w:b/>
        </w:rPr>
        <w:t xml:space="preserve"> или модернизаци</w:t>
      </w:r>
      <w:r w:rsidR="007B2F07">
        <w:rPr>
          <w:rFonts w:ascii="Times New Roman" w:hAnsi="Times New Roman"/>
          <w:b/>
        </w:rPr>
        <w:t>и</w:t>
      </w:r>
      <w:r w:rsidR="007B2F07" w:rsidRPr="007B2F07">
        <w:rPr>
          <w:rFonts w:ascii="Times New Roman" w:hAnsi="Times New Roman"/>
          <w:b/>
        </w:rPr>
        <w:t xml:space="preserve"> существующих объектов системы централизованного теплоснабжения</w:t>
      </w:r>
      <w:r w:rsidR="007B2F07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>для</w:t>
      </w:r>
      <w:r w:rsidRPr="006842A3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 xml:space="preserve">реализации мероприятий в рамках инвестиционной программы </w:t>
      </w:r>
      <w:r w:rsidR="006F47D6" w:rsidRPr="006F47D6">
        <w:rPr>
          <w:rFonts w:ascii="Times New Roman" w:hAnsi="Times New Roman"/>
          <w:b/>
        </w:rPr>
        <w:t xml:space="preserve">к концессионному соглашению </w:t>
      </w:r>
      <w:r w:rsidR="00E555E9">
        <w:rPr>
          <w:rFonts w:ascii="Times New Roman" w:hAnsi="Times New Roman"/>
          <w:b/>
        </w:rPr>
        <w:t>от 02.07.2021 № 370/7/КС-6 ООО «ИТЭ»</w:t>
      </w:r>
      <w:r w:rsidR="006F47D6" w:rsidRPr="006F47D6">
        <w:rPr>
          <w:rFonts w:ascii="Times New Roman" w:hAnsi="Times New Roman"/>
          <w:b/>
        </w:rPr>
        <w:t>, осуществляющей регулируемый вид деятельности в сфере теплоснабжения на территории г. Санкт-Петербурга</w:t>
      </w:r>
    </w:p>
    <w:p w14:paraId="4367D8EF" w14:textId="77777777" w:rsidR="00352A62" w:rsidRPr="00352A62" w:rsidRDefault="00352A62" w:rsidP="00352A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A62">
        <w:rPr>
          <w:rFonts w:ascii="Times New Roman" w:hAnsi="Times New Roman"/>
          <w:b/>
          <w:sz w:val="24"/>
          <w:szCs w:val="24"/>
        </w:rPr>
        <w:t>71.12.19.100 - Услуги по инженерно-техническому проектированию прочих объектов, кроме объектов культурного наследия</w:t>
      </w:r>
    </w:p>
    <w:p w14:paraId="01FA2E0F" w14:textId="77777777" w:rsidR="00352A62" w:rsidRPr="00352A62" w:rsidRDefault="00352A62" w:rsidP="00352A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A62">
        <w:rPr>
          <w:rFonts w:ascii="Times New Roman" w:hAnsi="Times New Roman"/>
          <w:b/>
          <w:sz w:val="24"/>
          <w:szCs w:val="24"/>
        </w:rPr>
        <w:t>43.99.90.190 Работы строительные специализированные прочие, не включенные в другие группировки</w:t>
      </w:r>
    </w:p>
    <w:p w14:paraId="27447EFF" w14:textId="77777777" w:rsidR="009B6033" w:rsidRPr="006842A3" w:rsidRDefault="009B6033" w:rsidP="0001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7"/>
        <w:gridCol w:w="7110"/>
      </w:tblGrid>
      <w:tr w:rsidR="0077350B" w:rsidRPr="006842A3" w14:paraId="67D0CCB6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09C8CC37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774F20B6" w14:textId="77777777" w:rsidR="009B6033" w:rsidRPr="006842A3" w:rsidRDefault="00A96DE0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31A6D1F1" w14:textId="77777777" w:rsidR="009B6033" w:rsidRPr="006842A3" w:rsidRDefault="009B6033" w:rsidP="00A9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 xml:space="preserve">Содержание </w:t>
            </w:r>
          </w:p>
        </w:tc>
      </w:tr>
      <w:tr w:rsidR="0077350B" w:rsidRPr="006842A3" w14:paraId="5DB927BC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504A4ADE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4D26FDF0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6BE8D17A" w14:textId="77777777" w:rsidR="009B6033" w:rsidRPr="006842A3" w:rsidRDefault="009B6033" w:rsidP="009B6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863EB5" w:rsidRPr="006842A3" w14:paraId="492FD73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517ABBCC" w14:textId="748E5828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1</w:t>
            </w:r>
            <w:r w:rsidR="004537A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C836F7A" w14:textId="0A69D746" w:rsidR="009B6033" w:rsidRPr="006842A3" w:rsidRDefault="009058AE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5C2B1E7" w14:textId="01D744CF" w:rsidR="009B6033" w:rsidRPr="006842A3" w:rsidRDefault="007B2F07" w:rsidP="004D49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F07">
              <w:rPr>
                <w:rFonts w:ascii="Times New Roman" w:eastAsia="Times New Roman" w:hAnsi="Times New Roman"/>
                <w:lang w:eastAsia="ru-RU"/>
              </w:rPr>
              <w:t>Реконструкция или модернизация существующих объектов системы централизованного теплоснабжения, за исключением тепловых сетей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 xml:space="preserve">на территории г. Санкт-Петербурга 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согласно перечню в приложении № 1</w:t>
            </w:r>
          </w:p>
        </w:tc>
      </w:tr>
      <w:tr w:rsidR="00863EB5" w:rsidRPr="006842A3" w14:paraId="0444EE58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4B5F3869" w14:textId="130B0FDD" w:rsidR="009B6033" w:rsidRPr="006842A3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F03E42C" w14:textId="38E4C5C3" w:rsidR="00F80B45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Местоположение 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ов</w:t>
            </w:r>
            <w:r w:rsidR="00373F9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73551F28" w14:textId="77777777" w:rsidR="009B6033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Виды работ</w:t>
            </w:r>
          </w:p>
          <w:p w14:paraId="2399440F" w14:textId="77777777" w:rsidR="00F80B45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</w:t>
            </w:r>
            <w:r w:rsidR="00796F9B" w:rsidRPr="006842A3">
              <w:rPr>
                <w:rFonts w:ascii="Times New Roman" w:eastAsia="Times New Roman" w:hAnsi="Times New Roman"/>
                <w:lang w:eastAsia="ru-RU"/>
              </w:rPr>
              <w:t>ико-экономические показатели Объекта</w:t>
            </w:r>
          </w:p>
        </w:tc>
        <w:tc>
          <w:tcPr>
            <w:tcW w:w="3576" w:type="pct"/>
            <w:shd w:val="clear" w:color="000000" w:fill="FFFFFF"/>
            <w:hideMark/>
          </w:tcPr>
          <w:p w14:paraId="008187D7" w14:textId="4F6BE178" w:rsidR="00056900" w:rsidRPr="006842A3" w:rsidRDefault="00094864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т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ерритор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 xml:space="preserve"> г. Санкт-Петербурга согласно перечню в приложении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№ 1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, котельны</w:t>
            </w:r>
            <w:r w:rsidR="007B2F07">
              <w:rPr>
                <w:rFonts w:ascii="Times New Roman" w:eastAsia="Times New Roman" w:hAnsi="Times New Roman"/>
                <w:lang w:eastAsia="ru-RU"/>
              </w:rPr>
              <w:t>е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 ООО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«ИТЭ»,</w:t>
            </w:r>
            <w:r w:rsidR="007B2F07">
              <w:rPr>
                <w:lang w:eastAsia="ru-RU"/>
              </w:rPr>
              <w:t xml:space="preserve"> </w:t>
            </w:r>
            <w:r w:rsidR="007B2F07">
              <w:rPr>
                <w:rFonts w:ascii="Times New Roman" w:hAnsi="Times New Roman"/>
                <w:lang w:eastAsia="ru-RU"/>
              </w:rPr>
              <w:t xml:space="preserve">полученные в эксплуатацию </w:t>
            </w:r>
            <w:r w:rsidR="007B2F07">
              <w:rPr>
                <w:rFonts w:ascii="Times New Roman" w:eastAsia="Times New Roman" w:hAnsi="Times New Roman"/>
                <w:lang w:eastAsia="ru-RU"/>
              </w:rPr>
              <w:t>по</w:t>
            </w:r>
            <w:r w:rsidR="007B2F07" w:rsidRPr="007B2F07">
              <w:rPr>
                <w:rFonts w:ascii="Times New Roman" w:eastAsia="Times New Roman" w:hAnsi="Times New Roman"/>
                <w:lang w:eastAsia="ru-RU"/>
              </w:rPr>
              <w:t xml:space="preserve"> концессионному соглашению от 02.07.2021 № 370/7/КС-6</w:t>
            </w:r>
            <w:r w:rsidR="00A7337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3D223C71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3785207" w14:textId="1033E2AE" w:rsidR="00197D05" w:rsidRPr="006842A3" w:rsidRDefault="00197D05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3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9EFB463" w14:textId="24EA44FB" w:rsidR="00197D05" w:rsidRPr="006842A3" w:rsidRDefault="00197D0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Основание для проектирования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 и строительно-монтажных работ</w:t>
            </w:r>
          </w:p>
        </w:tc>
        <w:tc>
          <w:tcPr>
            <w:tcW w:w="3576" w:type="pct"/>
            <w:shd w:val="clear" w:color="auto" w:fill="auto"/>
            <w:hideMark/>
          </w:tcPr>
          <w:p w14:paraId="1BE80C63" w14:textId="53F34238" w:rsidR="00197D05" w:rsidRPr="006842A3" w:rsidRDefault="0058252E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Необходимость 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исполнения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инвестиционн</w:t>
            </w:r>
            <w:r w:rsidR="00EC756C">
              <w:rPr>
                <w:rFonts w:ascii="Times New Roman" w:eastAsia="Times New Roman" w:hAnsi="Times New Roman"/>
                <w:lang w:eastAsia="ru-RU"/>
              </w:rPr>
              <w:t>ой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программ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ы</w:t>
            </w:r>
            <w:r w:rsidR="00BA60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>к концессионному соглашению от 02.07.2021 № 370/7/КС-6 ООО «ИТЭ», осуществляющей регулируемый вид деятельности в сфере теплоснабжения на территории г. Санкт-Петербурга</w:t>
            </w:r>
            <w:r w:rsidR="00067AE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0300450" w14:textId="77777777" w:rsidR="00197D05" w:rsidRPr="006842A3" w:rsidRDefault="00197D05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Договор.</w:t>
            </w:r>
          </w:p>
        </w:tc>
      </w:tr>
      <w:tr w:rsidR="00863EB5" w:rsidRPr="006842A3" w14:paraId="20067F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5758A8C" w14:textId="171E2273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4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9511258" w14:textId="77777777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Заказчик</w:t>
            </w:r>
          </w:p>
        </w:tc>
        <w:tc>
          <w:tcPr>
            <w:tcW w:w="3576" w:type="pct"/>
            <w:shd w:val="clear" w:color="000000" w:fill="FFFFFF"/>
            <w:hideMark/>
          </w:tcPr>
          <w:p w14:paraId="6639B2FA" w14:textId="77777777" w:rsidR="00BA60D4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бществ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 xml:space="preserve"> с ограниченной ответственность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</w:p>
          <w:p w14:paraId="4E940812" w14:textId="5400C9F5" w:rsidR="009B6033" w:rsidRPr="006842A3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Инновационная теплоэнергетика</w:t>
            </w:r>
            <w:r>
              <w:rPr>
                <w:rFonts w:ascii="Times New Roman" w:eastAsia="Times New Roman" w:hAnsi="Times New Roman"/>
                <w:lang w:eastAsia="ru-RU"/>
              </w:rPr>
              <w:t>» (ООО «ИТЭ»)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2FCDE7B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34662AFF" w14:textId="64F8A9D1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5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4E8C3D32" w14:textId="2BA15278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Проектная 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и строительно-монтажная 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организация (Исполнитель)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51488B8" w14:textId="77777777" w:rsidR="009B6033" w:rsidRPr="006842A3" w:rsidRDefault="009B6033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Определяется по результатам конкурсных процедур.</w:t>
            </w:r>
          </w:p>
        </w:tc>
      </w:tr>
      <w:tr w:rsidR="004779CF" w:rsidRPr="006842A3" w14:paraId="19EFB5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D6D9A17" w14:textId="6814D941" w:rsidR="004779CF" w:rsidRPr="004537A0" w:rsidRDefault="004779CF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20BD5F3D" w14:textId="3D7B3D26" w:rsidR="004779CF" w:rsidRPr="006842A3" w:rsidRDefault="004779CF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работ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BFB7CCE" w14:textId="2A03ECF4" w:rsidR="004779CF" w:rsidRPr="002641D0" w:rsidRDefault="007B2F07" w:rsidP="006E5EF2">
            <w:pPr>
              <w:spacing w:after="0" w:line="240" w:lineRule="auto"/>
              <w:rPr>
                <w:rFonts w:ascii="Times New Roman" w:hAnsi="Times New Roman"/>
              </w:rPr>
            </w:pPr>
            <w:r w:rsidRPr="007B2F07">
              <w:rPr>
                <w:rFonts w:ascii="Times New Roman" w:hAnsi="Times New Roman"/>
              </w:rPr>
              <w:t xml:space="preserve">Реконструкция или модернизация существующих объектов системы централизованного теплоснабжения </w:t>
            </w:r>
            <w:r w:rsidR="000865F7" w:rsidRPr="000865F7">
              <w:rPr>
                <w:rFonts w:ascii="Times New Roman" w:hAnsi="Times New Roman"/>
              </w:rPr>
              <w:t xml:space="preserve">согласно перечню </w:t>
            </w:r>
            <w:r w:rsidR="000865F7">
              <w:rPr>
                <w:rFonts w:ascii="Times New Roman" w:hAnsi="Times New Roman"/>
              </w:rPr>
              <w:t xml:space="preserve">адресов и </w:t>
            </w:r>
            <w:r w:rsidR="00C1302E">
              <w:rPr>
                <w:rFonts w:ascii="Times New Roman" w:hAnsi="Times New Roman"/>
              </w:rPr>
              <w:t>участков,</w:t>
            </w:r>
            <w:r w:rsidR="000865F7">
              <w:rPr>
                <w:rFonts w:ascii="Times New Roman" w:hAnsi="Times New Roman"/>
              </w:rPr>
              <w:t xml:space="preserve"> </w:t>
            </w:r>
            <w:r w:rsidR="00C1302E">
              <w:rPr>
                <w:rFonts w:ascii="Times New Roman" w:hAnsi="Times New Roman"/>
              </w:rPr>
              <w:t xml:space="preserve">указанных </w:t>
            </w:r>
            <w:r w:rsidR="000865F7" w:rsidRPr="000865F7">
              <w:rPr>
                <w:rFonts w:ascii="Times New Roman" w:hAnsi="Times New Roman"/>
              </w:rPr>
              <w:t>в приложении № 1</w:t>
            </w:r>
            <w:r w:rsidR="001C5097">
              <w:rPr>
                <w:rFonts w:ascii="Times New Roman" w:hAnsi="Times New Roman"/>
              </w:rPr>
              <w:t xml:space="preserve"> и ведомостей объема работ согласно приложению </w:t>
            </w:r>
            <w:r w:rsidR="00531A52">
              <w:rPr>
                <w:rFonts w:ascii="Times New Roman" w:hAnsi="Times New Roman"/>
              </w:rPr>
              <w:t>№</w:t>
            </w:r>
            <w:bookmarkStart w:id="0" w:name="_GoBack"/>
            <w:bookmarkEnd w:id="0"/>
            <w:r w:rsidR="00EC4093" w:rsidRPr="00EC4093">
              <w:rPr>
                <w:rFonts w:ascii="Times New Roman" w:hAnsi="Times New Roman"/>
              </w:rPr>
              <w:t xml:space="preserve"> 2, 3</w:t>
            </w:r>
            <w:r w:rsidR="005F3836">
              <w:rPr>
                <w:rFonts w:ascii="Times New Roman" w:hAnsi="Times New Roman"/>
              </w:rPr>
              <w:t>, 4, 5</w:t>
            </w:r>
            <w:r w:rsidR="00DD027E">
              <w:rPr>
                <w:rFonts w:ascii="Times New Roman" w:hAnsi="Times New Roman"/>
              </w:rPr>
              <w:t>, 6, 7</w:t>
            </w:r>
            <w:r w:rsidR="00DB0F67">
              <w:rPr>
                <w:rFonts w:ascii="Times New Roman" w:hAnsi="Times New Roman"/>
              </w:rPr>
              <w:t>, 8, 9, 10, 12, 13</w:t>
            </w:r>
          </w:p>
        </w:tc>
      </w:tr>
      <w:tr w:rsidR="004779CF" w:rsidRPr="006842A3" w14:paraId="64335A7F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093F2E7A" w14:textId="79171B57" w:rsidR="004779CF" w:rsidRPr="006842A3" w:rsidRDefault="004779CF" w:rsidP="00477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7E6AD60" w14:textId="64D31554" w:rsidR="004779CF" w:rsidRPr="004779CF" w:rsidRDefault="004779CF" w:rsidP="004779C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779CF">
              <w:rPr>
                <w:rFonts w:ascii="Times New Roman" w:eastAsia="Times New Roman" w:hAnsi="Times New Roman"/>
                <w:lang w:eastAsia="ru-RU"/>
              </w:rPr>
              <w:t>Особые условия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779CF">
              <w:rPr>
                <w:rFonts w:ascii="Times New Roman" w:eastAsia="Times New Roman" w:hAnsi="Times New Roman"/>
                <w:lang w:eastAsia="ru-RU"/>
              </w:rPr>
              <w:t xml:space="preserve">строительства </w:t>
            </w:r>
          </w:p>
        </w:tc>
        <w:tc>
          <w:tcPr>
            <w:tcW w:w="3576" w:type="pct"/>
            <w:shd w:val="clear" w:color="auto" w:fill="auto"/>
          </w:tcPr>
          <w:p w14:paraId="68DF1C92" w14:textId="77777777" w:rsidR="005F74AD" w:rsidRDefault="000865F7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действующих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котельных</w:t>
            </w:r>
            <w:r w:rsidRPr="000865F7">
              <w:rPr>
                <w:rFonts w:ascii="Times New Roman" w:eastAsia="Times New Roman" w:hAnsi="Times New Roman"/>
                <w:lang w:eastAsia="ru-RU"/>
              </w:rPr>
              <w:t xml:space="preserve"> согласно перечню адресов в </w:t>
            </w:r>
          </w:p>
          <w:p w14:paraId="47961869" w14:textId="78B59341" w:rsidR="004779CF" w:rsidRPr="002641D0" w:rsidRDefault="000865F7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приложении № 1</w:t>
            </w:r>
          </w:p>
        </w:tc>
      </w:tr>
      <w:tr w:rsidR="00975636" w:rsidRPr="006842A3" w14:paraId="761F788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F60A9E5" w14:textId="19A83C53" w:rsidR="00975636" w:rsidRPr="004537A0" w:rsidRDefault="00975636" w:rsidP="0097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070" w:type="pct"/>
            <w:shd w:val="clear" w:color="000000" w:fill="FFFFFF"/>
          </w:tcPr>
          <w:p w14:paraId="4A6291D4" w14:textId="528EA6CA" w:rsidR="00975636" w:rsidRPr="006842A3" w:rsidRDefault="00975636" w:rsidP="00975636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32996">
              <w:rPr>
                <w:rFonts w:ascii="Times New Roman" w:eastAsia="Times New Roman" w:hAnsi="Times New Roman"/>
                <w:lang w:eastAsia="ru-RU"/>
              </w:rPr>
              <w:t>Стади</w:t>
            </w:r>
            <w:r>
              <w:rPr>
                <w:rFonts w:ascii="Times New Roman" w:eastAsia="Times New Roman" w:hAnsi="Times New Roman"/>
                <w:lang w:eastAsia="ru-RU"/>
              </w:rPr>
              <w:t>йность</w:t>
            </w:r>
            <w:r w:rsidRPr="00032996">
              <w:rPr>
                <w:rFonts w:ascii="Times New Roman" w:eastAsia="Times New Roman" w:hAnsi="Times New Roman"/>
                <w:lang w:eastAsia="ru-RU"/>
              </w:rPr>
              <w:t xml:space="preserve"> проектирования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2815179" w14:textId="51166BCB" w:rsidR="00975636" w:rsidRPr="002641D0" w:rsidRDefault="001C5097" w:rsidP="009756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Обследование</w:t>
            </w:r>
            <w:r w:rsidRPr="001C50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для уточнения технического задания и ведомостей объемов работ.</w:t>
            </w:r>
            <w:r w:rsidRPr="001C50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Сметная документация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1C1F">
              <w:rPr>
                <w:rFonts w:ascii="Times New Roman" w:eastAsia="Times New Roman" w:hAnsi="Times New Roman"/>
                <w:lang w:eastAsia="ru-RU"/>
              </w:rPr>
              <w:t>Проектная</w:t>
            </w:r>
            <w:r w:rsidR="00975636" w:rsidRPr="002641D0">
              <w:rPr>
                <w:rFonts w:ascii="Times New Roman" w:eastAsia="Times New Roman" w:hAnsi="Times New Roman"/>
                <w:lang w:eastAsia="ru-RU"/>
              </w:rPr>
              <w:t xml:space="preserve"> документация</w:t>
            </w:r>
          </w:p>
        </w:tc>
      </w:tr>
      <w:tr w:rsidR="00975636" w:rsidRPr="006842A3" w14:paraId="60B693FE" w14:textId="77777777" w:rsidTr="002641D0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2939CBC" w14:textId="61DFD24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9. </w:t>
            </w:r>
          </w:p>
        </w:tc>
        <w:tc>
          <w:tcPr>
            <w:tcW w:w="1070" w:type="pct"/>
            <w:shd w:val="clear" w:color="000000" w:fill="FFFFFF"/>
          </w:tcPr>
          <w:p w14:paraId="33F0AC38" w14:textId="6CA6BF2B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Категория сложности объекта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330BA49B" w14:textId="5AF942F5" w:rsidR="00975636" w:rsidRPr="002641D0" w:rsidRDefault="00975636" w:rsidP="00975636">
            <w:pPr>
              <w:spacing w:after="0" w:line="240" w:lineRule="auto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>Уровень ответственности – нормальный, в соответствии с Федеральным законом от 30.12.2009 № 384-ФЗ.</w:t>
            </w:r>
          </w:p>
        </w:tc>
      </w:tr>
      <w:tr w:rsidR="00975636" w:rsidRPr="006842A3" w14:paraId="63661E7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35F9D8D6" w14:textId="6247FE22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1070" w:type="pct"/>
            <w:shd w:val="clear" w:color="000000" w:fill="FFFFFF"/>
          </w:tcPr>
          <w:p w14:paraId="4D00648E" w14:textId="4EFBD554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Назначение объект</w:t>
            </w:r>
            <w:r w:rsidR="001C5097">
              <w:rPr>
                <w:rFonts w:ascii="Times New Roman" w:eastAsia="Times New Roman" w:hAnsi="Times New Roman"/>
                <w:lang w:eastAsia="ru-RU"/>
              </w:rPr>
              <w:t>ов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31E7B1F" w14:textId="04DFA8D3" w:rsidR="00975636" w:rsidRPr="00975636" w:rsidRDefault="00975636" w:rsidP="006E5EF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 xml:space="preserve">Теплоснабжение 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 xml:space="preserve">жилых, </w:t>
            </w:r>
            <w:r w:rsidR="002641D0" w:rsidRPr="002641D0">
              <w:rPr>
                <w:rFonts w:ascii="Times New Roman" w:eastAsia="Times New Roman" w:hAnsi="Times New Roman"/>
                <w:lang w:eastAsia="ru-RU"/>
              </w:rPr>
              <w:t xml:space="preserve">технических и административных зданий 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>военн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ых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 xml:space="preserve"> город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ков, коммерческих и муниципальных объектов</w:t>
            </w:r>
            <w:r w:rsidRPr="002641D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3A3C93C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FAAA825" w14:textId="6C76B36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11.</w:t>
            </w:r>
          </w:p>
        </w:tc>
        <w:tc>
          <w:tcPr>
            <w:tcW w:w="1070" w:type="pct"/>
            <w:shd w:val="clear" w:color="000000" w:fill="FFFFFF"/>
          </w:tcPr>
          <w:p w14:paraId="77296FAB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Основные технико-экономические</w:t>
            </w:r>
          </w:p>
          <w:p w14:paraId="0BADF51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показатели объекта и требования к</w:t>
            </w:r>
          </w:p>
          <w:p w14:paraId="2BA015E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подрядной организации и условия</w:t>
            </w:r>
          </w:p>
          <w:p w14:paraId="31017E24" w14:textId="3774E847" w:rsidR="00975636" w:rsidRPr="006842A3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работы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5C61CE6" w14:textId="77777777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t>Характеристика объекта:</w:t>
            </w:r>
          </w:p>
          <w:p w14:paraId="3A3937E7" w14:textId="7E722525" w:rsidR="005F74AD" w:rsidRDefault="005F74AD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F74AD">
              <w:rPr>
                <w:rFonts w:ascii="Times New Roman" w:eastAsiaTheme="minorHAnsi" w:hAnsi="Times New Roman"/>
              </w:rPr>
              <w:t xml:space="preserve">Реконструкция или модернизация существующих объектов системы централизованного теплоснабжения </w:t>
            </w:r>
            <w:r>
              <w:rPr>
                <w:rFonts w:ascii="Times New Roman" w:eastAsiaTheme="minorHAnsi" w:hAnsi="Times New Roman"/>
              </w:rPr>
              <w:t xml:space="preserve">(котельных) </w:t>
            </w:r>
            <w:r w:rsidR="000865F7" w:rsidRPr="000865F7">
              <w:rPr>
                <w:rFonts w:ascii="Times New Roman" w:eastAsiaTheme="minorHAnsi" w:hAnsi="Times New Roman"/>
              </w:rPr>
              <w:t>на территории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</w:p>
          <w:p w14:paraId="651A6A60" w14:textId="17BFF779" w:rsid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г. Санкт-Петербурга согласно перечню в приложении № 1</w:t>
            </w:r>
            <w:r w:rsidR="00B70CEA">
              <w:t xml:space="preserve"> </w:t>
            </w:r>
            <w:r w:rsidR="00B70CEA" w:rsidRPr="00B70CEA">
              <w:rPr>
                <w:rFonts w:ascii="Times New Roman" w:eastAsiaTheme="minorHAnsi" w:hAnsi="Times New Roman"/>
              </w:rPr>
              <w:t xml:space="preserve">и ведомостей объема работ согласно </w:t>
            </w:r>
            <w:r w:rsidR="00575305" w:rsidRPr="00575305">
              <w:rPr>
                <w:rFonts w:ascii="Times New Roman" w:eastAsiaTheme="minorHAnsi" w:hAnsi="Times New Roman"/>
              </w:rPr>
              <w:t xml:space="preserve">приложению </w:t>
            </w:r>
            <w:r w:rsidR="00DB0F67" w:rsidRPr="00DB0F67">
              <w:rPr>
                <w:rFonts w:ascii="Times New Roman" w:eastAsiaTheme="minorHAnsi" w:hAnsi="Times New Roman"/>
              </w:rPr>
              <w:t>№№ 2, 3, 4, 5, 6, 7, 8, 9, 10, 12, 13</w:t>
            </w:r>
            <w:r w:rsidR="00575305" w:rsidRPr="00575305">
              <w:rPr>
                <w:rFonts w:ascii="Times New Roman" w:eastAsiaTheme="minorHAnsi" w:hAnsi="Times New Roman"/>
              </w:rPr>
              <w:t>.</w:t>
            </w:r>
          </w:p>
          <w:p w14:paraId="12D6E030" w14:textId="4886593E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t>Требования к подрядной организации и условия работы:</w:t>
            </w:r>
          </w:p>
          <w:p w14:paraId="72D35CA0" w14:textId="0F1F5371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1. Подрядчик должен обладать гражданской правоспособностью 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полном объёме для заключения и исполнения Договора:</w:t>
            </w:r>
          </w:p>
          <w:p w14:paraId="20A6AC32" w14:textId="1222514C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 быть зарегистрирован в установленном порядке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 на налоговом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учёте в соответствии с требованиями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Налогового кодекса РФ;</w:t>
            </w:r>
          </w:p>
          <w:p w14:paraId="2404D35B" w14:textId="70E5AD2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обладать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необходимыми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профессиональными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знаниями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области выполнения аналогичных работ;</w:t>
            </w:r>
          </w:p>
          <w:p w14:paraId="23D8C1FC" w14:textId="31ADB960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 обладать управленческой компетентностью и положительной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деловой репутацией;</w:t>
            </w:r>
          </w:p>
          <w:p w14:paraId="1B74DAD5" w14:textId="10458DB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 иметь ресурсные возможности (финансовые, материально 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технические,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производственные,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кадровые),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числе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сертифицированные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аккредитованные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(если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они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подлежат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обязательной сертификации и аккредитации);</w:t>
            </w:r>
          </w:p>
          <w:p w14:paraId="2617CE2D" w14:textId="289AF565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являться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неплатежеспособным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банкротом,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процессе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ликвидации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реорганизации;</w:t>
            </w:r>
          </w:p>
          <w:p w14:paraId="0F6D7BD3" w14:textId="77777777" w:rsidR="00975636" w:rsidRDefault="00AC2EB6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Н</w:t>
            </w:r>
            <w:r w:rsidR="000865F7" w:rsidRPr="000865F7">
              <w:rPr>
                <w:rFonts w:ascii="Times New Roman" w:eastAsiaTheme="minorHAnsi" w:hAnsi="Times New Roman"/>
              </w:rPr>
              <w:t>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имущество Подрядчика не должен быть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наложен арест, его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экономическая деятельность не должна быть приостановлена;</w:t>
            </w:r>
          </w:p>
          <w:p w14:paraId="101E81EB" w14:textId="2441FBF6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 исполнять свои обязательства по уплате налогов, сборов и иных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обязательных платежей.</w:t>
            </w:r>
          </w:p>
          <w:p w14:paraId="16699E8A" w14:textId="77777777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2. Участник закупки должен быть членом саморегулируемой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организации (далее СРО) в области строительства, реконструкции,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 ремонта объектов капитального строительства.</w:t>
            </w:r>
          </w:p>
          <w:p w14:paraId="24E431EB" w14:textId="6A463642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3. СРО, в которой состоит участник закупки, должна 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сформированный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обеспечения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обязательств.</w:t>
            </w:r>
          </w:p>
          <w:p w14:paraId="1F96C8D5" w14:textId="416B79DF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4.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закупки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должен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право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осуществлять</w:t>
            </w:r>
          </w:p>
          <w:p w14:paraId="76A35623" w14:textId="77777777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строительство, реконструкцию, капитальный ремонт объектов</w:t>
            </w:r>
          </w:p>
          <w:p w14:paraId="00799DBA" w14:textId="3426DB41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капитального строительства по договору строительного 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заключаемому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отношении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объектов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строительства (кроме особо опасных, технически сложных 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уникальных объектов, объектов использования атомной энергии);</w:t>
            </w:r>
          </w:p>
          <w:p w14:paraId="1A35DC3D" w14:textId="4D08D3CD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5. Уровень ответственности участника закупки -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соответствии с которым указанным членом внесен взнос 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возмещения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вреда,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соответствует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требованиям части 12 статьи 55.16 Градостроительного кодекса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Российской Федерации.</w:t>
            </w:r>
          </w:p>
          <w:p w14:paraId="7F3CE2E5" w14:textId="76214B9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6. Уровень ответственности участника закупки –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 договоров, в соответствии с которым указанным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членом внесен взнос в компенсационный фонд обеспечения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обязательств, соответствует требованиям части 13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статьи 55.16 Градостроительного кодекса Российской Федерации.</w:t>
            </w:r>
          </w:p>
          <w:p w14:paraId="5FCF5CC7" w14:textId="4B383DB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7.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Совокупный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размер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9F0050" w:rsidRPr="00AC2EB6">
              <w:rPr>
                <w:rFonts w:ascii="Times New Roman" w:eastAsiaTheme="minorHAnsi" w:hAnsi="Times New Roman"/>
              </w:rPr>
              <w:t>З</w:t>
            </w:r>
            <w:r w:rsidRPr="00AC2EB6">
              <w:rPr>
                <w:rFonts w:ascii="Times New Roman" w:eastAsiaTheme="minorHAnsi" w:hAnsi="Times New Roman"/>
              </w:rPr>
              <w:t>акупки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договорам, которые заключены с использованием 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способов, не должен превышать предельный размер обязательств,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исходя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из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которого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таким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лицом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был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внесен</w:t>
            </w:r>
            <w:r w:rsidR="009F0050">
              <w:rPr>
                <w:rFonts w:ascii="Times New Roman" w:eastAsiaTheme="minorHAnsi" w:hAnsi="Times New Roman"/>
              </w:rPr>
              <w:t xml:space="preserve"> в</w:t>
            </w:r>
            <w:r w:rsidRPr="00AC2EB6">
              <w:rPr>
                <w:rFonts w:ascii="Times New Roman" w:eastAsiaTheme="minorHAnsi" w:hAnsi="Times New Roman"/>
              </w:rPr>
              <w:t>знос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 фонд обеспечения договорных обязательств.</w:t>
            </w:r>
          </w:p>
          <w:p w14:paraId="1B0AEA93" w14:textId="4A03D8CF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8</w:t>
            </w:r>
            <w:r w:rsidR="00AC2EB6" w:rsidRPr="00AC2EB6">
              <w:rPr>
                <w:rFonts w:ascii="Times New Roman" w:eastAsiaTheme="minorHAnsi" w:hAnsi="Times New Roman"/>
              </w:rPr>
              <w:t>. Работы выполняются в соответствии с требованиями «Правил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охране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труда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при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эксплуатации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электроустановок»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–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несением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руководителями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подрядных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организаций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ответственности</w:t>
            </w:r>
            <w:r w:rsidR="009F0050">
              <w:rPr>
                <w:rFonts w:ascii="Times New Roman" w:eastAsiaTheme="minorHAnsi" w:hAnsi="Times New Roman"/>
              </w:rPr>
              <w:t xml:space="preserve"> з</w:t>
            </w:r>
            <w:r w:rsidR="00AC2EB6" w:rsidRPr="00AC2EB6">
              <w:rPr>
                <w:rFonts w:ascii="Times New Roman" w:eastAsiaTheme="minorHAnsi" w:hAnsi="Times New Roman"/>
              </w:rPr>
              <w:t>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выполнение мероприятий по охране труда и технике безопасности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на своих участках, за соответствие квалификации персонала,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соблюдение им правил ТБ.</w:t>
            </w:r>
          </w:p>
          <w:p w14:paraId="0CD5C4F9" w14:textId="1C3DA6FB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  <w:r w:rsidR="00AC2EB6" w:rsidRPr="00AC2EB6">
              <w:rPr>
                <w:rFonts w:ascii="Times New Roman" w:eastAsiaTheme="minorHAnsi" w:hAnsi="Times New Roman"/>
              </w:rPr>
              <w:t>. Подрядчик имеет право для ознакомления с объемами работ</w:t>
            </w:r>
          </w:p>
          <w:p w14:paraId="0CABA2BB" w14:textId="2F14489B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выехать на место их</w:t>
            </w:r>
            <w:r w:rsidR="009F0050">
              <w:t xml:space="preserve"> </w:t>
            </w:r>
            <w:r w:rsidR="009F0050" w:rsidRPr="009F0050">
              <w:rPr>
                <w:rFonts w:ascii="Times New Roman" w:eastAsiaTheme="minorHAnsi" w:hAnsi="Times New Roman"/>
              </w:rPr>
              <w:t>проведения.</w:t>
            </w:r>
          </w:p>
          <w:p w14:paraId="6CAE5ABC" w14:textId="77777777" w:rsidR="005B7AC1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1</w:t>
            </w:r>
            <w:r w:rsidR="005B7AC1">
              <w:rPr>
                <w:rFonts w:ascii="Times New Roman" w:eastAsiaTheme="minorHAnsi" w:hAnsi="Times New Roman"/>
              </w:rPr>
              <w:t>0</w:t>
            </w:r>
            <w:r w:rsidRPr="00AC2EB6">
              <w:rPr>
                <w:rFonts w:ascii="Times New Roman" w:eastAsiaTheme="minorHAnsi" w:hAnsi="Times New Roman"/>
              </w:rPr>
              <w:t>. Наличие удостоверений о проверке знаний; наличие списков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ответственных лиц для оформления наряда-допуска к работам;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копии приказа о назначении руководителя работ. Производство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работ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выполняется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актам-допускам,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нарядам-допускам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установленной формы.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17519C1A" w14:textId="7725069D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-Наличие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специалистов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удостоверений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менее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квалификационной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группы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CB4A30" w:rsidRPr="00AC2EB6">
              <w:rPr>
                <w:rFonts w:ascii="Times New Roman" w:eastAsiaTheme="minorHAnsi" w:hAnsi="Times New Roman"/>
              </w:rPr>
              <w:t>электробезопасности</w:t>
            </w:r>
            <w:r w:rsidRPr="00AC2EB6">
              <w:rPr>
                <w:rFonts w:ascii="Times New Roman" w:eastAsiaTheme="minorHAnsi" w:hAnsi="Times New Roman"/>
              </w:rPr>
              <w:t>.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(Копии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подтверждающих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документов).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57B49FCC" w14:textId="7F6F97F1" w:rsid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Руководители и специалисты должны быть обучены по охране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 в соответствии с «Порядком обучения по охране труда и</w:t>
            </w:r>
            <w: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проверки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знаний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работников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организаций».</w:t>
            </w:r>
          </w:p>
          <w:p w14:paraId="1513C690" w14:textId="77777777" w:rsidR="00ED6E86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Руководители и специалисты должны быть аттестованы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 безопасности.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6C320912" w14:textId="775EC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Сварщики должны быть аттестованы для выполнения работ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изготовлению, монтажу и ремонту трубопроводов горячей воды (Копии подтверждающих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документов).</w:t>
            </w:r>
          </w:p>
          <w:p w14:paraId="5692D593" w14:textId="7777777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Так же необходимо предоставить:</w:t>
            </w:r>
          </w:p>
          <w:p w14:paraId="6F7898C7" w14:textId="3019860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Приказы о назначении ответственных лиц организации в области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 труда, промышленной и пожарной безопасности;</w:t>
            </w:r>
          </w:p>
          <w:p w14:paraId="3CEFBF07" w14:textId="77777777" w:rsidR="00211E3C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-Протоколы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характером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выполняемых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(электробезопасности,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безопасности, пожарной безопасности и т.д.).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- Сертификат производственной аттестации технологии сварки, 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 с РД 03-615-03.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</w:p>
          <w:p w14:paraId="2B59D74C" w14:textId="70B76C7D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Протокол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(удостоверение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НАКС)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сварщика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(специалиста сварочного производства) или его заверенная копия.</w:t>
            </w:r>
          </w:p>
          <w:p w14:paraId="70E8AD25" w14:textId="22796718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12.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производятся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условиях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действующей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сети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теплоснабжения.</w:t>
            </w:r>
          </w:p>
          <w:p w14:paraId="2B4DFF68" w14:textId="1CD54943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Для выполнения данных работ Подрядчик должен быть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укомплектован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всем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необходимым: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оборудованием,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спец.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приспособлениями, инструментами и т.п., которые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должны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отвечать соответствующим ГОСТ, СНиП и другим применяемым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стандартам.</w:t>
            </w:r>
          </w:p>
          <w:p w14:paraId="0EA20C67" w14:textId="5F0B2F44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14.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 оборудование и техника для строительства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предоставляются Подрядчиком в полном объеме.</w:t>
            </w:r>
          </w:p>
          <w:p w14:paraId="0C0BC643" w14:textId="06547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15.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Применяемые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детали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конструкции должны быть соответствующего качества, отвечать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требованиям НТД, иметь технические паспорта и сертификаты.</w:t>
            </w:r>
          </w:p>
          <w:p w14:paraId="2150F7BB" w14:textId="6551052B" w:rsidR="00983BEB" w:rsidRPr="006C131D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16.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Подрядчик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обязан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подготовить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согласовать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Заказчиком проект производства работ</w:t>
            </w:r>
            <w:r w:rsidR="005F74AD">
              <w:rPr>
                <w:rFonts w:ascii="Times New Roman" w:eastAsiaTheme="minorHAnsi" w:hAnsi="Times New Roman"/>
              </w:rPr>
              <w:t xml:space="preserve"> на каждый объект согласно </w:t>
            </w:r>
            <w:r w:rsidR="005F74AD" w:rsidRPr="005F74AD">
              <w:rPr>
                <w:rFonts w:ascii="Times New Roman" w:eastAsiaTheme="minorHAnsi" w:hAnsi="Times New Roman"/>
              </w:rPr>
              <w:t>перечню адресов и участков, указанных в приложении № 1</w:t>
            </w:r>
            <w:r w:rsidR="00B70CEA">
              <w:t xml:space="preserve"> </w:t>
            </w:r>
            <w:r w:rsidR="00B70CEA" w:rsidRPr="00B70CEA">
              <w:rPr>
                <w:rFonts w:ascii="Times New Roman" w:eastAsiaTheme="minorHAnsi" w:hAnsi="Times New Roman"/>
              </w:rPr>
              <w:t xml:space="preserve">и ведомостей объема работ согласно </w:t>
            </w:r>
            <w:r w:rsidR="00575305" w:rsidRPr="00575305">
              <w:rPr>
                <w:rFonts w:ascii="Times New Roman" w:eastAsiaTheme="minorHAnsi" w:hAnsi="Times New Roman"/>
              </w:rPr>
              <w:t>приложению №№ 2, 3, 4, 5, 6, 7.</w:t>
            </w:r>
          </w:p>
        </w:tc>
      </w:tr>
      <w:tr w:rsidR="00975636" w:rsidRPr="006842A3" w14:paraId="7166170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0FF1BA1" w14:textId="362B1D2F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12.</w:t>
            </w:r>
          </w:p>
        </w:tc>
        <w:tc>
          <w:tcPr>
            <w:tcW w:w="1070" w:type="pct"/>
            <w:shd w:val="clear" w:color="000000" w:fill="FFFFFF"/>
          </w:tcPr>
          <w:p w14:paraId="15D3C882" w14:textId="6A26E79C" w:rsidR="00975636" w:rsidRPr="006842A3" w:rsidRDefault="00233C5E" w:rsidP="00233C5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33C5E">
              <w:rPr>
                <w:rFonts w:ascii="Times New Roman" w:eastAsia="Times New Roman" w:hAnsi="Times New Roman"/>
                <w:lang w:eastAsia="ru-RU"/>
              </w:rPr>
              <w:t>Основные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требования к схеме планировочной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земельного участка</w:t>
            </w:r>
          </w:p>
        </w:tc>
        <w:tc>
          <w:tcPr>
            <w:tcW w:w="3576" w:type="pct"/>
            <w:shd w:val="clear" w:color="000000" w:fill="FFFFFF"/>
          </w:tcPr>
          <w:p w14:paraId="78BFCE9B" w14:textId="312CF027" w:rsidR="00975636" w:rsidRPr="006C131D" w:rsidRDefault="00F83352" w:rsidP="00233C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  <w:tr w:rsidR="00975636" w:rsidRPr="006842A3" w14:paraId="626D02AD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D7C98F" w14:textId="4DCD2AAE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1070" w:type="pct"/>
            <w:shd w:val="clear" w:color="000000" w:fill="FFFFFF"/>
          </w:tcPr>
          <w:p w14:paraId="76415D3F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44A32436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 архитектурно- планировочным решениям,</w:t>
            </w:r>
          </w:p>
          <w:p w14:paraId="41B0FBDE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lastRenderedPageBreak/>
              <w:t>к конструктивным решениям, к материалам несущих и ограждающих</w:t>
            </w:r>
          </w:p>
          <w:p w14:paraId="5D5C6CDB" w14:textId="56893E46" w:rsidR="00975636" w:rsidRPr="006842A3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конструкций</w:t>
            </w:r>
          </w:p>
        </w:tc>
        <w:tc>
          <w:tcPr>
            <w:tcW w:w="3576" w:type="pct"/>
            <w:shd w:val="clear" w:color="000000" w:fill="FFFFFF"/>
          </w:tcPr>
          <w:p w14:paraId="6A763766" w14:textId="6A3EBC4E" w:rsidR="00B70CEA" w:rsidRPr="00B70CEA" w:rsidRDefault="00B70CEA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Конструктивные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 решения разработать в объёме, необходимом для проведения строительно-монтажных работ </w:t>
            </w:r>
            <w:r>
              <w:rPr>
                <w:rFonts w:ascii="Times New Roman" w:eastAsia="Times New Roman" w:hAnsi="Times New Roman"/>
                <w:lang w:eastAsia="ru-RU"/>
              </w:rPr>
              <w:t>по р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>еконструкци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 или модернизация существующих объектов системы централизованного теплоснабжения и приведение </w:t>
            </w:r>
            <w:r>
              <w:rPr>
                <w:rFonts w:ascii="Times New Roman" w:eastAsia="Times New Roman" w:hAnsi="Times New Roman"/>
                <w:lang w:eastAsia="ru-RU"/>
              </w:rPr>
              <w:t>технических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 устройств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, находящихся в 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неудовлетворительном состоянии в соответствии с нормами и требованиями для дальнейшей эксплуатации. </w:t>
            </w:r>
          </w:p>
          <w:p w14:paraId="54383259" w14:textId="2E53D9F6" w:rsidR="00B70CEA" w:rsidRPr="00B70CEA" w:rsidRDefault="00B70CEA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0CEA">
              <w:rPr>
                <w:rFonts w:ascii="Times New Roman" w:eastAsia="Times New Roman" w:hAnsi="Times New Roman"/>
                <w:lang w:eastAsia="ru-RU"/>
              </w:rPr>
              <w:t>Проектирование вести с учётом технического состояния основных несущих конструкций здани</w:t>
            </w:r>
            <w:r w:rsidR="00B00299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="00F83352">
              <w:rPr>
                <w:rFonts w:ascii="Times New Roman" w:eastAsia="Times New Roman" w:hAnsi="Times New Roman"/>
                <w:lang w:eastAsia="ru-RU"/>
              </w:rPr>
              <w:t>котельных,</w:t>
            </w:r>
            <w:r w:rsidR="00B00299">
              <w:t xml:space="preserve"> </w:t>
            </w:r>
            <w:r w:rsidR="00B00299" w:rsidRPr="00B00299">
              <w:rPr>
                <w:rFonts w:ascii="Times New Roman" w:eastAsia="Times New Roman" w:hAnsi="Times New Roman"/>
                <w:lang w:eastAsia="ru-RU"/>
              </w:rPr>
              <w:t>указанных в приложении № 1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14:paraId="0AF06890" w14:textId="0A41CB79" w:rsidR="00B70CEA" w:rsidRPr="00B70CEA" w:rsidRDefault="00983BEB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Уточненное техническое задание и ведомост</w:t>
            </w:r>
            <w:r w:rsidR="00F83352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объемов работ </w:t>
            </w:r>
            <w:r w:rsidR="00B70CEA" w:rsidRPr="00B70CEA">
              <w:rPr>
                <w:rFonts w:ascii="Times New Roman" w:eastAsia="Times New Roman" w:hAnsi="Times New Roman"/>
                <w:lang w:eastAsia="ru-RU"/>
              </w:rPr>
              <w:t>на стадии проектирования согласовать с Заказчиком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B70CEA" w:rsidRPr="00B70C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DC8FBB4" w14:textId="00FB7597" w:rsidR="00975636" w:rsidRPr="00CD63AD" w:rsidRDefault="00CB4A30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одернизация не предполагает изменения основных конструктивных характеристик (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удельной мощности, габаритных размеров,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диаметра, трассировки, типа прокладки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 и т.д.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7D46ACA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0793D52" w14:textId="0F73310F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14.</w:t>
            </w:r>
          </w:p>
        </w:tc>
        <w:tc>
          <w:tcPr>
            <w:tcW w:w="1070" w:type="pct"/>
            <w:shd w:val="clear" w:color="000000" w:fill="FFFFFF"/>
          </w:tcPr>
          <w:p w14:paraId="463234BA" w14:textId="322D68C0" w:rsidR="00975636" w:rsidRPr="00CB4A30" w:rsidRDefault="002F05F9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применяемым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материалам, з/частям,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оборудованию,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металлоконструкциям</w:t>
            </w:r>
          </w:p>
        </w:tc>
        <w:tc>
          <w:tcPr>
            <w:tcW w:w="3576" w:type="pct"/>
            <w:shd w:val="clear" w:color="000000" w:fill="FFFFFF"/>
          </w:tcPr>
          <w:p w14:paraId="0F1D976B" w14:textId="3FC922C1" w:rsidR="001D10A8" w:rsidRPr="00CD63AD" w:rsidRDefault="00CB4A30" w:rsidP="00CB4A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B4A30">
              <w:rPr>
                <w:rFonts w:ascii="Times New Roman" w:hAnsi="Times New Roman"/>
              </w:rPr>
              <w:t>рименяемые материалы, конструкции, оборудование и изделия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должны соответствовать действующим ГОСТам, ОСТам, ТУ 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прочим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применимым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стандартам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сопровождаться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сертификатами соответствия нормам РФ. Подрядчик выполняет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работы с использованием собственных инструментов, комплекта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приспособлений, машин и механизмов.</w:t>
            </w:r>
          </w:p>
        </w:tc>
      </w:tr>
      <w:tr w:rsidR="00975636" w:rsidRPr="006842A3" w14:paraId="74766DE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B595E47" w14:textId="1411B086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1070" w:type="pct"/>
            <w:shd w:val="clear" w:color="000000" w:fill="FFFFFF"/>
          </w:tcPr>
          <w:p w14:paraId="4E828FDA" w14:textId="2327CD2A" w:rsidR="00975636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Требования по выполнению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сопутствующих работ</w:t>
            </w:r>
          </w:p>
        </w:tc>
        <w:tc>
          <w:tcPr>
            <w:tcW w:w="3576" w:type="pct"/>
            <w:shd w:val="clear" w:color="000000" w:fill="FFFFFF"/>
          </w:tcPr>
          <w:p w14:paraId="01D571AB" w14:textId="4F2E7A3F" w:rsidR="00975636" w:rsidRPr="002F05F9" w:rsidRDefault="00CB4A30" w:rsidP="00CB4A30">
            <w:pPr>
              <w:spacing w:after="0" w:line="240" w:lineRule="auto"/>
              <w:rPr>
                <w:rFonts w:ascii="Times New Roman" w:hAnsi="Times New Roman"/>
              </w:rPr>
            </w:pPr>
            <w:r w:rsidRPr="00CB4A30">
              <w:rPr>
                <w:rFonts w:ascii="Times New Roman" w:hAnsi="Times New Roman"/>
              </w:rPr>
              <w:t>Обеспечить при производстве работ соблюдение норм и правил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техники безопасности и охраны труда. По окончанию выполнения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 произвести погрузку, вывоз и утилизацию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строительного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мусора и строительных материалов. По окончанию выполнения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произвести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восстановление</w:t>
            </w:r>
            <w:r>
              <w:rPr>
                <w:rFonts w:ascii="Times New Roman" w:hAnsi="Times New Roman"/>
              </w:rPr>
              <w:t xml:space="preserve"> </w:t>
            </w:r>
            <w:r w:rsidR="00983BEB">
              <w:rPr>
                <w:rFonts w:ascii="Times New Roman" w:hAnsi="Times New Roman"/>
              </w:rPr>
              <w:t>нарушенных конструкций помещений и сооружений котельных</w:t>
            </w:r>
            <w:r w:rsidRPr="00CB4A30">
              <w:rPr>
                <w:rFonts w:ascii="Times New Roman" w:hAnsi="Times New Roman"/>
              </w:rPr>
              <w:t>.</w:t>
            </w:r>
          </w:p>
        </w:tc>
      </w:tr>
      <w:tr w:rsidR="002F05F9" w:rsidRPr="006842A3" w14:paraId="5606C07C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E64483C" w14:textId="247BA8A4" w:rsidR="002F05F9" w:rsidRPr="004537A0" w:rsidRDefault="002F05F9" w:rsidP="002F0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1070" w:type="pct"/>
            <w:shd w:val="clear" w:color="000000" w:fill="FFFFFF"/>
          </w:tcPr>
          <w:p w14:paraId="6834119E" w14:textId="7EB3DB31" w:rsidR="002F05F9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Потребность в специальном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оборудовании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3094C2ED" w14:textId="53F06884" w:rsidR="00C02A95" w:rsidRPr="00A43AB2" w:rsidRDefault="00CB4A30" w:rsidP="00CB4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Наличие производственной базы, складских помещений в г. Санкт-Петербурге, достаточных для выполнения всего комплекса работ в установленные сроки</w:t>
            </w:r>
          </w:p>
        </w:tc>
      </w:tr>
      <w:tr w:rsidR="00C02A95" w:rsidRPr="006842A3" w14:paraId="6BDDEA3A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B0CA255" w14:textId="16582A75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78A" w14:textId="4632A54F" w:rsidR="00C02A95" w:rsidRPr="006842A3" w:rsidRDefault="00842F0E" w:rsidP="00C02A9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42F0E">
              <w:rPr>
                <w:rFonts w:ascii="Times New Roman" w:eastAsia="Times New Roman" w:hAnsi="Times New Roman"/>
                <w:lang w:eastAsia="ru-RU"/>
              </w:rPr>
              <w:t>Требования к гарантиям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00502736" w14:textId="26E7CE51" w:rsidR="008C66FB" w:rsidRPr="00A43AB2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Подрядчик несет ответственность в соответствии с действующим законодательством РФ за ненадлежащее выполнение работ, включая недостатки, обнаруженные в ходе строительства, а также в течение гарантированного срока эксплуатации Объекта.</w:t>
            </w:r>
          </w:p>
          <w:p w14:paraId="753ACD77" w14:textId="0E2F5C1C" w:rsidR="008C66FB" w:rsidRPr="00A43AB2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При выполнении работ с ненадлежащим качеством Подрядчик по требованию Заказчика обязан безвозмездно устранить выявленные недостатки.</w:t>
            </w:r>
          </w:p>
          <w:p w14:paraId="1F71192C" w14:textId="795E6495" w:rsidR="008C66FB" w:rsidRPr="00A43AB2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Подрядчик несет ответственность за гибель Объекта и (или) вред, причиненный третьим лицам, разрушение Объекта, в случае если указанный вред или гибель Объекта явились следствием нарушений или ошибок, допущенных им при проектировании Объекта или в процессе выполнения строительно-монтажных работ.</w:t>
            </w:r>
          </w:p>
          <w:p w14:paraId="1A773FF9" w14:textId="142CF891" w:rsidR="00C02A95" w:rsidRPr="00816C75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Подрядчик обязан гарантировать соответствие выполненных работ на срок не менее 5 лет с момента подписания Заказчиком акта приемки-сдачи выполненных работ. На период действия гарантии Подрядчик обязан в кратчайшие сроки принять меры по устранению дефектов, выявленных в процессе эксплуатации, за свой счет.</w:t>
            </w:r>
          </w:p>
        </w:tc>
      </w:tr>
      <w:tr w:rsidR="00C02A95" w:rsidRPr="006842A3" w14:paraId="5FE6CED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F49FDFF" w14:textId="2A532B36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</w:t>
            </w:r>
          </w:p>
        </w:tc>
        <w:tc>
          <w:tcPr>
            <w:tcW w:w="1070" w:type="pct"/>
            <w:shd w:val="clear" w:color="000000" w:fill="FFFFFF"/>
          </w:tcPr>
          <w:p w14:paraId="24A1E998" w14:textId="65774D89" w:rsidR="00C02A95" w:rsidRPr="006842A3" w:rsidRDefault="008C66FB" w:rsidP="008C66F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lang w:eastAsia="ru-RU"/>
              </w:rPr>
              <w:t>Требования к документации при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lang w:eastAsia="ru-RU"/>
              </w:rPr>
              <w:t>приемке</w:t>
            </w:r>
          </w:p>
        </w:tc>
        <w:tc>
          <w:tcPr>
            <w:tcW w:w="3576" w:type="pct"/>
            <w:shd w:val="clear" w:color="000000" w:fill="FFFFFF"/>
          </w:tcPr>
          <w:p w14:paraId="728B2A68" w14:textId="69B2599E" w:rsidR="00C02A95" w:rsidRPr="00A43AB2" w:rsidRDefault="008C66FB" w:rsidP="008C66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Приемка работ осуществляется по окончании работ представителем Заказчика с участием полномочных представителей Подрядчика, при необходимости с привлечением иных заинтересованных лиц и (или) органов надзора. Результатом приемки выполненных работ является акт о приемке выполненных работ КС-2 и справка о стоимости выполненных работ и затрат КС-3, подписанные полномочными представителями Заказчика и Подрядчика.</w:t>
            </w:r>
          </w:p>
        </w:tc>
      </w:tr>
      <w:tr w:rsidR="006465E5" w:rsidRPr="006842A3" w14:paraId="2C0ADF70" w14:textId="77777777" w:rsidTr="006465E5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D4668D5" w14:textId="105276DC" w:rsidR="006465E5" w:rsidRDefault="006465E5" w:rsidP="0064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EDE" w14:textId="3A3A8A9F" w:rsidR="006465E5" w:rsidRPr="00816C75" w:rsidRDefault="006F26DF" w:rsidP="006F26D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F26DF">
              <w:rPr>
                <w:rFonts w:ascii="Times New Roman" w:eastAsia="Times New Roman" w:hAnsi="Times New Roman"/>
                <w:lang w:eastAsia="ru-RU"/>
              </w:rPr>
              <w:t>Требования к документации 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предоставления Подрядчиком после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окончания работ: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3EE" w14:textId="6D8DA75D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Рабочие чертежи для производства строительно-монтажных работ (основной комплект марки </w:t>
            </w:r>
            <w:r w:rsidR="00983BEB" w:rsidRPr="00A43AB2">
              <w:rPr>
                <w:rFonts w:ascii="Times New Roman" w:eastAsia="Times New Roman" w:hAnsi="Times New Roman"/>
                <w:lang w:eastAsia="ru-RU"/>
              </w:rPr>
              <w:t>ТМ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)</w:t>
            </w:r>
            <w:r w:rsidR="00B2413B" w:rsidRPr="00A43AB2">
              <w:rPr>
                <w:rFonts w:ascii="Times New Roman" w:eastAsia="Times New Roman" w:hAnsi="Times New Roman"/>
                <w:lang w:eastAsia="ru-RU"/>
              </w:rPr>
              <w:t xml:space="preserve"> на каждый </w:t>
            </w:r>
            <w:r w:rsidR="00983BEB" w:rsidRPr="00A43AB2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B2413B" w:rsidRPr="00A43AB2">
              <w:rPr>
                <w:rFonts w:ascii="Times New Roman" w:eastAsia="Times New Roman" w:hAnsi="Times New Roman"/>
                <w:lang w:eastAsia="ru-RU"/>
              </w:rPr>
              <w:t xml:space="preserve"> согласно перечню адресов и участков, указанных в приложении № 1 и </w:t>
            </w:r>
            <w:r w:rsidR="00983BEB" w:rsidRPr="00A43AB2">
              <w:rPr>
                <w:rFonts w:ascii="Times New Roman" w:eastAsia="Times New Roman" w:hAnsi="Times New Roman"/>
                <w:lang w:eastAsia="ru-RU"/>
              </w:rPr>
              <w:t xml:space="preserve">указанных в ведомостях объема работ согласно </w:t>
            </w:r>
            <w:r w:rsidR="00575305" w:rsidRPr="00575305">
              <w:rPr>
                <w:rFonts w:ascii="Times New Roman" w:eastAsia="Times New Roman" w:hAnsi="Times New Roman"/>
                <w:lang w:eastAsia="ru-RU"/>
              </w:rPr>
              <w:t xml:space="preserve">приложению </w:t>
            </w:r>
            <w:r w:rsidR="00DB0F67" w:rsidRPr="00DB0F67">
              <w:rPr>
                <w:rFonts w:ascii="Times New Roman" w:eastAsia="Times New Roman" w:hAnsi="Times New Roman"/>
                <w:lang w:eastAsia="ru-RU"/>
              </w:rPr>
              <w:t>№№ 2, 3, 4, 5, 6, 7, 8, 9, 10, 12, 13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. В состав основного комплекта входят:</w:t>
            </w:r>
          </w:p>
          <w:p w14:paraId="25D6989C" w14:textId="442FF64D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lastRenderedPageBreak/>
              <w:t>- общие данные по рабочим чертежам</w:t>
            </w:r>
            <w:r w:rsidR="000F56D3" w:rsidRPr="00A43AB2">
              <w:rPr>
                <w:rFonts w:ascii="Times New Roman" w:eastAsia="Times New Roman" w:hAnsi="Times New Roman"/>
                <w:lang w:eastAsia="ru-RU"/>
              </w:rPr>
              <w:t xml:space="preserve"> (Общая пояснительная</w:t>
            </w:r>
            <w:r w:rsidR="006D3493" w:rsidRPr="00A43A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6D3" w:rsidRPr="00A43AB2">
              <w:rPr>
                <w:rFonts w:ascii="Times New Roman" w:eastAsia="Times New Roman" w:hAnsi="Times New Roman"/>
                <w:lang w:eastAsia="ru-RU"/>
              </w:rPr>
              <w:t>записка)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34A96686" w14:textId="787263B7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ситуационный план;</w:t>
            </w:r>
          </w:p>
          <w:p w14:paraId="61C5286C" w14:textId="72F5BB2B" w:rsidR="00983BEB" w:rsidRPr="00A43AB2" w:rsidRDefault="006F26DF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983BEB" w:rsidRPr="00A43AB2">
              <w:rPr>
                <w:rFonts w:ascii="Times New Roman" w:eastAsia="Times New Roman" w:hAnsi="Times New Roman"/>
                <w:lang w:eastAsia="ru-RU"/>
              </w:rPr>
              <w:t>Раздел «Технологические решения»</w:t>
            </w:r>
          </w:p>
          <w:p w14:paraId="3BB5E3D2" w14:textId="77777777" w:rsidR="00983BEB" w:rsidRPr="00A43AB2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Раздел «Проект организации строительства»</w:t>
            </w:r>
          </w:p>
          <w:p w14:paraId="3539AFB8" w14:textId="4BF1B98B" w:rsidR="006F26DF" w:rsidRPr="00A43AB2" w:rsidRDefault="006F26DF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поперечные разрезы (при необходимости);</w:t>
            </w:r>
          </w:p>
          <w:p w14:paraId="0116E59D" w14:textId="1367E390" w:rsidR="006F26DF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профили (при необходимости);</w:t>
            </w:r>
          </w:p>
          <w:p w14:paraId="30AB051F" w14:textId="1391CB87" w:rsidR="006465E5" w:rsidRPr="00A43AB2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чертежи (планы, разрезы, схемы) (при необходимости)</w:t>
            </w:r>
          </w:p>
          <w:p w14:paraId="695ED171" w14:textId="361B6679" w:rsidR="00983BEB" w:rsidRPr="00A43AB2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Раздел «Смета на реконструкцию или модернизацию существующих объектов системы централизованного теплоснабжения, за исключением тепловых сетей»</w:t>
            </w:r>
          </w:p>
          <w:p w14:paraId="53235C57" w14:textId="26523645" w:rsidR="00983BEB" w:rsidRPr="00A43AB2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Раздел «Иная документация в случаях, предусмотренных федеральными законами»</w:t>
            </w:r>
          </w:p>
          <w:p w14:paraId="46716579" w14:textId="1F2991B7" w:rsidR="006F26DF" w:rsidRPr="00A43AB2" w:rsidRDefault="00B2413B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П</w:t>
            </w:r>
            <w:r w:rsidR="006F26DF" w:rsidRPr="00A43AB2">
              <w:rPr>
                <w:rFonts w:ascii="Times New Roman" w:eastAsia="Times New Roman" w:hAnsi="Times New Roman"/>
                <w:lang w:eastAsia="ru-RU"/>
              </w:rPr>
              <w:t xml:space="preserve">осле окончания работ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Подрядчик </w:t>
            </w:r>
            <w:r w:rsidR="006F26DF" w:rsidRPr="00A43AB2">
              <w:rPr>
                <w:rFonts w:ascii="Times New Roman" w:eastAsia="Times New Roman" w:hAnsi="Times New Roman"/>
                <w:lang w:eastAsia="ru-RU"/>
              </w:rPr>
              <w:t>предоставляет следующую</w:t>
            </w:r>
            <w:r w:rsidR="00190F06" w:rsidRPr="00A43AB2">
              <w:t xml:space="preserve"> </w:t>
            </w:r>
            <w:r w:rsidR="00190F06" w:rsidRPr="00A43AB2">
              <w:rPr>
                <w:rFonts w:ascii="Times New Roman" w:eastAsia="Times New Roman" w:hAnsi="Times New Roman"/>
                <w:lang w:eastAsia="ru-RU"/>
              </w:rPr>
              <w:t>документацию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: на каждый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>объект,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где выполнены работы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согласно перечню адресов, указанных в приложении № 1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и указанных в ведомостях объема работ согласно </w:t>
            </w:r>
            <w:r w:rsidR="00575305" w:rsidRPr="00575305">
              <w:rPr>
                <w:rFonts w:ascii="Times New Roman" w:eastAsia="Times New Roman" w:hAnsi="Times New Roman"/>
                <w:lang w:eastAsia="ru-RU"/>
              </w:rPr>
              <w:t xml:space="preserve">приложению </w:t>
            </w:r>
            <w:r w:rsidR="00DB0F67" w:rsidRPr="00DB0F67">
              <w:rPr>
                <w:rFonts w:ascii="Times New Roman" w:eastAsia="Times New Roman" w:hAnsi="Times New Roman"/>
                <w:lang w:eastAsia="ru-RU"/>
              </w:rPr>
              <w:t>№№ 2, 3, 4, 5, 6, 7, 8, 9, 10, 12, 13</w:t>
            </w:r>
            <w:r w:rsidR="00DB0F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90F06" w:rsidRPr="00A43AB2">
              <w:rPr>
                <w:rFonts w:ascii="Times New Roman" w:eastAsia="Times New Roman" w:hAnsi="Times New Roman"/>
                <w:lang w:eastAsia="ru-RU"/>
              </w:rPr>
              <w:t>в составе:</w:t>
            </w:r>
          </w:p>
          <w:p w14:paraId="2388245C" w14:textId="5D7B18E7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Реестр исполнительной документации (с подписями о передаче Заказчику).</w:t>
            </w:r>
          </w:p>
          <w:p w14:paraId="501FC143" w14:textId="77777777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Приказы о назначении ответственных лиц со стороны Подрядчика (основание для проведения строительного контроля и подписания актов освидетельствования скрытых работ и ответственных конструкций).</w:t>
            </w:r>
          </w:p>
          <w:p w14:paraId="42128996" w14:textId="7DA6D866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Допуск СРО Подрядчика, выписка из реестра СРО.</w:t>
            </w:r>
          </w:p>
          <w:p w14:paraId="66DB0AF1" w14:textId="3113BE5F" w:rsidR="00190F06" w:rsidRPr="00A43AB2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Журналы производства работ:</w:t>
            </w:r>
          </w:p>
          <w:p w14:paraId="7C3FBB07" w14:textId="77777777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общий журнал работ (пронумерован, прошит и зарегистрирован);</w:t>
            </w:r>
          </w:p>
          <w:p w14:paraId="33F708EF" w14:textId="77777777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- журнал бетонных работ (при проведении данных работ на объекте);</w:t>
            </w:r>
          </w:p>
          <w:p w14:paraId="3DF1533C" w14:textId="1226EB70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- журнал сварочных работ (к нему в виде приложения должны быть приложены аттестационные удостоверения </w:t>
            </w:r>
            <w:r w:rsidR="00887672" w:rsidRPr="00A43AB2">
              <w:rPr>
                <w:rFonts w:ascii="Times New Roman" w:eastAsia="Times New Roman" w:hAnsi="Times New Roman"/>
                <w:lang w:eastAsia="ru-RU"/>
              </w:rPr>
              <w:t>сварщиков,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 производивших работы).</w:t>
            </w:r>
          </w:p>
          <w:p w14:paraId="4787DE04" w14:textId="77BA2AD5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5. Акты освидетельствования скрытых работ, завизированные ответственными представителями Заказчика, Подрядчика. Акты оформляются на все скрытые работы, на каждый вид работ отдельно, в соответствие с датами в журналах работ, приложенных паспортов на изделия и материалы, проектным маркам и датам производства работ.</w:t>
            </w:r>
          </w:p>
          <w:p w14:paraId="05EDBCA2" w14:textId="35E6DE11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6. Акт гидравлических испытаний (при необходимости)</w:t>
            </w:r>
          </w:p>
          <w:p w14:paraId="631EC170" w14:textId="74E1FD07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7. Акт промывки (при необходимости)</w:t>
            </w:r>
          </w:p>
          <w:p w14:paraId="6667A86C" w14:textId="10F2A384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8. Паспорта и сертификаты на все применённые материалы и изделия, в том числе на давальческие материалы (паспорта на трубопроводную арматуру, заводские изделия, товарный бетон, раствор и железобетонные изделия передаются в оригиналах, сертификаты и паспорта на инертные материалы, трубопроводы, электроды и др., что поставляется частью от партии, передаются в заверенных копиях).</w:t>
            </w:r>
          </w:p>
          <w:p w14:paraId="08AB2473" w14:textId="36F39739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9. Эксплуатационную документацию на покупные изделия.</w:t>
            </w:r>
          </w:p>
          <w:p w14:paraId="0A466E10" w14:textId="27F8A1D9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10. Акт приёмке работ по восстановлению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конструкций и целостности зданий и помещений котельных 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(при необходимости).</w:t>
            </w:r>
          </w:p>
          <w:p w14:paraId="09DCE33E" w14:textId="417EE2A5" w:rsidR="00190F06" w:rsidRPr="00A43AB2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1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>1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. Сертификат производственной аттестации технологии сварки, в соответствии с РД 03-615-03.</w:t>
            </w:r>
          </w:p>
          <w:p w14:paraId="5EE5AC2B" w14:textId="456CC8B0" w:rsidR="00190F06" w:rsidRPr="00816C75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1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>2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. Протокол (удостоверение НАКС) аттестации сварщика (специалиста сварочного производства) или его заверенная копия. Данный перечень и наименование документации могут изменяться и дополняться по взаимному согласованию сторон.</w:t>
            </w:r>
          </w:p>
        </w:tc>
      </w:tr>
      <w:tr w:rsidR="0071768B" w:rsidRPr="006842A3" w14:paraId="51D358ED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FBA09F" w14:textId="1FDEA8CF" w:rsidR="0071768B" w:rsidRPr="004537A0" w:rsidRDefault="003144EF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6B88FB50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3C4DE62E" w14:textId="21D564CA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благоустройству</w:t>
            </w:r>
          </w:p>
        </w:tc>
        <w:tc>
          <w:tcPr>
            <w:tcW w:w="3576" w:type="pct"/>
            <w:shd w:val="clear" w:color="000000" w:fill="FFFFFF"/>
          </w:tcPr>
          <w:p w14:paraId="13843434" w14:textId="50AD4705" w:rsidR="0071768B" w:rsidRPr="004B7DDF" w:rsidRDefault="00AD0A4D" w:rsidP="004B7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D0A4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 требуется</w:t>
            </w:r>
            <w:r w:rsidR="0071768B"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71768B" w:rsidRPr="006842A3" w14:paraId="08F989E0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C81E6CC" w14:textId="04F95EB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1A24D793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E7FDD06" w14:textId="1B35100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68B">
              <w:rPr>
                <w:rFonts w:ascii="Times New Roman" w:eastAsia="Times New Roman" w:hAnsi="Times New Roman"/>
                <w:lang w:eastAsia="ru-RU"/>
              </w:rPr>
              <w:t>«ПОС»</w:t>
            </w:r>
          </w:p>
        </w:tc>
        <w:tc>
          <w:tcPr>
            <w:tcW w:w="3576" w:type="pct"/>
            <w:shd w:val="clear" w:color="000000" w:fill="FFFFFF"/>
          </w:tcPr>
          <w:p w14:paraId="3A4F22DF" w14:textId="114E013F" w:rsidR="0071768B" w:rsidRPr="00A43AB2" w:rsidRDefault="0071768B" w:rsidP="007176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На период строительства технические условия на инженерное обеспечение (электроснабжение, водоснабжение и водоотведение) не предусматриваются.</w:t>
            </w:r>
          </w:p>
        </w:tc>
      </w:tr>
      <w:tr w:rsidR="0071768B" w:rsidRPr="006842A3" w14:paraId="5B5D255B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82B0714" w14:textId="4A7BA3D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5BB66A7" w14:textId="7DA98597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Сроки выполнения работ</w:t>
            </w:r>
          </w:p>
        </w:tc>
        <w:tc>
          <w:tcPr>
            <w:tcW w:w="3576" w:type="pct"/>
            <w:shd w:val="clear" w:color="000000" w:fill="FFFFFF"/>
          </w:tcPr>
          <w:p w14:paraId="737901B8" w14:textId="454624EE" w:rsidR="0071768B" w:rsidRPr="00A43AB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В соответствии с условиями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договора,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 xml:space="preserve"> но не позднее чем до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24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>.0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8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>.2026 г.</w:t>
            </w:r>
          </w:p>
          <w:p w14:paraId="115DED16" w14:textId="4666C9EA" w:rsidR="008867D2" w:rsidRPr="00F930B0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В соответствии с календарным планом выполнения работ по объект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ам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, являющимся неотъемлемой частью договора на выполнение работ.</w:t>
            </w:r>
          </w:p>
        </w:tc>
      </w:tr>
      <w:tr w:rsidR="008867D2" w:rsidRPr="006842A3" w14:paraId="2B3E4423" w14:textId="77777777" w:rsidTr="009049A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F6EEF06" w14:textId="7D15B3DB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7DD48048" w14:textId="42ADB6F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Границы ответственности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AD2138B" w14:textId="0B87C77E" w:rsidR="008867D2" w:rsidRPr="00A43AB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>Границы ответственности Подрядчика: Инженерные изыскания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 xml:space="preserve"> (при необходимости)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 xml:space="preserve">Проект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на реконструкцию или модернизацию существующих объектов системы централизованного теплоснабжения, за исключением тепловых сетей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 xml:space="preserve">согласно перечню адресов и участков, указанных в приложении № 1 </w:t>
            </w:r>
            <w:r w:rsidR="00AD0A4D" w:rsidRPr="00A43AB2">
              <w:rPr>
                <w:rFonts w:ascii="Times New Roman" w:eastAsia="Times New Roman" w:hAnsi="Times New Roman"/>
                <w:lang w:eastAsia="ru-RU"/>
              </w:rPr>
              <w:t xml:space="preserve">и указанных в ведомостях объема работ согласно </w:t>
            </w:r>
            <w:r w:rsidR="00575305" w:rsidRPr="00575305">
              <w:rPr>
                <w:rFonts w:ascii="Times New Roman" w:eastAsia="Times New Roman" w:hAnsi="Times New Roman"/>
                <w:lang w:eastAsia="ru-RU"/>
              </w:rPr>
              <w:t xml:space="preserve">приложению </w:t>
            </w:r>
            <w:r w:rsidR="00DB0F67" w:rsidRPr="00DB0F67">
              <w:rPr>
                <w:rFonts w:ascii="Times New Roman" w:eastAsia="Times New Roman" w:hAnsi="Times New Roman"/>
                <w:lang w:eastAsia="ru-RU"/>
              </w:rPr>
              <w:t>№№ 2, 3, 4, 5, 6, 7, 8, 9, 10, 12, 13</w:t>
            </w:r>
            <w:r w:rsidRPr="00A43AB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5C4A58D1" w14:textId="6AAA7991" w:rsidR="008867D2" w:rsidRPr="00A43AB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AB2">
              <w:rPr>
                <w:rFonts w:ascii="Times New Roman" w:eastAsia="Times New Roman" w:hAnsi="Times New Roman"/>
                <w:lang w:eastAsia="ru-RU"/>
              </w:rPr>
              <w:t xml:space="preserve">Границы ответственности Заказчика: </w:t>
            </w:r>
            <w:r w:rsidR="00BC0D21" w:rsidRPr="00A43AB2">
              <w:rPr>
                <w:rFonts w:ascii="Times New Roman" w:eastAsia="Times New Roman" w:hAnsi="Times New Roman"/>
                <w:lang w:eastAsia="ru-RU"/>
              </w:rPr>
              <w:t>Паспорта котельных</w:t>
            </w:r>
            <w:r w:rsidR="009375FF" w:rsidRPr="00A43AB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867D2" w:rsidRPr="006842A3" w14:paraId="585ECD1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EC8B002" w14:textId="1196318D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688" w14:textId="33727DC6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Режим работы проектируемого объекта (сезонность, непрерывность, сменность)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605" w14:textId="5B92A906" w:rsidR="008867D2" w:rsidRPr="008867D2" w:rsidRDefault="00B2413B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епрерывность</w:t>
            </w:r>
          </w:p>
        </w:tc>
      </w:tr>
      <w:tr w:rsidR="008867D2" w:rsidRPr="006842A3" w14:paraId="6865F77C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484DE84" w14:textId="60D95344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76EC" w14:textId="761D9D8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Наличие обслуживающего персонала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713" w14:textId="51AA6234" w:rsidR="008867D2" w:rsidRPr="008867D2" w:rsidRDefault="00BC0D21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Операторы котельных, начальники производственных участков</w:t>
            </w:r>
            <w:r w:rsidR="008867D2"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8867D2" w:rsidRPr="006842A3" w14:paraId="6C183C0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28B1D499" w14:textId="7F557E2F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19A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Требования о</w:t>
            </w:r>
          </w:p>
          <w:p w14:paraId="3777AE0B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порядке проведения</w:t>
            </w:r>
          </w:p>
          <w:p w14:paraId="4935BF82" w14:textId="75DF8ECC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согласований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B8C7" w14:textId="5DC4F7B2" w:rsidR="008867D2" w:rsidRPr="00DB0F67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Согласование проект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DB0F67">
              <w:rPr>
                <w:rFonts w:ascii="Times New Roman" w:eastAsia="Times New Roman" w:hAnsi="Times New Roman"/>
                <w:lang w:eastAsia="ru-RU"/>
              </w:rPr>
              <w:t xml:space="preserve">и смет 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>осуществляет Подрядчик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 xml:space="preserve"> с </w:t>
            </w:r>
            <w:r w:rsidR="00B2413B" w:rsidRPr="00DB0F67">
              <w:rPr>
                <w:rFonts w:ascii="Times New Roman" w:eastAsia="Times New Roman" w:hAnsi="Times New Roman"/>
                <w:lang w:eastAsia="ru-RU"/>
              </w:rPr>
              <w:t>З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>аказчиком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>. Подрядчик обеспечивает техническое сопровождение в части устранения замечаний, в границах своей ответственности.</w:t>
            </w:r>
          </w:p>
          <w:p w14:paraId="5519565E" w14:textId="29F65A3C" w:rsidR="008867D2" w:rsidRPr="00DB0F67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Все решения, обоюдно принимаемые в процессе проектирования, оформляются протоколами совещаний.</w:t>
            </w:r>
          </w:p>
          <w:p w14:paraId="4EC8DC5A" w14:textId="719DD2A9" w:rsidR="007777AB" w:rsidRPr="00DB0F67" w:rsidRDefault="008867D2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Разработать и согласовать с Заказчиком </w:t>
            </w:r>
            <w:r w:rsidR="00E81C1F" w:rsidRPr="00DB0F67">
              <w:rPr>
                <w:rFonts w:ascii="Times New Roman" w:eastAsia="Times New Roman" w:hAnsi="Times New Roman"/>
                <w:lang w:eastAsia="ru-RU"/>
              </w:rPr>
              <w:t>проектную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DB0F67">
              <w:rPr>
                <w:rFonts w:ascii="Times New Roman" w:eastAsia="Times New Roman" w:hAnsi="Times New Roman"/>
                <w:lang w:eastAsia="ru-RU"/>
              </w:rPr>
              <w:t xml:space="preserve">и сметную 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>документацию</w:t>
            </w: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 с листами спецификации</w:t>
            </w:r>
            <w:r w:rsidR="00BC0D21" w:rsidRPr="00DB0F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DB0F67">
              <w:rPr>
                <w:rFonts w:ascii="Times New Roman" w:eastAsia="Times New Roman" w:hAnsi="Times New Roman"/>
                <w:lang w:eastAsia="ru-RU"/>
              </w:rPr>
              <w:t xml:space="preserve">согласно ведомостям объема работ согласно </w:t>
            </w:r>
            <w:r w:rsidR="00575305" w:rsidRPr="00DB0F67">
              <w:rPr>
                <w:rFonts w:ascii="Times New Roman" w:eastAsia="Times New Roman" w:hAnsi="Times New Roman"/>
                <w:lang w:eastAsia="ru-RU"/>
              </w:rPr>
              <w:t xml:space="preserve">приложению </w:t>
            </w:r>
            <w:r w:rsidR="00DB0F67" w:rsidRPr="00DB0F67">
              <w:rPr>
                <w:rFonts w:ascii="Times New Roman" w:eastAsia="Times New Roman" w:hAnsi="Times New Roman"/>
                <w:lang w:eastAsia="ru-RU"/>
              </w:rPr>
              <w:t>№№ 2, 3, 4, 5, 6, 7, 8, 9, 10, 12, 13</w:t>
            </w:r>
            <w:r w:rsidR="007777AB" w:rsidRPr="00DB0F6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3E5A836" w14:textId="39E62FE9" w:rsidR="00AD0A4D" w:rsidRPr="00DB0F67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Сметную документацию разработать базисно-индексным методом на основании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(приказ Минстроя РФ от 4 августа 2020 г. № 421/</w:t>
            </w:r>
            <w:proofErr w:type="spellStart"/>
            <w:r w:rsidRPr="00DB0F6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DB0F67">
              <w:rPr>
                <w:rFonts w:ascii="Times New Roman" w:eastAsia="Times New Roman" w:hAnsi="Times New Roman"/>
                <w:lang w:eastAsia="ru-RU"/>
              </w:rPr>
              <w:t>), а также Постановления Правительства РФ от 16 февраля 2008 г. №87.</w:t>
            </w:r>
          </w:p>
          <w:p w14:paraId="5C72F303" w14:textId="77777777" w:rsidR="00AD0A4D" w:rsidRPr="00DB0F67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Сводный сметный расчёт выполнить в двух уровнях цен (базисный и текущий). </w:t>
            </w:r>
          </w:p>
          <w:p w14:paraId="40E19A4C" w14:textId="77777777" w:rsidR="00AD0A4D" w:rsidRPr="00DB0F67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Пересчёт в текущий уровень цен выполнить путём применения индексов изменения сметной стоимости на период разработки сметной документации. Для определения текущей стоимости строительства применить индексы изменения сметной стоимости строительства по данным Министерства строительства и жилищно-коммунального хозяйства Российской Федерации (публикуются ежеквартально).</w:t>
            </w:r>
          </w:p>
          <w:p w14:paraId="2E00B478" w14:textId="0F052F22" w:rsidR="008867D2" w:rsidRPr="008867D2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B0F67">
              <w:rPr>
                <w:rFonts w:ascii="Times New Roman" w:eastAsia="Times New Roman" w:hAnsi="Times New Roman"/>
                <w:lang w:eastAsia="ru-RU"/>
              </w:rPr>
              <w:t>При отсутствии во ФГИС ЦС данных о сметных ценах в текущем уровне цен на отдельные материалы, изделия, конструкции и оборудование, а также сметных нормативов на отдельные виды работ и услуг допускается определение их сметной стоимости по наиболее экономичному варианту, определённому на основании сбора информации о текущих ценах (конъюнктурный анализ). Результаты конъектурного анализа оформить в соответствии с рекомендуемой формой, приведенной в приложении №1 к приказу №421/</w:t>
            </w:r>
            <w:proofErr w:type="spellStart"/>
            <w:r w:rsidRPr="00DB0F6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DB0F67">
              <w:rPr>
                <w:rFonts w:ascii="Times New Roman" w:eastAsia="Times New Roman" w:hAnsi="Times New Roman"/>
                <w:lang w:eastAsia="ru-RU"/>
              </w:rPr>
              <w:t xml:space="preserve"> от 04.08.2020 г. и подписать с заказчиком.</w:t>
            </w:r>
          </w:p>
        </w:tc>
      </w:tr>
      <w:tr w:rsidR="005F62E1" w:rsidRPr="006842A3" w14:paraId="416F60DE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0DBA699" w14:textId="749FF0B9" w:rsidR="005F62E1" w:rsidRPr="004537A0" w:rsidRDefault="00B2413B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27</w:t>
            </w:r>
            <w:r w:rsidR="003A47B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070" w:type="pct"/>
            <w:shd w:val="clear" w:color="000000" w:fill="FFFFFF"/>
          </w:tcPr>
          <w:p w14:paraId="35932C80" w14:textId="5C6EE395" w:rsidR="005F62E1" w:rsidRPr="006842A3" w:rsidRDefault="003A47B8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Исходные данные, предоставляемые Заказчиком</w:t>
            </w:r>
          </w:p>
        </w:tc>
        <w:tc>
          <w:tcPr>
            <w:tcW w:w="3576" w:type="pct"/>
            <w:shd w:val="clear" w:color="000000" w:fill="FFFFFF"/>
          </w:tcPr>
          <w:p w14:paraId="56FF9CD6" w14:textId="77777777" w:rsidR="003A47B8" w:rsidRPr="006842A3" w:rsidRDefault="003A47B8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Для выполнения работ </w:t>
            </w:r>
            <w:r w:rsidRPr="006842A3">
              <w:rPr>
                <w:rFonts w:ascii="Times New Roman" w:hAnsi="Times New Roman"/>
              </w:rPr>
              <w:t>по настоящему техническому заданию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, Заказчик предоставляет Исполнителю следующую исходно-разрешительную документацию:</w:t>
            </w:r>
          </w:p>
          <w:p w14:paraId="73F74BA5" w14:textId="77777777" w:rsidR="003A47B8" w:rsidRDefault="003A47B8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Техническое задание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A1EFA26" w14:textId="5A2E58C2" w:rsidR="00B2413B" w:rsidRPr="00B2413B" w:rsidRDefault="00B2413B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Паспорта котельных</w:t>
            </w:r>
          </w:p>
        </w:tc>
      </w:tr>
      <w:tr w:rsidR="00F83352" w:rsidRPr="006842A3" w14:paraId="4A79AA1B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BFD1247" w14:textId="3FCB7E2D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</w:t>
            </w:r>
          </w:p>
        </w:tc>
        <w:tc>
          <w:tcPr>
            <w:tcW w:w="1070" w:type="pct"/>
            <w:shd w:val="clear" w:color="000000" w:fill="FFFFFF"/>
          </w:tcPr>
          <w:p w14:paraId="36B31CC3" w14:textId="1F1B2FFF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Наружные инженерные сети</w:t>
            </w:r>
          </w:p>
        </w:tc>
        <w:tc>
          <w:tcPr>
            <w:tcW w:w="3576" w:type="pct"/>
            <w:shd w:val="clear" w:color="000000" w:fill="FFFFFF"/>
          </w:tcPr>
          <w:p w14:paraId="10633F22" w14:textId="49ACC7B9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  <w:tr w:rsidR="00F83352" w:rsidRPr="006842A3" w14:paraId="3EF9C5A0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3ABAF4C0" w14:textId="65F08336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29.</w:t>
            </w:r>
          </w:p>
        </w:tc>
        <w:tc>
          <w:tcPr>
            <w:tcW w:w="1070" w:type="pct"/>
            <w:shd w:val="clear" w:color="000000" w:fill="FFFFFF"/>
          </w:tcPr>
          <w:p w14:paraId="314C4BAF" w14:textId="5AC2AB70" w:rsidR="00F83352" w:rsidRP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Энергоэффективность</w:t>
            </w:r>
          </w:p>
        </w:tc>
        <w:tc>
          <w:tcPr>
            <w:tcW w:w="3576" w:type="pct"/>
            <w:shd w:val="clear" w:color="000000" w:fill="FFFFFF"/>
          </w:tcPr>
          <w:p w14:paraId="57003B8F" w14:textId="5A794073" w:rsidR="00F83352" w:rsidRPr="006842A3" w:rsidRDefault="00F83352" w:rsidP="00F83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 xml:space="preserve">При разработке проектно-сметной документации применять современные материалы и технологии, повышающие энергоэффективность объекта и энергосбережение. Требования к энергетической эффективности должны быть выполнены в соответствии с действующим законодательством.    </w:t>
            </w:r>
          </w:p>
        </w:tc>
      </w:tr>
      <w:tr w:rsidR="00F83352" w:rsidRPr="006842A3" w14:paraId="085603C5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47CC2BF" w14:textId="149B61FB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</w:t>
            </w:r>
          </w:p>
        </w:tc>
        <w:tc>
          <w:tcPr>
            <w:tcW w:w="1070" w:type="pct"/>
            <w:shd w:val="clear" w:color="000000" w:fill="FFFFFF"/>
          </w:tcPr>
          <w:p w14:paraId="4147C9DE" w14:textId="4D0F8378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Необходимость выполнения обмерных работ</w:t>
            </w:r>
          </w:p>
        </w:tc>
        <w:tc>
          <w:tcPr>
            <w:tcW w:w="3576" w:type="pct"/>
            <w:shd w:val="clear" w:color="000000" w:fill="FFFFFF"/>
          </w:tcPr>
          <w:p w14:paraId="7A181120" w14:textId="02126799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Выполнить обмерные работы в объёме, необходимом для разработки проектной документации</w:t>
            </w:r>
          </w:p>
        </w:tc>
      </w:tr>
      <w:tr w:rsidR="00F83352" w:rsidRPr="006842A3" w14:paraId="00694F89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220B0BA" w14:textId="590237B4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</w:t>
            </w:r>
          </w:p>
        </w:tc>
        <w:tc>
          <w:tcPr>
            <w:tcW w:w="1070" w:type="pct"/>
            <w:shd w:val="clear" w:color="000000" w:fill="FFFFFF"/>
          </w:tcPr>
          <w:p w14:paraId="7B289FAA" w14:textId="15B8622F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Необходимость проведения авторского надзора</w:t>
            </w:r>
          </w:p>
        </w:tc>
        <w:tc>
          <w:tcPr>
            <w:tcW w:w="3576" w:type="pct"/>
            <w:shd w:val="clear" w:color="000000" w:fill="FFFFFF"/>
          </w:tcPr>
          <w:p w14:paraId="608243A1" w14:textId="26734942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требуется.</w:t>
            </w:r>
          </w:p>
        </w:tc>
      </w:tr>
      <w:tr w:rsidR="00C05BF5" w:rsidRPr="006A781A" w14:paraId="2E5BFBCE" w14:textId="77777777" w:rsidTr="003A47B8">
        <w:trPr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61B" w14:textId="240CEFC7" w:rsidR="00C05BF5" w:rsidRPr="006A781A" w:rsidRDefault="00F83352" w:rsidP="00C05BF5">
            <w:pPr>
              <w:pStyle w:val="a3"/>
              <w:tabs>
                <w:tab w:val="left" w:pos="0"/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3A47B8">
              <w:rPr>
                <w:rFonts w:ascii="Times New Roman" w:hAnsi="Times New Roman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DB1" w14:textId="57783F2E" w:rsidR="00C05BF5" w:rsidRPr="003A47B8" w:rsidRDefault="00C05BF5" w:rsidP="003A47B8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>Количество экземпляров проекта</w:t>
            </w:r>
            <w:r w:rsidR="00EC4093">
              <w:rPr>
                <w:rFonts w:ascii="Times New Roman" w:eastAsia="Times New Roman" w:hAnsi="Times New Roman"/>
                <w:lang w:eastAsia="ru-RU"/>
              </w:rPr>
              <w:t xml:space="preserve"> на каждый объект согласно приложениям </w:t>
            </w:r>
            <w:r w:rsidR="00EC4093" w:rsidRPr="00EC4093">
              <w:rPr>
                <w:rFonts w:ascii="Times New Roman" w:eastAsia="Times New Roman" w:hAnsi="Times New Roman"/>
                <w:lang w:eastAsia="ru-RU"/>
              </w:rPr>
              <w:t>№№ 2, 3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7A5" w14:textId="77777777" w:rsidR="00C05BF5" w:rsidRPr="003A47B8" w:rsidRDefault="00C05BF5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 xml:space="preserve">Проектная документация – 2 (два) экземпляра на бумажном носителе, 1 (один) экземпляр на электронном носителе в формате </w:t>
            </w:r>
            <w:proofErr w:type="spellStart"/>
            <w:r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B5F339E" w14:textId="77777777" w:rsidR="00C05BF5" w:rsidRDefault="00B00299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Сметная</w:t>
            </w:r>
            <w:r w:rsidR="00C05BF5" w:rsidRPr="003A47B8">
              <w:rPr>
                <w:rFonts w:ascii="Times New Roman" w:eastAsia="Times New Roman" w:hAnsi="Times New Roman"/>
                <w:lang w:eastAsia="ru-RU"/>
              </w:rPr>
              <w:t xml:space="preserve"> документация – 2 (два) экземпляра – на бумажном носителе, 1 (один) экземпляр – на электронном носителе в формате </w:t>
            </w:r>
            <w:proofErr w:type="spellStart"/>
            <w:r w:rsidR="00C05BF5"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="00C05BF5"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D93E8EE" w14:textId="58A70ABB" w:rsidR="00450B7C" w:rsidRPr="00B2413B" w:rsidRDefault="00450B7C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Исполнительная документация - </w:t>
            </w:r>
            <w:r w:rsidRPr="00450B7C">
              <w:rPr>
                <w:rFonts w:ascii="Times New Roman" w:eastAsia="Times New Roman" w:hAnsi="Times New Roman"/>
                <w:lang w:eastAsia="ru-RU"/>
              </w:rPr>
              <w:t xml:space="preserve">2 (два) экземпляра – на бумажном носителе, 1 (один) экземпляр – на электронном носителе в формате </w:t>
            </w:r>
            <w:proofErr w:type="spellStart"/>
            <w:r w:rsidRPr="00450B7C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450B7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414236F4" w14:textId="77777777" w:rsidR="000024A6" w:rsidRPr="006842A3" w:rsidRDefault="000024A6" w:rsidP="005F16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39787611" w14:textId="37198183" w:rsidR="007823B0" w:rsidRPr="008F2D8A" w:rsidRDefault="00605C85" w:rsidP="008F2D8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  <w:r w:rsidRPr="006842A3">
        <w:rPr>
          <w:rFonts w:ascii="Times New Roman" w:eastAsia="Times New Roman" w:hAnsi="Times New Roman"/>
          <w:b/>
        </w:rPr>
        <w:t xml:space="preserve">СОГЛАСОВАНО: </w:t>
      </w:r>
    </w:p>
    <w:p w14:paraId="4DE44882" w14:textId="688A42C6" w:rsidR="00796F9B" w:rsidRPr="008F2D8A" w:rsidRDefault="006529B3" w:rsidP="008F2D8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</w:t>
      </w:r>
      <w:r w:rsidR="00E500C5">
        <w:rPr>
          <w:rFonts w:ascii="Times New Roman" w:eastAsia="Times New Roman" w:hAnsi="Times New Roman"/>
        </w:rPr>
        <w:tab/>
      </w:r>
      <w:r w:rsidR="00373F9E">
        <w:rPr>
          <w:rFonts w:ascii="Times New Roman" w:eastAsia="Times New Roman" w:hAnsi="Times New Roman"/>
        </w:rPr>
        <w:t>_________</w:t>
      </w:r>
      <w:r w:rsidR="00E500C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______________</w:t>
      </w:r>
      <w:r w:rsidR="00E500C5">
        <w:rPr>
          <w:rFonts w:ascii="Times New Roman" w:eastAsia="Times New Roman" w:hAnsi="Times New Roman"/>
        </w:rPr>
        <w:tab/>
      </w:r>
      <w:r w:rsidR="00E500C5">
        <w:rPr>
          <w:rFonts w:ascii="Times New Roman" w:eastAsia="Times New Roman" w:hAnsi="Times New Roman"/>
        </w:rPr>
        <w:tab/>
      </w:r>
      <w:r w:rsidR="005C1DFE" w:rsidRPr="006842A3">
        <w:rPr>
          <w:rFonts w:ascii="Times New Roman" w:eastAsia="Times New Roman" w:hAnsi="Times New Roman"/>
        </w:rPr>
        <w:t xml:space="preserve">«___» </w:t>
      </w:r>
      <w:r w:rsidR="00373F9E">
        <w:rPr>
          <w:rFonts w:ascii="Times New Roman" w:eastAsia="Times New Roman" w:hAnsi="Times New Roman"/>
        </w:rPr>
        <w:t>_________</w:t>
      </w:r>
      <w:r w:rsidR="005C1DFE" w:rsidRPr="006842A3">
        <w:rPr>
          <w:rFonts w:ascii="Times New Roman" w:eastAsia="Times New Roman" w:hAnsi="Times New Roman"/>
        </w:rPr>
        <w:t xml:space="preserve"> </w:t>
      </w:r>
      <w:r w:rsidR="00373F9E">
        <w:rPr>
          <w:rFonts w:ascii="Times New Roman" w:eastAsia="Times New Roman" w:hAnsi="Times New Roman"/>
        </w:rPr>
        <w:t>201</w:t>
      </w:r>
      <w:r>
        <w:rPr>
          <w:rFonts w:ascii="Times New Roman" w:eastAsia="Times New Roman" w:hAnsi="Times New Roman"/>
        </w:rPr>
        <w:t>_______</w:t>
      </w:r>
      <w:r w:rsidR="00373F9E">
        <w:rPr>
          <w:rFonts w:ascii="Times New Roman" w:eastAsia="Times New Roman" w:hAnsi="Times New Roman"/>
        </w:rPr>
        <w:t>г.</w:t>
      </w:r>
    </w:p>
    <w:p w14:paraId="0EBEAD0A" w14:textId="77777777" w:rsidR="00450B7C" w:rsidRDefault="00450B7C" w:rsidP="00B81A6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</w:p>
    <w:p w14:paraId="49BE8B01" w14:textId="3189CE5E" w:rsidR="00E01C40" w:rsidRPr="006842A3" w:rsidRDefault="00E01C40" w:rsidP="00B81A6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  <w:r w:rsidRPr="006842A3">
        <w:rPr>
          <w:rFonts w:ascii="Times New Roman" w:eastAsia="Times New Roman" w:hAnsi="Times New Roman"/>
          <w:b/>
        </w:rPr>
        <w:t xml:space="preserve">СОСТАВИЛ: </w:t>
      </w:r>
    </w:p>
    <w:p w14:paraId="2DE76ECB" w14:textId="6CF08126" w:rsidR="00250A38" w:rsidRPr="005C6FB3" w:rsidRDefault="006529B3" w:rsidP="005C6FB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</w:rPr>
        <w:sectPr w:rsidR="00250A38" w:rsidRPr="005C6FB3" w:rsidSect="005F16CF">
          <w:footerReference w:type="default" r:id="rId8"/>
          <w:pgSz w:w="11906" w:h="16838"/>
          <w:pgMar w:top="1134" w:right="850" w:bottom="851" w:left="1701" w:header="708" w:footer="420" w:gutter="0"/>
          <w:cols w:space="708"/>
          <w:docGrid w:linePitch="360"/>
        </w:sectPr>
      </w:pPr>
      <w:r>
        <w:rPr>
          <w:rFonts w:ascii="Times New Roman" w:eastAsia="Times New Roman" w:hAnsi="Times New Roman"/>
        </w:rPr>
        <w:t>________________</w:t>
      </w:r>
      <w:r w:rsidR="00E500C5">
        <w:rPr>
          <w:rFonts w:ascii="Times New Roman" w:eastAsia="Times New Roman" w:hAnsi="Times New Roman"/>
        </w:rPr>
        <w:tab/>
      </w:r>
      <w:r w:rsidR="00373F9E">
        <w:rPr>
          <w:rFonts w:ascii="Times New Roman" w:eastAsia="Times New Roman" w:hAnsi="Times New Roman"/>
        </w:rPr>
        <w:t>_________</w:t>
      </w:r>
      <w:r w:rsidR="00E500C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______________</w:t>
      </w:r>
      <w:r w:rsidR="00E500C5">
        <w:rPr>
          <w:rFonts w:ascii="Times New Roman" w:eastAsia="Times New Roman" w:hAnsi="Times New Roman"/>
        </w:rPr>
        <w:tab/>
      </w:r>
      <w:r w:rsidR="00450B7C">
        <w:rPr>
          <w:rFonts w:ascii="Times New Roman" w:eastAsia="Times New Roman" w:hAnsi="Times New Roman"/>
        </w:rPr>
        <w:t xml:space="preserve">             </w:t>
      </w:r>
      <w:r w:rsidR="00E01C40" w:rsidRPr="006842A3">
        <w:rPr>
          <w:rFonts w:ascii="Times New Roman" w:eastAsia="Times New Roman" w:hAnsi="Times New Roman"/>
        </w:rPr>
        <w:t>«___»</w:t>
      </w:r>
      <w:r w:rsidR="0030597A" w:rsidRPr="006842A3">
        <w:rPr>
          <w:rFonts w:ascii="Times New Roman" w:eastAsia="Times New Roman" w:hAnsi="Times New Roman"/>
        </w:rPr>
        <w:t xml:space="preserve"> </w:t>
      </w:r>
      <w:r w:rsidR="00373F9E">
        <w:rPr>
          <w:rFonts w:ascii="Times New Roman" w:eastAsia="Times New Roman" w:hAnsi="Times New Roman"/>
        </w:rPr>
        <w:t>_________</w:t>
      </w:r>
      <w:r w:rsidR="0030597A" w:rsidRPr="006842A3">
        <w:rPr>
          <w:rFonts w:ascii="Times New Roman" w:eastAsia="Times New Roman" w:hAnsi="Times New Roman"/>
        </w:rPr>
        <w:t xml:space="preserve"> </w:t>
      </w:r>
      <w:r w:rsidR="00373F9E">
        <w:rPr>
          <w:rFonts w:ascii="Times New Roman" w:eastAsia="Times New Roman" w:hAnsi="Times New Roman"/>
        </w:rPr>
        <w:t>201</w:t>
      </w:r>
      <w:r>
        <w:rPr>
          <w:rFonts w:ascii="Times New Roman" w:eastAsia="Times New Roman" w:hAnsi="Times New Roman"/>
        </w:rPr>
        <w:t>____</w:t>
      </w:r>
    </w:p>
    <w:p w14:paraId="5F103AA5" w14:textId="77777777" w:rsidR="00253B5E" w:rsidRPr="00286C74" w:rsidRDefault="00253B5E" w:rsidP="00A3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0"/>
        </w:rPr>
      </w:pPr>
    </w:p>
    <w:sectPr w:rsidR="00253B5E" w:rsidRPr="00286C74" w:rsidSect="00B81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EBA55" w14:textId="77777777" w:rsidR="00DC301C" w:rsidRDefault="00DC301C" w:rsidP="00062ECC">
      <w:pPr>
        <w:spacing w:after="0" w:line="240" w:lineRule="auto"/>
      </w:pPr>
      <w:r>
        <w:separator/>
      </w:r>
    </w:p>
  </w:endnote>
  <w:endnote w:type="continuationSeparator" w:id="0">
    <w:p w14:paraId="17F815F6" w14:textId="77777777" w:rsidR="00DC301C" w:rsidRDefault="00DC301C" w:rsidP="0006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81660"/>
      <w:docPartObj>
        <w:docPartGallery w:val="Page Numbers (Bottom of Page)"/>
        <w:docPartUnique/>
      </w:docPartObj>
    </w:sdtPr>
    <w:sdtEndPr/>
    <w:sdtContent>
      <w:p w14:paraId="6368E631" w14:textId="2CBBD605" w:rsidR="00922CA9" w:rsidRDefault="00922CA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52">
          <w:rPr>
            <w:noProof/>
          </w:rPr>
          <w:t>7</w:t>
        </w:r>
        <w:r>
          <w:fldChar w:fldCharType="end"/>
        </w:r>
      </w:p>
    </w:sdtContent>
  </w:sdt>
  <w:p w14:paraId="4A53C45C" w14:textId="77777777" w:rsidR="00922CA9" w:rsidRDefault="00922CA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B95C4" w14:textId="77777777" w:rsidR="00DC301C" w:rsidRDefault="00DC301C" w:rsidP="00062ECC">
      <w:pPr>
        <w:spacing w:after="0" w:line="240" w:lineRule="auto"/>
      </w:pPr>
      <w:r>
        <w:separator/>
      </w:r>
    </w:p>
  </w:footnote>
  <w:footnote w:type="continuationSeparator" w:id="0">
    <w:p w14:paraId="595CA82C" w14:textId="77777777" w:rsidR="00DC301C" w:rsidRDefault="00DC301C" w:rsidP="00062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D882708"/>
    <w:lvl w:ilvl="0">
      <w:start w:val="1"/>
      <w:numFmt w:val="decimal"/>
      <w:pStyle w:val="1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A2D407A2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432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45" w:hanging="140"/>
      </w:pPr>
    </w:lvl>
    <w:lvl w:ilvl="2">
      <w:numFmt w:val="bullet"/>
      <w:lvlText w:val="•"/>
      <w:lvlJc w:val="left"/>
      <w:pPr>
        <w:ind w:left="3851" w:hanging="140"/>
      </w:pPr>
    </w:lvl>
    <w:lvl w:ilvl="3">
      <w:numFmt w:val="bullet"/>
      <w:lvlText w:val="•"/>
      <w:lvlJc w:val="left"/>
      <w:pPr>
        <w:ind w:left="4557" w:hanging="140"/>
      </w:pPr>
    </w:lvl>
    <w:lvl w:ilvl="4">
      <w:numFmt w:val="bullet"/>
      <w:lvlText w:val="•"/>
      <w:lvlJc w:val="left"/>
      <w:pPr>
        <w:ind w:left="5263" w:hanging="140"/>
      </w:pPr>
    </w:lvl>
    <w:lvl w:ilvl="5">
      <w:numFmt w:val="bullet"/>
      <w:lvlText w:val="•"/>
      <w:lvlJc w:val="left"/>
      <w:pPr>
        <w:ind w:left="5969" w:hanging="140"/>
      </w:pPr>
    </w:lvl>
    <w:lvl w:ilvl="6">
      <w:numFmt w:val="bullet"/>
      <w:lvlText w:val="•"/>
      <w:lvlJc w:val="left"/>
      <w:pPr>
        <w:ind w:left="6675" w:hanging="140"/>
      </w:pPr>
    </w:lvl>
    <w:lvl w:ilvl="7">
      <w:numFmt w:val="bullet"/>
      <w:lvlText w:val="•"/>
      <w:lvlJc w:val="left"/>
      <w:pPr>
        <w:ind w:left="7380" w:hanging="140"/>
      </w:pPr>
    </w:lvl>
    <w:lvl w:ilvl="8">
      <w:numFmt w:val="bullet"/>
      <w:lvlText w:val="•"/>
      <w:lvlJc w:val="left"/>
      <w:pPr>
        <w:ind w:left="8086" w:hanging="140"/>
      </w:pPr>
    </w:lvl>
  </w:abstractNum>
  <w:abstractNum w:abstractNumId="3" w15:restartNumberingAfterBreak="0">
    <w:nsid w:val="02900F37"/>
    <w:multiLevelType w:val="multilevel"/>
    <w:tmpl w:val="FFFFFFFF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4" w15:restartNumberingAfterBreak="0">
    <w:nsid w:val="31BD5DB4"/>
    <w:multiLevelType w:val="hybridMultilevel"/>
    <w:tmpl w:val="3412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44F8"/>
    <w:multiLevelType w:val="hybridMultilevel"/>
    <w:tmpl w:val="49B4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D5388"/>
    <w:multiLevelType w:val="hybridMultilevel"/>
    <w:tmpl w:val="2B5E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735A7"/>
    <w:multiLevelType w:val="hybridMultilevel"/>
    <w:tmpl w:val="DF24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00BD5"/>
    <w:multiLevelType w:val="multilevel"/>
    <w:tmpl w:val="A2A8852E"/>
    <w:lvl w:ilvl="0">
      <w:start w:val="1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9" w15:restartNumberingAfterBreak="0">
    <w:nsid w:val="7A585649"/>
    <w:multiLevelType w:val="hybridMultilevel"/>
    <w:tmpl w:val="0900C77C"/>
    <w:lvl w:ilvl="0" w:tplc="6FD85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CB"/>
    <w:rsid w:val="0000100C"/>
    <w:rsid w:val="000024A6"/>
    <w:rsid w:val="00007857"/>
    <w:rsid w:val="00012B7E"/>
    <w:rsid w:val="00015707"/>
    <w:rsid w:val="000172CB"/>
    <w:rsid w:val="0002773D"/>
    <w:rsid w:val="00032996"/>
    <w:rsid w:val="00037351"/>
    <w:rsid w:val="0004022E"/>
    <w:rsid w:val="000428BA"/>
    <w:rsid w:val="0004314F"/>
    <w:rsid w:val="0004532C"/>
    <w:rsid w:val="00053864"/>
    <w:rsid w:val="00056900"/>
    <w:rsid w:val="000613B2"/>
    <w:rsid w:val="00062ECC"/>
    <w:rsid w:val="00067AE0"/>
    <w:rsid w:val="00070E41"/>
    <w:rsid w:val="0008011F"/>
    <w:rsid w:val="000829E0"/>
    <w:rsid w:val="0008403B"/>
    <w:rsid w:val="0008475D"/>
    <w:rsid w:val="000865F7"/>
    <w:rsid w:val="00091891"/>
    <w:rsid w:val="00094864"/>
    <w:rsid w:val="000A2335"/>
    <w:rsid w:val="000A6FD0"/>
    <w:rsid w:val="000A713B"/>
    <w:rsid w:val="000B3585"/>
    <w:rsid w:val="000B55F7"/>
    <w:rsid w:val="000B6CAA"/>
    <w:rsid w:val="000D2261"/>
    <w:rsid w:val="000D51F7"/>
    <w:rsid w:val="000E66CA"/>
    <w:rsid w:val="000E72ED"/>
    <w:rsid w:val="000E7888"/>
    <w:rsid w:val="000F0766"/>
    <w:rsid w:val="000F122F"/>
    <w:rsid w:val="000F1799"/>
    <w:rsid w:val="000F56D3"/>
    <w:rsid w:val="00104B25"/>
    <w:rsid w:val="00113497"/>
    <w:rsid w:val="00113670"/>
    <w:rsid w:val="0011394A"/>
    <w:rsid w:val="0012026F"/>
    <w:rsid w:val="00122C02"/>
    <w:rsid w:val="00126B2E"/>
    <w:rsid w:val="001504E2"/>
    <w:rsid w:val="00152D2E"/>
    <w:rsid w:val="001547C5"/>
    <w:rsid w:val="0015674F"/>
    <w:rsid w:val="00157B93"/>
    <w:rsid w:val="001643CA"/>
    <w:rsid w:val="0017012B"/>
    <w:rsid w:val="001851CD"/>
    <w:rsid w:val="00190F06"/>
    <w:rsid w:val="00196CE2"/>
    <w:rsid w:val="00197D05"/>
    <w:rsid w:val="001A0791"/>
    <w:rsid w:val="001A3998"/>
    <w:rsid w:val="001A5FB6"/>
    <w:rsid w:val="001A788E"/>
    <w:rsid w:val="001B20BE"/>
    <w:rsid w:val="001C36DF"/>
    <w:rsid w:val="001C37D7"/>
    <w:rsid w:val="001C5097"/>
    <w:rsid w:val="001C66E7"/>
    <w:rsid w:val="001C677E"/>
    <w:rsid w:val="001C7CFF"/>
    <w:rsid w:val="001D10A8"/>
    <w:rsid w:val="001D3BC3"/>
    <w:rsid w:val="001E38DB"/>
    <w:rsid w:val="001E5AF1"/>
    <w:rsid w:val="001F449E"/>
    <w:rsid w:val="001F5E82"/>
    <w:rsid w:val="001F6D2E"/>
    <w:rsid w:val="00200F9F"/>
    <w:rsid w:val="002035BE"/>
    <w:rsid w:val="00204BA3"/>
    <w:rsid w:val="002075BC"/>
    <w:rsid w:val="00210F08"/>
    <w:rsid w:val="00210FAA"/>
    <w:rsid w:val="00211A96"/>
    <w:rsid w:val="00211E3C"/>
    <w:rsid w:val="00215828"/>
    <w:rsid w:val="00216429"/>
    <w:rsid w:val="00216ED5"/>
    <w:rsid w:val="00217C55"/>
    <w:rsid w:val="0022522B"/>
    <w:rsid w:val="0023313F"/>
    <w:rsid w:val="00233C5E"/>
    <w:rsid w:val="00234354"/>
    <w:rsid w:val="00250A38"/>
    <w:rsid w:val="00251376"/>
    <w:rsid w:val="00253B5E"/>
    <w:rsid w:val="00256CAD"/>
    <w:rsid w:val="0026147A"/>
    <w:rsid w:val="00261A3B"/>
    <w:rsid w:val="002641D0"/>
    <w:rsid w:val="00272BAA"/>
    <w:rsid w:val="002778F4"/>
    <w:rsid w:val="00280A67"/>
    <w:rsid w:val="00281FF2"/>
    <w:rsid w:val="002820C1"/>
    <w:rsid w:val="002857FB"/>
    <w:rsid w:val="00286C74"/>
    <w:rsid w:val="0029235B"/>
    <w:rsid w:val="002938FF"/>
    <w:rsid w:val="00294689"/>
    <w:rsid w:val="0029749C"/>
    <w:rsid w:val="002A047E"/>
    <w:rsid w:val="002A0738"/>
    <w:rsid w:val="002A79A6"/>
    <w:rsid w:val="002A7ABB"/>
    <w:rsid w:val="002B4D9B"/>
    <w:rsid w:val="002C1D35"/>
    <w:rsid w:val="002C701D"/>
    <w:rsid w:val="002D0392"/>
    <w:rsid w:val="002D5048"/>
    <w:rsid w:val="002E2B11"/>
    <w:rsid w:val="002E2ED5"/>
    <w:rsid w:val="002F05F9"/>
    <w:rsid w:val="0030096F"/>
    <w:rsid w:val="00300BC6"/>
    <w:rsid w:val="0030597A"/>
    <w:rsid w:val="003062E2"/>
    <w:rsid w:val="0031151F"/>
    <w:rsid w:val="003125AC"/>
    <w:rsid w:val="003144EF"/>
    <w:rsid w:val="003161AE"/>
    <w:rsid w:val="003203E5"/>
    <w:rsid w:val="00320A6A"/>
    <w:rsid w:val="00322165"/>
    <w:rsid w:val="003262D5"/>
    <w:rsid w:val="00331C23"/>
    <w:rsid w:val="00332DE6"/>
    <w:rsid w:val="00332E84"/>
    <w:rsid w:val="00333E60"/>
    <w:rsid w:val="00334474"/>
    <w:rsid w:val="003409AF"/>
    <w:rsid w:val="00340F14"/>
    <w:rsid w:val="003453D2"/>
    <w:rsid w:val="00346CB9"/>
    <w:rsid w:val="0035193D"/>
    <w:rsid w:val="00351B8B"/>
    <w:rsid w:val="0035279E"/>
    <w:rsid w:val="00352A62"/>
    <w:rsid w:val="0035578A"/>
    <w:rsid w:val="003643D0"/>
    <w:rsid w:val="00366537"/>
    <w:rsid w:val="00373F9E"/>
    <w:rsid w:val="003744B7"/>
    <w:rsid w:val="00382DD7"/>
    <w:rsid w:val="00387732"/>
    <w:rsid w:val="00387F6F"/>
    <w:rsid w:val="0039000A"/>
    <w:rsid w:val="00395AF4"/>
    <w:rsid w:val="003A1D57"/>
    <w:rsid w:val="003A21F8"/>
    <w:rsid w:val="003A47B8"/>
    <w:rsid w:val="003A483D"/>
    <w:rsid w:val="003A6E9E"/>
    <w:rsid w:val="003B0C52"/>
    <w:rsid w:val="003B1BEE"/>
    <w:rsid w:val="003B5575"/>
    <w:rsid w:val="003C70E9"/>
    <w:rsid w:val="003D0D12"/>
    <w:rsid w:val="003D3DFB"/>
    <w:rsid w:val="003D50ED"/>
    <w:rsid w:val="003E155A"/>
    <w:rsid w:val="003E4844"/>
    <w:rsid w:val="003F545F"/>
    <w:rsid w:val="00400C7D"/>
    <w:rsid w:val="0040636C"/>
    <w:rsid w:val="00410F71"/>
    <w:rsid w:val="00415AD9"/>
    <w:rsid w:val="0042034E"/>
    <w:rsid w:val="0042059D"/>
    <w:rsid w:val="004216BE"/>
    <w:rsid w:val="00426B91"/>
    <w:rsid w:val="0043208A"/>
    <w:rsid w:val="00443BEA"/>
    <w:rsid w:val="004463C9"/>
    <w:rsid w:val="00447974"/>
    <w:rsid w:val="00450B7C"/>
    <w:rsid w:val="004519BF"/>
    <w:rsid w:val="00452879"/>
    <w:rsid w:val="004537A0"/>
    <w:rsid w:val="004544F8"/>
    <w:rsid w:val="00463453"/>
    <w:rsid w:val="00465D74"/>
    <w:rsid w:val="00470826"/>
    <w:rsid w:val="00470A59"/>
    <w:rsid w:val="00476ED9"/>
    <w:rsid w:val="004779CF"/>
    <w:rsid w:val="00483536"/>
    <w:rsid w:val="004943D3"/>
    <w:rsid w:val="0049550C"/>
    <w:rsid w:val="00495BDD"/>
    <w:rsid w:val="004A603E"/>
    <w:rsid w:val="004B0C1A"/>
    <w:rsid w:val="004B5D73"/>
    <w:rsid w:val="004B7DDF"/>
    <w:rsid w:val="004C6B28"/>
    <w:rsid w:val="004C7567"/>
    <w:rsid w:val="004D163D"/>
    <w:rsid w:val="004D49C3"/>
    <w:rsid w:val="004E0938"/>
    <w:rsid w:val="004E395D"/>
    <w:rsid w:val="004E4BF7"/>
    <w:rsid w:val="004F50B7"/>
    <w:rsid w:val="004F7835"/>
    <w:rsid w:val="00505200"/>
    <w:rsid w:val="00507E8F"/>
    <w:rsid w:val="005128CD"/>
    <w:rsid w:val="0051517A"/>
    <w:rsid w:val="005161AC"/>
    <w:rsid w:val="00516B9D"/>
    <w:rsid w:val="00525359"/>
    <w:rsid w:val="0052665F"/>
    <w:rsid w:val="00531A52"/>
    <w:rsid w:val="0053424F"/>
    <w:rsid w:val="0054407F"/>
    <w:rsid w:val="00547811"/>
    <w:rsid w:val="0055061B"/>
    <w:rsid w:val="00556F4A"/>
    <w:rsid w:val="00556F64"/>
    <w:rsid w:val="0056133F"/>
    <w:rsid w:val="00563A5B"/>
    <w:rsid w:val="005648E2"/>
    <w:rsid w:val="00570511"/>
    <w:rsid w:val="00574F2B"/>
    <w:rsid w:val="00575305"/>
    <w:rsid w:val="00575D76"/>
    <w:rsid w:val="00575EF5"/>
    <w:rsid w:val="0058252E"/>
    <w:rsid w:val="0058643E"/>
    <w:rsid w:val="00590F86"/>
    <w:rsid w:val="00592DD1"/>
    <w:rsid w:val="00592F81"/>
    <w:rsid w:val="005A12DF"/>
    <w:rsid w:val="005A40DB"/>
    <w:rsid w:val="005A6C22"/>
    <w:rsid w:val="005A7CA7"/>
    <w:rsid w:val="005B19E5"/>
    <w:rsid w:val="005B46D2"/>
    <w:rsid w:val="005B79A0"/>
    <w:rsid w:val="005B7AC1"/>
    <w:rsid w:val="005C1DFE"/>
    <w:rsid w:val="005C28D1"/>
    <w:rsid w:val="005C30A9"/>
    <w:rsid w:val="005C47BE"/>
    <w:rsid w:val="005C6FB3"/>
    <w:rsid w:val="005D1BFD"/>
    <w:rsid w:val="005D42DD"/>
    <w:rsid w:val="005D7967"/>
    <w:rsid w:val="005E1BE8"/>
    <w:rsid w:val="005F16CF"/>
    <w:rsid w:val="005F3836"/>
    <w:rsid w:val="005F52D1"/>
    <w:rsid w:val="005F62E1"/>
    <w:rsid w:val="005F654C"/>
    <w:rsid w:val="005F6CA4"/>
    <w:rsid w:val="005F74AD"/>
    <w:rsid w:val="005F76C0"/>
    <w:rsid w:val="00605C85"/>
    <w:rsid w:val="006122BC"/>
    <w:rsid w:val="006146AF"/>
    <w:rsid w:val="006354F3"/>
    <w:rsid w:val="006465E5"/>
    <w:rsid w:val="00651E21"/>
    <w:rsid w:val="006529B3"/>
    <w:rsid w:val="006643A4"/>
    <w:rsid w:val="006705E0"/>
    <w:rsid w:val="00671DF6"/>
    <w:rsid w:val="006730F5"/>
    <w:rsid w:val="00674D4A"/>
    <w:rsid w:val="006842A3"/>
    <w:rsid w:val="00690C99"/>
    <w:rsid w:val="006A0F95"/>
    <w:rsid w:val="006A3747"/>
    <w:rsid w:val="006A4D6E"/>
    <w:rsid w:val="006A781A"/>
    <w:rsid w:val="006A7D40"/>
    <w:rsid w:val="006C131D"/>
    <w:rsid w:val="006C215A"/>
    <w:rsid w:val="006C46ED"/>
    <w:rsid w:val="006C742D"/>
    <w:rsid w:val="006D1910"/>
    <w:rsid w:val="006D1CC2"/>
    <w:rsid w:val="006D3493"/>
    <w:rsid w:val="006D4427"/>
    <w:rsid w:val="006E1896"/>
    <w:rsid w:val="006E240D"/>
    <w:rsid w:val="006E5EF2"/>
    <w:rsid w:val="006E72AF"/>
    <w:rsid w:val="006F26DF"/>
    <w:rsid w:val="006F47D6"/>
    <w:rsid w:val="0070276F"/>
    <w:rsid w:val="0071768B"/>
    <w:rsid w:val="00721267"/>
    <w:rsid w:val="00724090"/>
    <w:rsid w:val="0073390C"/>
    <w:rsid w:val="0073597E"/>
    <w:rsid w:val="007521BF"/>
    <w:rsid w:val="007529CA"/>
    <w:rsid w:val="00764E66"/>
    <w:rsid w:val="007650A7"/>
    <w:rsid w:val="00770394"/>
    <w:rsid w:val="00770EDE"/>
    <w:rsid w:val="00771FF3"/>
    <w:rsid w:val="0077350B"/>
    <w:rsid w:val="007777AB"/>
    <w:rsid w:val="00777939"/>
    <w:rsid w:val="007823B0"/>
    <w:rsid w:val="00786467"/>
    <w:rsid w:val="00793EE1"/>
    <w:rsid w:val="00796F9B"/>
    <w:rsid w:val="007B0EF6"/>
    <w:rsid w:val="007B2F07"/>
    <w:rsid w:val="007B7156"/>
    <w:rsid w:val="007B7C71"/>
    <w:rsid w:val="007C476D"/>
    <w:rsid w:val="007D063B"/>
    <w:rsid w:val="007D0DFC"/>
    <w:rsid w:val="007D6928"/>
    <w:rsid w:val="007E34C4"/>
    <w:rsid w:val="007E786E"/>
    <w:rsid w:val="007F1E95"/>
    <w:rsid w:val="007F4483"/>
    <w:rsid w:val="00800ECA"/>
    <w:rsid w:val="00803117"/>
    <w:rsid w:val="008031D4"/>
    <w:rsid w:val="008035C0"/>
    <w:rsid w:val="0081099B"/>
    <w:rsid w:val="00816C75"/>
    <w:rsid w:val="0081729E"/>
    <w:rsid w:val="00824E47"/>
    <w:rsid w:val="00825593"/>
    <w:rsid w:val="00831154"/>
    <w:rsid w:val="00841EA4"/>
    <w:rsid w:val="00842F0E"/>
    <w:rsid w:val="00843562"/>
    <w:rsid w:val="00844606"/>
    <w:rsid w:val="00844BC0"/>
    <w:rsid w:val="00845E76"/>
    <w:rsid w:val="00851D31"/>
    <w:rsid w:val="008531FB"/>
    <w:rsid w:val="00853AD0"/>
    <w:rsid w:val="00854D5D"/>
    <w:rsid w:val="00856561"/>
    <w:rsid w:val="00856F27"/>
    <w:rsid w:val="00863EB5"/>
    <w:rsid w:val="00873B63"/>
    <w:rsid w:val="00875B44"/>
    <w:rsid w:val="00883D9B"/>
    <w:rsid w:val="008867D2"/>
    <w:rsid w:val="00887672"/>
    <w:rsid w:val="0088781F"/>
    <w:rsid w:val="00891B32"/>
    <w:rsid w:val="00891C6F"/>
    <w:rsid w:val="008A3042"/>
    <w:rsid w:val="008A3DB7"/>
    <w:rsid w:val="008A41CF"/>
    <w:rsid w:val="008B0FDC"/>
    <w:rsid w:val="008B4B8B"/>
    <w:rsid w:val="008C22B3"/>
    <w:rsid w:val="008C60AF"/>
    <w:rsid w:val="008C66FB"/>
    <w:rsid w:val="008D2301"/>
    <w:rsid w:val="008D2E98"/>
    <w:rsid w:val="008E43A1"/>
    <w:rsid w:val="008E51D6"/>
    <w:rsid w:val="008F2D8A"/>
    <w:rsid w:val="00902D37"/>
    <w:rsid w:val="009049A2"/>
    <w:rsid w:val="009058AE"/>
    <w:rsid w:val="00907D50"/>
    <w:rsid w:val="00907F84"/>
    <w:rsid w:val="00912EDC"/>
    <w:rsid w:val="009156EA"/>
    <w:rsid w:val="009202D8"/>
    <w:rsid w:val="00922B2D"/>
    <w:rsid w:val="00922CA9"/>
    <w:rsid w:val="009258F3"/>
    <w:rsid w:val="00927E4A"/>
    <w:rsid w:val="009375FF"/>
    <w:rsid w:val="00947D5D"/>
    <w:rsid w:val="00951413"/>
    <w:rsid w:val="0095659B"/>
    <w:rsid w:val="00961BD5"/>
    <w:rsid w:val="00962471"/>
    <w:rsid w:val="0097195A"/>
    <w:rsid w:val="00975636"/>
    <w:rsid w:val="00976B0F"/>
    <w:rsid w:val="00977A88"/>
    <w:rsid w:val="00983BEB"/>
    <w:rsid w:val="00993001"/>
    <w:rsid w:val="009A7695"/>
    <w:rsid w:val="009B12F2"/>
    <w:rsid w:val="009B6033"/>
    <w:rsid w:val="009B6B6D"/>
    <w:rsid w:val="009C33EC"/>
    <w:rsid w:val="009C38B3"/>
    <w:rsid w:val="009C649C"/>
    <w:rsid w:val="009D192F"/>
    <w:rsid w:val="009D7400"/>
    <w:rsid w:val="009E0D8E"/>
    <w:rsid w:val="009E4256"/>
    <w:rsid w:val="009F0050"/>
    <w:rsid w:val="009F112B"/>
    <w:rsid w:val="009F34B2"/>
    <w:rsid w:val="009F3812"/>
    <w:rsid w:val="00A0012B"/>
    <w:rsid w:val="00A00889"/>
    <w:rsid w:val="00A011CF"/>
    <w:rsid w:val="00A015C0"/>
    <w:rsid w:val="00A111C8"/>
    <w:rsid w:val="00A15F80"/>
    <w:rsid w:val="00A22255"/>
    <w:rsid w:val="00A27DCA"/>
    <w:rsid w:val="00A3302B"/>
    <w:rsid w:val="00A336AE"/>
    <w:rsid w:val="00A37373"/>
    <w:rsid w:val="00A37AD8"/>
    <w:rsid w:val="00A4057C"/>
    <w:rsid w:val="00A405A9"/>
    <w:rsid w:val="00A43AB2"/>
    <w:rsid w:val="00A514DE"/>
    <w:rsid w:val="00A549C4"/>
    <w:rsid w:val="00A550F6"/>
    <w:rsid w:val="00A57885"/>
    <w:rsid w:val="00A635C8"/>
    <w:rsid w:val="00A637F3"/>
    <w:rsid w:val="00A67F63"/>
    <w:rsid w:val="00A7009F"/>
    <w:rsid w:val="00A73235"/>
    <w:rsid w:val="00A7337D"/>
    <w:rsid w:val="00A740C5"/>
    <w:rsid w:val="00A744D9"/>
    <w:rsid w:val="00A81610"/>
    <w:rsid w:val="00A9169B"/>
    <w:rsid w:val="00A9192F"/>
    <w:rsid w:val="00A96DE0"/>
    <w:rsid w:val="00A97E4D"/>
    <w:rsid w:val="00AA3797"/>
    <w:rsid w:val="00AA5310"/>
    <w:rsid w:val="00AB169F"/>
    <w:rsid w:val="00AB43E6"/>
    <w:rsid w:val="00AB5F52"/>
    <w:rsid w:val="00AC2EB6"/>
    <w:rsid w:val="00AC521C"/>
    <w:rsid w:val="00AD0A4D"/>
    <w:rsid w:val="00AD0D1A"/>
    <w:rsid w:val="00AE15C7"/>
    <w:rsid w:val="00AE5348"/>
    <w:rsid w:val="00AF032D"/>
    <w:rsid w:val="00AF2EC0"/>
    <w:rsid w:val="00AF6405"/>
    <w:rsid w:val="00B00299"/>
    <w:rsid w:val="00B01F9C"/>
    <w:rsid w:val="00B02DBD"/>
    <w:rsid w:val="00B04261"/>
    <w:rsid w:val="00B049F6"/>
    <w:rsid w:val="00B05E7B"/>
    <w:rsid w:val="00B11B74"/>
    <w:rsid w:val="00B12B74"/>
    <w:rsid w:val="00B13F3B"/>
    <w:rsid w:val="00B15B6B"/>
    <w:rsid w:val="00B23655"/>
    <w:rsid w:val="00B2413B"/>
    <w:rsid w:val="00B24986"/>
    <w:rsid w:val="00B30137"/>
    <w:rsid w:val="00B325FA"/>
    <w:rsid w:val="00B34A4A"/>
    <w:rsid w:val="00B42556"/>
    <w:rsid w:val="00B47882"/>
    <w:rsid w:val="00B50FBF"/>
    <w:rsid w:val="00B510CF"/>
    <w:rsid w:val="00B552B0"/>
    <w:rsid w:val="00B647C0"/>
    <w:rsid w:val="00B66E90"/>
    <w:rsid w:val="00B70CEA"/>
    <w:rsid w:val="00B72A8A"/>
    <w:rsid w:val="00B73EA6"/>
    <w:rsid w:val="00B80BA1"/>
    <w:rsid w:val="00B81A6C"/>
    <w:rsid w:val="00B9398B"/>
    <w:rsid w:val="00B95360"/>
    <w:rsid w:val="00BA2D84"/>
    <w:rsid w:val="00BA2E4D"/>
    <w:rsid w:val="00BA570E"/>
    <w:rsid w:val="00BA60D4"/>
    <w:rsid w:val="00BB5355"/>
    <w:rsid w:val="00BB5843"/>
    <w:rsid w:val="00BC0101"/>
    <w:rsid w:val="00BC0D21"/>
    <w:rsid w:val="00BC0E17"/>
    <w:rsid w:val="00BC6ECE"/>
    <w:rsid w:val="00BC7D7A"/>
    <w:rsid w:val="00BE59F2"/>
    <w:rsid w:val="00BE6567"/>
    <w:rsid w:val="00BF1363"/>
    <w:rsid w:val="00C009CF"/>
    <w:rsid w:val="00C02A95"/>
    <w:rsid w:val="00C05BF5"/>
    <w:rsid w:val="00C07C2D"/>
    <w:rsid w:val="00C1302E"/>
    <w:rsid w:val="00C34377"/>
    <w:rsid w:val="00C34FA5"/>
    <w:rsid w:val="00C36ADB"/>
    <w:rsid w:val="00C3764F"/>
    <w:rsid w:val="00C41317"/>
    <w:rsid w:val="00C42AEE"/>
    <w:rsid w:val="00C45023"/>
    <w:rsid w:val="00C45777"/>
    <w:rsid w:val="00C630D9"/>
    <w:rsid w:val="00C73385"/>
    <w:rsid w:val="00C73780"/>
    <w:rsid w:val="00C75172"/>
    <w:rsid w:val="00C86337"/>
    <w:rsid w:val="00C90B02"/>
    <w:rsid w:val="00C92C8A"/>
    <w:rsid w:val="00C93F20"/>
    <w:rsid w:val="00C95827"/>
    <w:rsid w:val="00CA5F38"/>
    <w:rsid w:val="00CB28BB"/>
    <w:rsid w:val="00CB34E7"/>
    <w:rsid w:val="00CB4A30"/>
    <w:rsid w:val="00CB55DB"/>
    <w:rsid w:val="00CC4CC2"/>
    <w:rsid w:val="00CC66DE"/>
    <w:rsid w:val="00CC7298"/>
    <w:rsid w:val="00CD0029"/>
    <w:rsid w:val="00CD25F6"/>
    <w:rsid w:val="00CD3014"/>
    <w:rsid w:val="00CD5B7F"/>
    <w:rsid w:val="00CD63AD"/>
    <w:rsid w:val="00CE3576"/>
    <w:rsid w:val="00CE6C0C"/>
    <w:rsid w:val="00CF75B2"/>
    <w:rsid w:val="00D001D3"/>
    <w:rsid w:val="00D00C65"/>
    <w:rsid w:val="00D07F4D"/>
    <w:rsid w:val="00D1152D"/>
    <w:rsid w:val="00D117F8"/>
    <w:rsid w:val="00D148A1"/>
    <w:rsid w:val="00D15EF3"/>
    <w:rsid w:val="00D16CEB"/>
    <w:rsid w:val="00D2168B"/>
    <w:rsid w:val="00D23850"/>
    <w:rsid w:val="00D2625E"/>
    <w:rsid w:val="00D316B2"/>
    <w:rsid w:val="00D316DA"/>
    <w:rsid w:val="00D33BB0"/>
    <w:rsid w:val="00D34389"/>
    <w:rsid w:val="00D359BD"/>
    <w:rsid w:val="00D47551"/>
    <w:rsid w:val="00D51274"/>
    <w:rsid w:val="00D5152B"/>
    <w:rsid w:val="00D53EA7"/>
    <w:rsid w:val="00D56BAB"/>
    <w:rsid w:val="00D6262E"/>
    <w:rsid w:val="00D70B11"/>
    <w:rsid w:val="00D7278C"/>
    <w:rsid w:val="00D81935"/>
    <w:rsid w:val="00D87432"/>
    <w:rsid w:val="00D91945"/>
    <w:rsid w:val="00D93B20"/>
    <w:rsid w:val="00D97440"/>
    <w:rsid w:val="00DA1F3C"/>
    <w:rsid w:val="00DA33B9"/>
    <w:rsid w:val="00DA7F13"/>
    <w:rsid w:val="00DB0F67"/>
    <w:rsid w:val="00DB618A"/>
    <w:rsid w:val="00DC301C"/>
    <w:rsid w:val="00DC63D3"/>
    <w:rsid w:val="00DD009F"/>
    <w:rsid w:val="00DD027E"/>
    <w:rsid w:val="00DD5072"/>
    <w:rsid w:val="00DE294E"/>
    <w:rsid w:val="00DE75EA"/>
    <w:rsid w:val="00E012A5"/>
    <w:rsid w:val="00E01C40"/>
    <w:rsid w:val="00E07160"/>
    <w:rsid w:val="00E107CE"/>
    <w:rsid w:val="00E12F53"/>
    <w:rsid w:val="00E234EF"/>
    <w:rsid w:val="00E25E6C"/>
    <w:rsid w:val="00E500C5"/>
    <w:rsid w:val="00E514CB"/>
    <w:rsid w:val="00E555E9"/>
    <w:rsid w:val="00E5738F"/>
    <w:rsid w:val="00E57831"/>
    <w:rsid w:val="00E57832"/>
    <w:rsid w:val="00E60AC2"/>
    <w:rsid w:val="00E62172"/>
    <w:rsid w:val="00E81C1F"/>
    <w:rsid w:val="00E870D8"/>
    <w:rsid w:val="00E87D08"/>
    <w:rsid w:val="00E9753B"/>
    <w:rsid w:val="00EA0772"/>
    <w:rsid w:val="00EA2679"/>
    <w:rsid w:val="00EA5D98"/>
    <w:rsid w:val="00EB5291"/>
    <w:rsid w:val="00EC10FF"/>
    <w:rsid w:val="00EC3936"/>
    <w:rsid w:val="00EC4093"/>
    <w:rsid w:val="00EC6715"/>
    <w:rsid w:val="00EC6F6A"/>
    <w:rsid w:val="00EC74DA"/>
    <w:rsid w:val="00EC756C"/>
    <w:rsid w:val="00ED09F3"/>
    <w:rsid w:val="00ED4684"/>
    <w:rsid w:val="00ED6E86"/>
    <w:rsid w:val="00ED7499"/>
    <w:rsid w:val="00EF0459"/>
    <w:rsid w:val="00EF5605"/>
    <w:rsid w:val="00F12E15"/>
    <w:rsid w:val="00F2410D"/>
    <w:rsid w:val="00F30A62"/>
    <w:rsid w:val="00F45ADC"/>
    <w:rsid w:val="00F52869"/>
    <w:rsid w:val="00F52ED7"/>
    <w:rsid w:val="00F618F1"/>
    <w:rsid w:val="00F62AE6"/>
    <w:rsid w:val="00F75E5C"/>
    <w:rsid w:val="00F773D4"/>
    <w:rsid w:val="00F80B45"/>
    <w:rsid w:val="00F83352"/>
    <w:rsid w:val="00F85101"/>
    <w:rsid w:val="00F866FA"/>
    <w:rsid w:val="00F930B0"/>
    <w:rsid w:val="00FA167B"/>
    <w:rsid w:val="00FA2E58"/>
    <w:rsid w:val="00FA59C7"/>
    <w:rsid w:val="00FB6574"/>
    <w:rsid w:val="00FB75B0"/>
    <w:rsid w:val="00FB7B78"/>
    <w:rsid w:val="00FD49FC"/>
    <w:rsid w:val="00FD4C67"/>
    <w:rsid w:val="00FD5568"/>
    <w:rsid w:val="00FE220E"/>
    <w:rsid w:val="00FE674A"/>
    <w:rsid w:val="00FF021C"/>
    <w:rsid w:val="00FF2659"/>
    <w:rsid w:val="00FF45F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3BFD6"/>
  <w15:docId w15:val="{41A183D5-6145-425C-8D7C-70E3846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2409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99"/>
    <w:qFormat/>
    <w:rsid w:val="000172CB"/>
    <w:pPr>
      <w:ind w:left="720"/>
      <w:contextualSpacing/>
    </w:pPr>
  </w:style>
  <w:style w:type="character" w:customStyle="1" w:styleId="11">
    <w:name w:val="Заголовок №1_"/>
    <w:link w:val="12"/>
    <w:rsid w:val="000172CB"/>
    <w:rPr>
      <w:rFonts w:ascii="Times New Roman" w:eastAsia="Times New Roman" w:hAnsi="Times New Roman" w:cs="Times New Roman"/>
      <w:b/>
      <w:bCs/>
      <w:spacing w:val="5"/>
      <w:sz w:val="52"/>
      <w:szCs w:val="52"/>
      <w:shd w:val="clear" w:color="auto" w:fill="FFFFFF"/>
    </w:rPr>
  </w:style>
  <w:style w:type="paragraph" w:customStyle="1" w:styleId="12">
    <w:name w:val="Заголовок №1"/>
    <w:basedOn w:val="a"/>
    <w:link w:val="11"/>
    <w:rsid w:val="000172CB"/>
    <w:pPr>
      <w:widowControl w:val="0"/>
      <w:shd w:val="clear" w:color="auto" w:fill="FFFFFF"/>
      <w:spacing w:before="660" w:after="660" w:line="0" w:lineRule="atLeast"/>
      <w:jc w:val="both"/>
      <w:outlineLvl w:val="0"/>
    </w:pPr>
    <w:rPr>
      <w:rFonts w:ascii="Times New Roman" w:eastAsia="Times New Roman" w:hAnsi="Times New Roman"/>
      <w:b/>
      <w:bCs/>
      <w:spacing w:val="5"/>
      <w:sz w:val="52"/>
      <w:szCs w:val="52"/>
    </w:rPr>
  </w:style>
  <w:style w:type="character" w:styleId="a5">
    <w:name w:val="Hyperlink"/>
    <w:uiPriority w:val="99"/>
    <w:unhideWhenUsed/>
    <w:rsid w:val="000172CB"/>
    <w:rPr>
      <w:color w:val="0000FF"/>
      <w:u w:val="single"/>
    </w:rPr>
  </w:style>
  <w:style w:type="paragraph" w:customStyle="1" w:styleId="style3">
    <w:name w:val="style3"/>
    <w:basedOn w:val="a"/>
    <w:rsid w:val="00A9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92F"/>
    <w:rPr>
      <w:rFonts w:ascii="Segoe UI" w:eastAsia="Calibri" w:hAnsi="Segoe UI" w:cs="Segoe UI"/>
      <w:sz w:val="18"/>
      <w:szCs w:val="18"/>
    </w:rPr>
  </w:style>
  <w:style w:type="paragraph" w:customStyle="1" w:styleId="21">
    <w:name w:val="Знак2"/>
    <w:basedOn w:val="a"/>
    <w:rsid w:val="00E234E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ody Text"/>
    <w:basedOn w:val="a"/>
    <w:link w:val="a9"/>
    <w:semiHidden/>
    <w:rsid w:val="00B552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5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2409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724090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a">
    <w:name w:val="List Number"/>
    <w:basedOn w:val="a"/>
    <w:rsid w:val="0072409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07F4D"/>
  </w:style>
  <w:style w:type="paragraph" w:customStyle="1" w:styleId="22">
    <w:name w:val="Знак2"/>
    <w:basedOn w:val="a"/>
    <w:rsid w:val="00B939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b">
    <w:name w:val="Table Grid"/>
    <w:basedOn w:val="a1"/>
    <w:uiPriority w:val="39"/>
    <w:rsid w:val="00F8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866F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42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00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62ECC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62ECC"/>
    <w:rPr>
      <w:rFonts w:ascii="Calibri" w:eastAsia="Calibri" w:hAnsi="Calibri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613B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13B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13B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00785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785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785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785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785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4">
    <w:name w:val="Абзац списка Знак"/>
    <w:aliases w:val="Заголовок_3 Знак"/>
    <w:basedOn w:val="a0"/>
    <w:link w:val="a3"/>
    <w:uiPriority w:val="99"/>
    <w:locked/>
    <w:rsid w:val="0054407F"/>
    <w:rPr>
      <w:rFonts w:ascii="Calibri" w:eastAsia="Calibri" w:hAnsi="Calibri" w:cs="Times New Roman"/>
    </w:rPr>
  </w:style>
  <w:style w:type="paragraph" w:styleId="afa">
    <w:name w:val="No Spacing"/>
    <w:uiPriority w:val="1"/>
    <w:qFormat/>
    <w:rsid w:val="00544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44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4050-1775-4BF9-BA7D-58A1C322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Шарапаева Александра</dc:creator>
  <cp:lastModifiedBy>Admin</cp:lastModifiedBy>
  <cp:revision>7</cp:revision>
  <cp:lastPrinted>2026-01-21T12:56:00Z</cp:lastPrinted>
  <dcterms:created xsi:type="dcterms:W3CDTF">2026-04-23T09:27:00Z</dcterms:created>
  <dcterms:modified xsi:type="dcterms:W3CDTF">2026-05-22T16:05:00Z</dcterms:modified>
</cp:coreProperties>
</file>