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633813BF"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35C2C">
        <w:rPr>
          <w:rFonts w:ascii="Times New Roman" w:hAnsi="Times New Roman"/>
          <w:b/>
          <w:sz w:val="20"/>
          <w:szCs w:val="20"/>
        </w:rPr>
        <w:t>мая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w:t>
            </w:r>
            <w:bookmarkStart w:id="0" w:name="_GoBack"/>
            <w:bookmarkEnd w:id="0"/>
            <w:r w:rsidRPr="007D0840">
              <w:rPr>
                <w:rFonts w:ascii="Times New Roman" w:hAnsi="Times New Roman" w:cs="Times New Roman"/>
              </w:rPr>
              <w:t>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06DF9A29" w:rsidR="00571C1D" w:rsidRPr="00A45965" w:rsidRDefault="00460E64" w:rsidP="00110754">
            <w:pPr>
              <w:snapToGrid w:val="0"/>
              <w:spacing w:after="0" w:line="240" w:lineRule="auto"/>
              <w:jc w:val="both"/>
              <w:rPr>
                <w:rFonts w:ascii="Times New Roman" w:hAnsi="Times New Roman" w:cs="Times New Roman"/>
                <w:b/>
                <w:bCs/>
              </w:rPr>
            </w:pPr>
            <w:bookmarkStart w:id="1" w:name="_Hlk220004126"/>
            <w:r>
              <w:rPr>
                <w:rFonts w:ascii="Times New Roman" w:hAnsi="Times New Roman"/>
                <w:b/>
                <w:bCs/>
              </w:rPr>
              <w:t>Поставка</w:t>
            </w:r>
            <w:r w:rsidR="00110754" w:rsidRPr="002D50BC">
              <w:rPr>
                <w:rFonts w:ascii="Times New Roman" w:hAnsi="Times New Roman"/>
                <w:b/>
                <w:bCs/>
              </w:rPr>
              <w:t xml:space="preserve"> септика объёмом 10 м³</w:t>
            </w:r>
            <w:r w:rsidR="00110754">
              <w:rPr>
                <w:rFonts w:ascii="Times New Roman" w:hAnsi="Times New Roman"/>
                <w:b/>
                <w:bCs/>
              </w:rPr>
              <w:t xml:space="preserve"> для </w:t>
            </w:r>
            <w:r w:rsidR="00D35C2C" w:rsidRPr="00D35C2C">
              <w:rPr>
                <w:rFonts w:ascii="Times New Roman" w:hAnsi="Times New Roman" w:cs="Times New Roman"/>
                <w:b/>
                <w:bCs/>
              </w:rPr>
              <w:t>АО «Якутская птицефабрика»</w:t>
            </w:r>
            <w:bookmarkEnd w:id="1"/>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3C8A1909" w:rsidR="00571C1D" w:rsidRPr="00761434" w:rsidRDefault="00571C1D" w:rsidP="00453DE9">
            <w:pPr>
              <w:snapToGrid w:val="0"/>
              <w:spacing w:after="0" w:line="240" w:lineRule="auto"/>
              <w:jc w:val="both"/>
              <w:rPr>
                <w:rFonts w:ascii="Times New Roman" w:hAnsi="Times New Roman" w:cs="Times New Roman"/>
              </w:rPr>
            </w:pPr>
            <w:r w:rsidRPr="00E81210">
              <w:rPr>
                <w:rFonts w:ascii="Times New Roman" w:hAnsi="Times New Roman" w:cs="Times New Roman"/>
                <w:b/>
                <w:bCs/>
              </w:rPr>
              <w:t>Срок</w:t>
            </w:r>
            <w:r w:rsidR="00453DE9">
              <w:rPr>
                <w:rFonts w:ascii="Times New Roman" w:hAnsi="Times New Roman" w:cs="Times New Roman"/>
                <w:b/>
                <w:bCs/>
              </w:rPr>
              <w:t xml:space="preserve"> поставки</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D35C2C">
              <w:rPr>
                <w:rFonts w:ascii="Times New Roman" w:hAnsi="Times New Roman" w:cs="Times New Roman"/>
              </w:rPr>
              <w:t xml:space="preserve">в течение </w:t>
            </w:r>
            <w:r w:rsidR="00110754">
              <w:rPr>
                <w:rFonts w:ascii="Times New Roman" w:hAnsi="Times New Roman" w:cs="Times New Roman"/>
              </w:rPr>
              <w:t>7</w:t>
            </w:r>
            <w:r w:rsidR="00D35C2C">
              <w:rPr>
                <w:rFonts w:ascii="Times New Roman" w:hAnsi="Times New Roman" w:cs="Times New Roman"/>
              </w:rPr>
              <w:t xml:space="preserve"> календарных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4A6FACFA" w:rsidR="00F04BD7" w:rsidRPr="00110754" w:rsidRDefault="00110754" w:rsidP="00110754">
            <w:pPr>
              <w:snapToGrid w:val="0"/>
              <w:spacing w:after="0" w:line="240" w:lineRule="auto"/>
              <w:jc w:val="both"/>
              <w:rPr>
                <w:rFonts w:ascii="Times New Roman" w:hAnsi="Times New Roman" w:cs="Times New Roman"/>
                <w:b/>
                <w:bCs/>
              </w:rPr>
            </w:pPr>
            <w:r w:rsidRPr="00110754">
              <w:rPr>
                <w:rFonts w:ascii="Times New Roman" w:hAnsi="Times New Roman" w:cs="Times New Roman"/>
                <w:b/>
                <w:bCs/>
              </w:rPr>
              <w:t>302 500 (триста две тысячи пятьсот) рублей 00 копеек, с НДС 22%</w:t>
            </w:r>
            <w:r w:rsidR="00F04BD7" w:rsidRPr="00110754">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3ACD25AC" w:rsidR="00571C1D" w:rsidRPr="007D0840" w:rsidRDefault="00453DE9" w:rsidP="00453DE9">
            <w:pPr>
              <w:spacing w:after="0" w:line="240" w:lineRule="auto"/>
              <w:rPr>
                <w:rFonts w:ascii="Times New Roman" w:hAnsi="Times New Roman" w:cs="Times New Roman"/>
                <w:lang w:eastAsia="zh-CN"/>
              </w:rPr>
            </w:pPr>
            <w:r w:rsidRPr="00453DE9">
              <w:rPr>
                <w:rFonts w:ascii="Times New Roman" w:hAnsi="Times New Roman" w:cs="Times New Roman"/>
                <w:lang w:eastAsia="zh-CN"/>
              </w:rPr>
              <w:t>В цену Договора включены стоимость Товара, расходы по хранению, доставке, монтажу и иные расходы, связанные с выполнением обязательств Поставщика, все налоги, пошлины, сборы, отчисления и другие платежи, которые Поставщик должен оплачивать при исполнении Договора или на иных основаниях. В случае если договор заключается с Поставщиком, не являющимся в соответствии с законодательством Российской Федерации о налогах и сборах плательщиком НДС, то цена Договора НДС не облагается.</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158D55C7" w:rsidR="00571C1D" w:rsidRPr="006F178C" w:rsidRDefault="00571C1D" w:rsidP="00310CC9">
            <w:pPr>
              <w:spacing w:after="0" w:line="240" w:lineRule="auto"/>
              <w:jc w:val="both"/>
              <w:rPr>
                <w:rFonts w:ascii="Times New Roman" w:hAnsi="Times New Roman" w:cs="Times New Roman"/>
              </w:rPr>
            </w:pPr>
            <w:r w:rsidRPr="00A05E65">
              <w:rPr>
                <w:rFonts w:ascii="Times New Roman" w:hAnsi="Times New Roman" w:cs="Times New Roman"/>
              </w:rPr>
              <w:t>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32A128C7" w:rsidR="00571C1D" w:rsidRPr="007D0840" w:rsidRDefault="00571C1D" w:rsidP="00A3767B">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110754">
              <w:rPr>
                <w:rFonts w:ascii="Times New Roman" w:eastAsia="Calibri" w:hAnsi="Times New Roman" w:cs="Times New Roman"/>
                <w:b/>
              </w:rPr>
              <w:t>2</w:t>
            </w:r>
            <w:r w:rsidR="00A3767B">
              <w:rPr>
                <w:rFonts w:ascii="Times New Roman" w:eastAsia="Calibri" w:hAnsi="Times New Roman" w:cs="Times New Roman"/>
                <w:b/>
              </w:rPr>
              <w:t>5</w:t>
            </w:r>
            <w:r w:rsidR="00A45965">
              <w:rPr>
                <w:rFonts w:ascii="Times New Roman" w:eastAsia="Calibri" w:hAnsi="Times New Roman" w:cs="Times New Roman"/>
                <w:b/>
              </w:rPr>
              <w:t>.0</w:t>
            </w:r>
            <w:r w:rsidR="00D35C2C">
              <w:rPr>
                <w:rFonts w:ascii="Times New Roman" w:eastAsia="Calibri" w:hAnsi="Times New Roman" w:cs="Times New Roman"/>
                <w:b/>
              </w:rPr>
              <w:t>5</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sidR="00110754">
              <w:rPr>
                <w:rFonts w:ascii="Times New Roman" w:eastAsia="Calibri" w:hAnsi="Times New Roman" w:cs="Times New Roman"/>
                <w:b/>
              </w:rPr>
              <w:t>2</w:t>
            </w:r>
            <w:r w:rsidR="00A3767B">
              <w:rPr>
                <w:rFonts w:ascii="Times New Roman" w:eastAsia="Calibri" w:hAnsi="Times New Roman" w:cs="Times New Roman"/>
                <w:b/>
              </w:rPr>
              <w:t>8</w:t>
            </w:r>
            <w:r w:rsidR="00A45965">
              <w:rPr>
                <w:rFonts w:ascii="Times New Roman" w:eastAsia="Calibri" w:hAnsi="Times New Roman" w:cs="Times New Roman"/>
                <w:b/>
              </w:rPr>
              <w:t>.0</w:t>
            </w:r>
            <w:r w:rsidR="00D35C2C">
              <w:rPr>
                <w:rFonts w:ascii="Times New Roman" w:eastAsia="Calibri" w:hAnsi="Times New Roman" w:cs="Times New Roman"/>
                <w:b/>
              </w:rPr>
              <w:t>5</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62D46664"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110754" w:rsidRPr="00110754">
              <w:rPr>
                <w:rFonts w:ascii="Times New Roman" w:hAnsi="Times New Roman" w:cs="Times New Roman"/>
                <w:b/>
              </w:rPr>
              <w:t>2</w:t>
            </w:r>
            <w:r w:rsidR="00A3767B">
              <w:rPr>
                <w:rFonts w:ascii="Times New Roman" w:hAnsi="Times New Roman" w:cs="Times New Roman"/>
                <w:b/>
              </w:rPr>
              <w:t>8</w:t>
            </w:r>
            <w:r w:rsidR="00A45965">
              <w:rPr>
                <w:rFonts w:ascii="Times New Roman" w:eastAsia="Calibri" w:hAnsi="Times New Roman" w:cs="Times New Roman"/>
                <w:b/>
              </w:rPr>
              <w:t>.0</w:t>
            </w:r>
            <w:r w:rsidR="00D35C2C">
              <w:rPr>
                <w:rFonts w:ascii="Times New Roman" w:eastAsia="Calibri" w:hAnsi="Times New Roman" w:cs="Times New Roman"/>
                <w:b/>
              </w:rPr>
              <w:t>5</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2" w:name="_Hlk161764433"/>
            <w:r w:rsidRPr="007D0840">
              <w:rPr>
                <w:b/>
                <w:sz w:val="22"/>
                <w:szCs w:val="22"/>
              </w:rPr>
              <w:t xml:space="preserve">Требования к участникам </w:t>
            </w:r>
            <w:bookmarkEnd w:id="2"/>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w:t>
            </w:r>
            <w:r w:rsidRPr="007D0840">
              <w:rPr>
                <w:rFonts w:ascii="Times New Roman" w:eastAsia="Times New Roman" w:hAnsi="Times New Roman" w:cs="Times New Roman"/>
              </w:rPr>
              <w:lastRenderedPageBreak/>
              <w:t>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3-1) при осуществлении закупки на выполнение работ, оказание услуг для выполнения, оказания которых </w:t>
            </w:r>
            <w:r w:rsidRPr="007D0840">
              <w:rPr>
                <w:rFonts w:ascii="Times New Roman" w:eastAsia="Arial Unicode MS" w:hAnsi="Times New Roman" w:cs="Times New Roman"/>
                <w:kern w:val="1"/>
                <w:lang w:eastAsia="hi-IN" w:bidi="hi-IN"/>
              </w:rPr>
              <w:lastRenderedPageBreak/>
              <w:t>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1BC62C1A" w:rsidR="00571C1D" w:rsidRPr="007D0840" w:rsidRDefault="00110754" w:rsidP="00A3767B">
            <w:pPr>
              <w:spacing w:after="0" w:line="240" w:lineRule="auto"/>
              <w:jc w:val="both"/>
              <w:rPr>
                <w:rFonts w:ascii="Times New Roman" w:hAnsi="Times New Roman" w:cs="Times New Roman"/>
              </w:rPr>
            </w:pPr>
            <w:r>
              <w:rPr>
                <w:rFonts w:ascii="Times New Roman" w:eastAsia="Calibri" w:hAnsi="Times New Roman" w:cs="Times New Roman"/>
                <w:b/>
              </w:rPr>
              <w:t>2</w:t>
            </w:r>
            <w:r w:rsidR="00A3767B">
              <w:rPr>
                <w:rFonts w:ascii="Times New Roman" w:eastAsia="Calibri" w:hAnsi="Times New Roman" w:cs="Times New Roman"/>
                <w:b/>
              </w:rPr>
              <w:t>8</w:t>
            </w:r>
            <w:r w:rsidR="00A45965">
              <w:rPr>
                <w:rFonts w:ascii="Times New Roman" w:eastAsia="Calibri" w:hAnsi="Times New Roman" w:cs="Times New Roman"/>
                <w:b/>
              </w:rPr>
              <w:t xml:space="preserve"> ма</w:t>
            </w:r>
            <w:r w:rsidR="00D35C2C">
              <w:rPr>
                <w:rFonts w:ascii="Times New Roman" w:eastAsia="Calibri" w:hAnsi="Times New Roman" w:cs="Times New Roman"/>
                <w:b/>
              </w:rPr>
              <w:t>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w:t>
            </w:r>
            <w:r w:rsidRPr="007D0840">
              <w:rPr>
                <w:rFonts w:ascii="Times New Roman" w:hAnsi="Times New Roman" w:cs="Times New Roman"/>
              </w:rPr>
              <w:lastRenderedPageBreak/>
              <w:t>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23755882" w:rsidR="006F178C" w:rsidRPr="00110754" w:rsidRDefault="006F178C" w:rsidP="00110754">
      <w:pPr>
        <w:spacing w:after="0" w:line="240" w:lineRule="auto"/>
        <w:jc w:val="center"/>
        <w:rPr>
          <w:rFonts w:ascii="Times New Roman" w:eastAsia="Arial" w:hAnsi="Times New Roman" w:cs="Times New Roman"/>
          <w:b/>
          <w:bCs/>
          <w:lang w:eastAsia="ar-SA"/>
        </w:rPr>
      </w:pPr>
      <w:r w:rsidRPr="00110754">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1089AA38" w14:textId="77777777" w:rsidR="00110754" w:rsidRPr="007D0840" w:rsidRDefault="00110754"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p>
    <w:p w14:paraId="00E678F8" w14:textId="2E2555B8"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w:t>
      </w:r>
      <w:r w:rsidR="00110754">
        <w:rPr>
          <w:rFonts w:ascii="Times New Roman" w:hAnsi="Times New Roman" w:cs="Times New Roman"/>
        </w:rPr>
        <w:t>3</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DDBFA" w14:textId="77777777" w:rsidR="00DD64E6" w:rsidRDefault="00DD64E6">
      <w:pPr>
        <w:spacing w:line="240" w:lineRule="auto"/>
      </w:pPr>
      <w:r>
        <w:separator/>
      </w:r>
    </w:p>
  </w:endnote>
  <w:endnote w:type="continuationSeparator" w:id="0">
    <w:p w14:paraId="3D8F7B01" w14:textId="77777777" w:rsidR="00DD64E6" w:rsidRDefault="00DD6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D5BF2" w14:textId="77777777" w:rsidR="00DD64E6" w:rsidRDefault="00DD64E6">
      <w:pPr>
        <w:spacing w:after="0"/>
      </w:pPr>
      <w:r>
        <w:separator/>
      </w:r>
    </w:p>
  </w:footnote>
  <w:footnote w:type="continuationSeparator" w:id="0">
    <w:p w14:paraId="24C3D187" w14:textId="77777777" w:rsidR="00DD64E6" w:rsidRDefault="00DD64E6">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5BC31B42"/>
    <w:multiLevelType w:val="multilevel"/>
    <w:tmpl w:val="F634B32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9">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5"/>
  </w:num>
  <w:num w:numId="6">
    <w:abstractNumId w:val="10"/>
  </w:num>
  <w:num w:numId="7">
    <w:abstractNumId w:val="5"/>
    <w:lvlOverride w:ilvl="0">
      <w:startOverride w:val="6"/>
    </w:lvlOverride>
  </w:num>
  <w:num w:numId="8">
    <w:abstractNumId w:val="8"/>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754"/>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67B6F"/>
    <w:rsid w:val="0027289B"/>
    <w:rsid w:val="002735B4"/>
    <w:rsid w:val="002753E0"/>
    <w:rsid w:val="00277358"/>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5DE1"/>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493B"/>
    <w:rsid w:val="00434BC8"/>
    <w:rsid w:val="0043552E"/>
    <w:rsid w:val="004373F2"/>
    <w:rsid w:val="00437626"/>
    <w:rsid w:val="00440D66"/>
    <w:rsid w:val="0045209F"/>
    <w:rsid w:val="004532DB"/>
    <w:rsid w:val="00453DE9"/>
    <w:rsid w:val="0045565D"/>
    <w:rsid w:val="00455D41"/>
    <w:rsid w:val="004566E8"/>
    <w:rsid w:val="00460E64"/>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2080"/>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878CA"/>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3767B"/>
    <w:rsid w:val="00A45965"/>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35C2C"/>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D64E6"/>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ТЗ список"/>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ТЗ список"/>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454D-F85B-4BD2-8BE4-6E05C3C0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3526</Words>
  <Characters>20100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7</cp:revision>
  <cp:lastPrinted>2026-05-06T00:40:00Z</cp:lastPrinted>
  <dcterms:created xsi:type="dcterms:W3CDTF">2026-03-04T00:36:00Z</dcterms:created>
  <dcterms:modified xsi:type="dcterms:W3CDTF">2026-05-24T23:30:00Z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