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spacing w:before="0" w:after="0"/>
        <w:ind w:hanging="0"/>
        <w:contextualSpacing/>
        <w:jc w:val="center"/>
        <w:rPr>
          <w:b/>
          <w:bCs/>
          <w:sz w:val="22"/>
        </w:rPr>
      </w:pPr>
      <w:bookmarkStart w:id="0" w:name="_Hlk227742548"/>
      <w:r>
        <w:rPr>
          <w:b/>
          <w:bCs/>
          <w:sz w:val="22"/>
        </w:rPr>
        <w:t>ТЕХНИЧЕСКОЕ ЗАДАНИЕ</w:t>
      </w:r>
    </w:p>
    <w:p>
      <w:pPr>
        <w:pStyle w:val="Normal"/>
        <w:spacing w:lineRule="exact" w:line="240" w:before="0" w:after="0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eastAsia="Times New Roman" w:ascii="Times New Roman" w:hAnsi="Times New Roman"/>
          <w:b/>
          <w:lang w:eastAsia="ru-RU"/>
        </w:rPr>
        <w:t xml:space="preserve">на оказание услуг по поддержанию в постоянной готовности сил и средств к реагированию на чрезвычайные ситуации, на опасных производственных объектах (котельных) </w:t>
      </w:r>
    </w:p>
    <w:p>
      <w:pPr>
        <w:pStyle w:val="Normal"/>
        <w:spacing w:lineRule="exact" w:line="240" w:before="0" w:after="0"/>
        <w:jc w:val="center"/>
        <w:rPr>
          <w:rFonts w:ascii="Times New Roman" w:hAnsi="Times New Roman" w:eastAsia="Times New Roman"/>
          <w:b/>
          <w:lang w:eastAsia="ru-RU"/>
        </w:rPr>
      </w:pPr>
      <w:r>
        <w:rPr>
          <w:rFonts w:eastAsia="Times New Roman" w:ascii="Times New Roman" w:hAnsi="Times New Roman"/>
          <w:b/>
          <w:lang w:eastAsia="ru-RU"/>
        </w:rPr>
        <w:t>МУП «Коммунсервис» Костром⁠‍</w:t>
      </w:r>
      <w:r>
        <w:rPr>
          <w:rFonts w:ascii="Times New Roman" w:hAnsi="Times New Roman" w:eastAsia="Times New Roman"/>
          <w:b/>
          <w:b/>
          <w:lang w:eastAsia="ru-RU"/>
        </w:rPr>
        <w:t>﻿​﻿﻿﻿‍﻿⁠﻿‍​⁠​﻿﻿​﻿⁠​⁠​⁠⁠‌⁠⁠‍⁠​﻿⁠﻿​﻿​​‌﻿​⁠‌​</w:t>
      </w:r>
      <w:r>
        <w:rPr>
          <w:rFonts w:eastAsia="Times New Roman" w:ascii="Times New Roman" w:hAnsi="Times New Roman"/>
          <w:b/>
          <w:lang w:eastAsia="ru-RU"/>
        </w:rPr>
        <w:t>ского района</w:t>
      </w:r>
      <w:bookmarkEnd w:id="0"/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Cs/>
          <w:lang w:eastAsia="ru-RU"/>
        </w:rPr>
      </w:pPr>
      <w:r>
        <w:rPr>
          <w:rFonts w:eastAsia="Times New Roman" w:ascii="Times New Roman" w:hAnsi="Times New Roman"/>
          <w:bCs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Cs/>
          <w:i/>
          <w:iCs/>
          <w:lang w:eastAsia="ru-RU"/>
        </w:rPr>
      </w:pPr>
      <w:r>
        <w:rPr>
          <w:rFonts w:eastAsia="Times New Roman" w:ascii="Times New Roman" w:hAnsi="Times New Roman"/>
          <w:bCs/>
          <w:i/>
          <w:iCs/>
          <w:highlight w:val="green"/>
          <w:lang w:eastAsia="ru-RU"/>
        </w:rPr>
        <w:t xml:space="preserve">84.25.19.190 - </w:t>
      </w:r>
      <w:hyperlink r:id="rId2">
        <w:r>
          <w:rPr>
            <w:rStyle w:val="Style7"/>
            <w:rFonts w:eastAsia="Times New Roman" w:ascii="Times New Roman" w:hAnsi="Times New Roman"/>
            <w:bCs/>
            <w:i/>
            <w:iCs/>
            <w:highlight w:val="green"/>
            <w:lang w:eastAsia="ru-RU"/>
          </w:rPr>
          <w:t>Услуги по обеспечению безопасности в чрезвычайных ситуациях прочие</w:t>
        </w:r>
      </w:hyperlink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bCs/>
          <w:lang w:eastAsia="ru-RU"/>
        </w:rPr>
      </w:pPr>
      <w:r>
        <w:rPr>
          <w:rFonts w:eastAsia="Times New Roman" w:ascii="Times New Roman" w:hAnsi="Times New Roman"/>
          <w:bCs/>
          <w:lang w:eastAsia="ru-RU"/>
        </w:rPr>
      </w:r>
    </w:p>
    <w:tbl>
      <w:tblPr>
        <w:tblStyle w:val="a7"/>
        <w:tblW w:w="10456" w:type="dxa"/>
        <w:jc w:val="start"/>
        <w:tblInd w:w="-885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firstRow="1" w:noVBand="1" w:lastRow="0" w:firstColumn="1" w:lastColumn="0" w:noHBand="0"/>
      </w:tblPr>
      <w:tblGrid>
        <w:gridCol w:w="438"/>
        <w:gridCol w:w="2953"/>
        <w:gridCol w:w="7065"/>
      </w:tblGrid>
      <w:tr>
        <w:trPr/>
        <w:tc>
          <w:tcPr>
            <w:tcW w:w="438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№</w:t>
            </w:r>
          </w:p>
        </w:tc>
        <w:tc>
          <w:tcPr>
            <w:tcW w:w="2953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Показатель</w:t>
            </w:r>
          </w:p>
        </w:tc>
        <w:tc>
          <w:tcPr>
            <w:tcW w:w="7065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center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Описание</w:t>
            </w:r>
          </w:p>
        </w:tc>
      </w:tr>
      <w:tr>
        <w:trPr/>
        <w:tc>
          <w:tcPr>
            <w:tcW w:w="438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2953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Наименование услуг </w:t>
            </w:r>
          </w:p>
        </w:tc>
        <w:tc>
          <w:tcPr>
            <w:tcW w:w="7065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2"/>
                <w:szCs w:val="22"/>
                <w:lang w:val="ru-RU" w:eastAsia="ru-RU" w:bidi="ar-SA"/>
              </w:rPr>
              <w:t>Оказание услуг по поддержанию в постоянной готовности сил и средств к реагированию на чрезвычайные ситуации, на опасных производственных объектах (котельных) МУП «Коммунсервис» Костромского района</w:t>
            </w:r>
          </w:p>
        </w:tc>
      </w:tr>
      <w:tr>
        <w:trPr/>
        <w:tc>
          <w:tcPr>
            <w:tcW w:w="438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/>
                <w:b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2953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Сроки оказания услуг </w:t>
            </w:r>
          </w:p>
        </w:tc>
        <w:tc>
          <w:tcPr>
            <w:tcW w:w="7065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2"/>
                <w:szCs w:val="22"/>
                <w:highlight w:val="green"/>
                <w:lang w:val="ru-RU" w:eastAsia="en-US" w:bidi="ar-SA"/>
              </w:rPr>
              <w:t xml:space="preserve">С даты заключения договора </w:t>
            </w:r>
            <w:r>
              <w:rPr>
                <w:rFonts w:ascii="Times New Roman" w:hAnsi="Times New Roman"/>
                <w:bCs/>
                <w:kern w:val="0"/>
                <w:sz w:val="22"/>
                <w:szCs w:val="22"/>
                <w:highlight w:val="green"/>
                <w:lang w:val="ru-RU" w:eastAsia="en-US" w:bidi="ar-SA"/>
              </w:rPr>
              <w:t>на 12 месяцев</w:t>
            </w:r>
          </w:p>
        </w:tc>
      </w:tr>
      <w:tr>
        <w:trPr/>
        <w:tc>
          <w:tcPr>
            <w:tcW w:w="438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953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Место оказания услуг </w:t>
            </w:r>
          </w:p>
        </w:tc>
        <w:tc>
          <w:tcPr>
            <w:tcW w:w="7065" w:type="dxa"/>
            <w:tcBorders/>
          </w:tcPr>
          <w:tbl>
            <w:tblPr>
              <w:tblW w:w="6838" w:type="dxa"/>
              <w:jc w:val="start"/>
              <w:tblInd w:w="0" w:type="dxa"/>
              <w:tblLayout w:type="fixed"/>
              <w:tblCellMar>
                <w:top w:w="0" w:type="dxa"/>
                <w:start w:w="108" w:type="dxa"/>
                <w:bottom w:w="0" w:type="dxa"/>
                <w:end w:w="108" w:type="dxa"/>
              </w:tblCellMar>
              <w:tblLook w:val="04a0" w:firstRow="1" w:noVBand="1" w:lastRow="0" w:firstColumn="1" w:lastColumn="0" w:noHBand="0"/>
            </w:tblPr>
            <w:tblGrid>
              <w:gridCol w:w="477"/>
              <w:gridCol w:w="1968"/>
              <w:gridCol w:w="1944"/>
              <w:gridCol w:w="2449"/>
            </w:tblGrid>
            <w:tr>
              <w:trPr/>
              <w:tc>
                <w:tcPr>
                  <w:tcW w:w="47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Котельные</w:t>
                  </w:r>
                </w:p>
              </w:tc>
              <w:tc>
                <w:tcPr>
                  <w:tcW w:w="194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Адрес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ru-RU"/>
                    </w:rPr>
                    <w:t xml:space="preserve"> </w:t>
                  </w:r>
                </w:p>
              </w:tc>
              <w:tc>
                <w:tcPr>
                  <w:tcW w:w="244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  <w:lang w:val="ru-RU"/>
                    </w:rPr>
                    <w:t>График работы</w:t>
                  </w:r>
                </w:p>
              </w:tc>
            </w:tr>
            <w:tr>
              <w:trPr/>
              <w:tc>
                <w:tcPr>
                  <w:tcW w:w="47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1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Середняя</w:t>
                  </w:r>
                </w:p>
              </w:tc>
              <w:tc>
                <w:tcPr>
                  <w:tcW w:w="194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Ул. Центральная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(ул. Филиппова)</w:t>
                  </w:r>
                </w:p>
              </w:tc>
              <w:tc>
                <w:tcPr>
                  <w:tcW w:w="244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Standard"/>
                    <w:snapToGrid w:val="false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круглогодичная</w:t>
                  </w:r>
                </w:p>
              </w:tc>
            </w:tr>
            <w:tr>
              <w:trPr/>
              <w:tc>
                <w:tcPr>
                  <w:tcW w:w="47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Минское</w:t>
                  </w:r>
                </w:p>
              </w:tc>
              <w:tc>
                <w:tcPr>
                  <w:tcW w:w="194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Ул. Куколевского,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д.23</w:t>
                  </w:r>
                </w:p>
              </w:tc>
              <w:tc>
                <w:tcPr>
                  <w:tcW w:w="244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Standard"/>
                    <w:snapToGrid w:val="false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круглогодичная</w:t>
                  </w:r>
                </w:p>
              </w:tc>
            </w:tr>
            <w:tr>
              <w:trPr/>
              <w:tc>
                <w:tcPr>
                  <w:tcW w:w="47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Кузьмищи</w:t>
                  </w:r>
                </w:p>
              </w:tc>
              <w:tc>
                <w:tcPr>
                  <w:tcW w:w="194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Ул. Новая, д.8а</w:t>
                  </w:r>
                </w:p>
              </w:tc>
              <w:tc>
                <w:tcPr>
                  <w:tcW w:w="244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Standard"/>
                    <w:snapToGrid w:val="false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круглогодичная</w:t>
                  </w:r>
                </w:p>
              </w:tc>
            </w:tr>
            <w:tr>
              <w:trPr/>
              <w:tc>
                <w:tcPr>
                  <w:tcW w:w="47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Безгачево</w:t>
                  </w:r>
                </w:p>
              </w:tc>
              <w:tc>
                <w:tcPr>
                  <w:tcW w:w="194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Ул. Строителей д.1</w:t>
                  </w:r>
                </w:p>
              </w:tc>
              <w:tc>
                <w:tcPr>
                  <w:tcW w:w="244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Standard"/>
                    <w:snapToGrid w:val="false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круглогодичная</w:t>
                  </w:r>
                </w:p>
              </w:tc>
            </w:tr>
            <w:tr>
              <w:trPr/>
              <w:tc>
                <w:tcPr>
                  <w:tcW w:w="47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5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Шувалово</w:t>
                  </w:r>
                </w:p>
              </w:tc>
              <w:tc>
                <w:tcPr>
                  <w:tcW w:w="194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Ул. Победы 66а</w:t>
                  </w:r>
                </w:p>
              </w:tc>
              <w:tc>
                <w:tcPr>
                  <w:tcW w:w="244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Standard"/>
                    <w:snapToGrid w:val="false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круглогодичная</w:t>
                  </w:r>
                </w:p>
              </w:tc>
            </w:tr>
            <w:tr>
              <w:trPr/>
              <w:tc>
                <w:tcPr>
                  <w:tcW w:w="47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6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Фанерник</w:t>
                  </w:r>
                </w:p>
              </w:tc>
              <w:tc>
                <w:tcPr>
                  <w:tcW w:w="194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Ул. Восточная</w:t>
                  </w:r>
                </w:p>
              </w:tc>
              <w:tc>
                <w:tcPr>
                  <w:tcW w:w="244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Standard"/>
                    <w:snapToGrid w:val="false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круглогодичная</w:t>
                  </w:r>
                </w:p>
              </w:tc>
            </w:tr>
            <w:tr>
              <w:trPr/>
              <w:tc>
                <w:tcPr>
                  <w:tcW w:w="47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7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Фанерник</w:t>
                  </w:r>
                </w:p>
              </w:tc>
              <w:tc>
                <w:tcPr>
                  <w:tcW w:w="194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Ул. Геофизиков</w:t>
                  </w:r>
                </w:p>
              </w:tc>
              <w:tc>
                <w:tcPr>
                  <w:tcW w:w="244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Standard"/>
                    <w:snapToGrid w:val="false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Сезонная (с конца сентября до начала мая)</w:t>
                  </w:r>
                </w:p>
              </w:tc>
            </w:tr>
            <w:tr>
              <w:trPr/>
              <w:tc>
                <w:tcPr>
                  <w:tcW w:w="47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8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Никольское</w:t>
                  </w:r>
                </w:p>
              </w:tc>
              <w:tc>
                <w:tcPr>
                  <w:tcW w:w="194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ул. Больничная</w:t>
                  </w:r>
                </w:p>
              </w:tc>
              <w:tc>
                <w:tcPr>
                  <w:tcW w:w="244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Standard"/>
                    <w:snapToGrid w:val="false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круглогодичная</w:t>
                  </w:r>
                </w:p>
              </w:tc>
            </w:tr>
            <w:tr>
              <w:trPr/>
              <w:tc>
                <w:tcPr>
                  <w:tcW w:w="47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9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Сухоногово</w:t>
                  </w:r>
                </w:p>
              </w:tc>
              <w:tc>
                <w:tcPr>
                  <w:tcW w:w="194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Ул. Комсомольская, 6</w:t>
                  </w:r>
                </w:p>
              </w:tc>
              <w:tc>
                <w:tcPr>
                  <w:tcW w:w="244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Standard"/>
                    <w:snapToGrid w:val="false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круглогодичная</w:t>
                  </w:r>
                </w:p>
              </w:tc>
            </w:tr>
            <w:tr>
              <w:trPr/>
              <w:tc>
                <w:tcPr>
                  <w:tcW w:w="47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10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Апраксино</w:t>
                  </w:r>
                </w:p>
              </w:tc>
              <w:tc>
                <w:tcPr>
                  <w:tcW w:w="194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Ул Молодежная</w:t>
                  </w:r>
                </w:p>
              </w:tc>
              <w:tc>
                <w:tcPr>
                  <w:tcW w:w="244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Standard"/>
                    <w:snapToGrid w:val="false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Сезонная (с конца сентября до начала мая)</w:t>
                  </w:r>
                </w:p>
              </w:tc>
            </w:tr>
            <w:tr>
              <w:trPr/>
              <w:tc>
                <w:tcPr>
                  <w:tcW w:w="47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11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Коряково</w:t>
                  </w:r>
                </w:p>
              </w:tc>
              <w:tc>
                <w:tcPr>
                  <w:tcW w:w="194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п. Коряково д.21</w:t>
                  </w:r>
                </w:p>
              </w:tc>
              <w:tc>
                <w:tcPr>
                  <w:tcW w:w="244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Standard"/>
                    <w:snapToGrid w:val="false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круглогодичная</w:t>
                  </w:r>
                </w:p>
              </w:tc>
            </w:tr>
            <w:tr>
              <w:trPr/>
              <w:tc>
                <w:tcPr>
                  <w:tcW w:w="47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12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Шунга</w:t>
                  </w:r>
                </w:p>
              </w:tc>
              <w:tc>
                <w:tcPr>
                  <w:tcW w:w="194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Ул. Юбилейная  10В</w:t>
                  </w:r>
                </w:p>
              </w:tc>
              <w:tc>
                <w:tcPr>
                  <w:tcW w:w="244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Standard"/>
                    <w:snapToGrid w:val="false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круглогодичная</w:t>
                  </w:r>
                </w:p>
              </w:tc>
            </w:tr>
            <w:tr>
              <w:trPr/>
              <w:tc>
                <w:tcPr>
                  <w:tcW w:w="477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13</w:t>
                  </w:r>
                </w:p>
              </w:tc>
              <w:tc>
                <w:tcPr>
                  <w:tcW w:w="1968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Сущево</w:t>
                  </w:r>
                </w:p>
              </w:tc>
              <w:tc>
                <w:tcPr>
                  <w:tcW w:w="1944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Ул. Советская, 6а</w:t>
                  </w:r>
                </w:p>
              </w:tc>
              <w:tc>
                <w:tcPr>
                  <w:tcW w:w="2449" w:type="dxa"/>
                  <w:tcBorders>
                    <w:top w:val="single" w:sz="4" w:space="0" w:color="000000"/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Standard"/>
                    <w:snapToGrid w:val="false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круглогодичная</w:t>
                  </w:r>
                </w:p>
              </w:tc>
            </w:tr>
            <w:tr>
              <w:trPr/>
              <w:tc>
                <w:tcPr>
                  <w:tcW w:w="477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14</w:t>
                  </w:r>
                </w:p>
              </w:tc>
              <w:tc>
                <w:tcPr>
                  <w:tcW w:w="1968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Караваево</w:t>
                  </w:r>
                </w:p>
              </w:tc>
              <w:tc>
                <w:tcPr>
                  <w:tcW w:w="1944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ул. Жашковская, д.4а</w:t>
                  </w:r>
                </w:p>
              </w:tc>
              <w:tc>
                <w:tcPr>
                  <w:tcW w:w="2449" w:type="dxa"/>
                  <w:tcBorders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Standard"/>
                    <w:snapToGrid w:val="false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Сезонная (с конца сентября до начала мая)</w:t>
                  </w:r>
                </w:p>
              </w:tc>
            </w:tr>
            <w:tr>
              <w:trPr/>
              <w:tc>
                <w:tcPr>
                  <w:tcW w:w="477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15</w:t>
                  </w:r>
                </w:p>
              </w:tc>
              <w:tc>
                <w:tcPr>
                  <w:tcW w:w="1968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Караваево</w:t>
                  </w:r>
                </w:p>
              </w:tc>
              <w:tc>
                <w:tcPr>
                  <w:tcW w:w="1944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ул. капитана Харчина, д.6</w:t>
                  </w:r>
                </w:p>
              </w:tc>
              <w:tc>
                <w:tcPr>
                  <w:tcW w:w="2449" w:type="dxa"/>
                  <w:tcBorders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Standard"/>
                    <w:snapToGrid w:val="false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круглогодичная</w:t>
                  </w:r>
                </w:p>
              </w:tc>
            </w:tr>
            <w:tr>
              <w:trPr/>
              <w:tc>
                <w:tcPr>
                  <w:tcW w:w="477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16</w:t>
                  </w:r>
                </w:p>
              </w:tc>
              <w:tc>
                <w:tcPr>
                  <w:tcW w:w="1968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Саметь</w:t>
                  </w:r>
                </w:p>
              </w:tc>
              <w:tc>
                <w:tcPr>
                  <w:tcW w:w="1944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ул. Малининой д.2б</w:t>
                  </w:r>
                </w:p>
              </w:tc>
              <w:tc>
                <w:tcPr>
                  <w:tcW w:w="2449" w:type="dxa"/>
                  <w:tcBorders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Standard"/>
                    <w:snapToGrid w:val="false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Сезонная (с конца сентября до начала мая)</w:t>
                  </w:r>
                </w:p>
              </w:tc>
            </w:tr>
            <w:tr>
              <w:trPr/>
              <w:tc>
                <w:tcPr>
                  <w:tcW w:w="477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17</w:t>
                  </w:r>
                </w:p>
              </w:tc>
              <w:tc>
                <w:tcPr>
                  <w:tcW w:w="1968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Зарубино</w:t>
                  </w:r>
                </w:p>
              </w:tc>
              <w:tc>
                <w:tcPr>
                  <w:tcW w:w="1944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д. Василево д.51</w:t>
                  </w:r>
                </w:p>
              </w:tc>
              <w:tc>
                <w:tcPr>
                  <w:tcW w:w="2449" w:type="dxa"/>
                  <w:tcBorders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Standard"/>
                    <w:snapToGrid w:val="false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круглогодичная</w:t>
                  </w:r>
                </w:p>
              </w:tc>
            </w:tr>
            <w:tr>
              <w:trPr/>
              <w:tc>
                <w:tcPr>
                  <w:tcW w:w="477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18</w:t>
                  </w:r>
                </w:p>
              </w:tc>
              <w:tc>
                <w:tcPr>
                  <w:tcW w:w="1968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п. Паточного завода</w:t>
                  </w:r>
                </w:p>
              </w:tc>
              <w:tc>
                <w:tcPr>
                  <w:tcW w:w="1944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п. Паточного завода</w:t>
                  </w:r>
                </w:p>
              </w:tc>
              <w:tc>
                <w:tcPr>
                  <w:tcW w:w="2449" w:type="dxa"/>
                  <w:tcBorders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Standard"/>
                    <w:snapToGrid w:val="false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круглогодичная</w:t>
                  </w:r>
                </w:p>
              </w:tc>
            </w:tr>
            <w:tr>
              <w:trPr/>
              <w:tc>
                <w:tcPr>
                  <w:tcW w:w="477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19</w:t>
                  </w:r>
                </w:p>
              </w:tc>
              <w:tc>
                <w:tcPr>
                  <w:tcW w:w="1968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с. Ильинское</w:t>
                  </w:r>
                </w:p>
              </w:tc>
              <w:tc>
                <w:tcPr>
                  <w:tcW w:w="1944" w:type="dxa"/>
                  <w:tcBorders>
                    <w:star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Standard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ул. Костромская, д. 9</w:t>
                  </w:r>
                </w:p>
              </w:tc>
              <w:tc>
                <w:tcPr>
                  <w:tcW w:w="2449" w:type="dxa"/>
                  <w:tcBorders>
                    <w:start w:val="single" w:sz="4" w:space="0" w:color="000000"/>
                    <w:bottom w:val="single" w:sz="4" w:space="0" w:color="000000"/>
                    <w:end w:val="single" w:sz="4" w:space="0" w:color="000000"/>
                  </w:tcBorders>
                </w:tcPr>
                <w:p>
                  <w:pPr>
                    <w:pStyle w:val="Standard"/>
                    <w:snapToGrid w:val="false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ru-RU"/>
                    </w:rPr>
                    <w:t>Круглогодичная</w:t>
                  </w:r>
                </w:p>
              </w:tc>
            </w:tr>
          </w:tbl>
          <w:p>
            <w:pPr>
              <w:pStyle w:val="Normal"/>
              <w:shd w:val="clear" w:color="auto" w:fill="FFFFFF"/>
              <w:tabs>
                <w:tab w:val="clear" w:pos="708"/>
                <w:tab w:val="left" w:pos="0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b/>
                <w:color w:val="000000"/>
                <w:spacing w:val="-1"/>
              </w:rPr>
            </w:pPr>
            <w:r>
              <w:rPr>
                <w:rFonts w:ascii="Times New Roman" w:hAnsi="Times New Roman"/>
                <w:b/>
                <w:color w:val="000000"/>
                <w:spacing w:val="-1"/>
              </w:rPr>
            </w:r>
          </w:p>
        </w:tc>
      </w:tr>
      <w:tr>
        <w:trPr/>
        <w:tc>
          <w:tcPr>
            <w:tcW w:w="438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2953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Требования к применяемым стандартам, СНиПам и пр. правил </w:t>
            </w:r>
          </w:p>
        </w:tc>
        <w:tc>
          <w:tcPr>
            <w:tcW w:w="7065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Выполнение требований:  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- Федеральный закон от 21.07.1997 № 116-ФЗ «О промышленной безопасности опасных производственных объектов» (с последующими изменениями и дополнениями); 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kern w:val="0"/>
                <w:sz w:val="22"/>
                <w:szCs w:val="22"/>
                <w:lang w:val="ru-RU" w:eastAsia="en-US" w:bidi="ar-SA"/>
              </w:rPr>
              <w:t xml:space="preserve">- </w:t>
            </w:r>
            <w:r>
              <w:rPr>
                <w:rFonts w:eastAsia="Times New Roman" w:ascii="Times New Roman" w:hAnsi="Times New Roman"/>
                <w:bCs/>
                <w:kern w:val="0"/>
                <w:sz w:val="22"/>
                <w:szCs w:val="22"/>
                <w:lang w:val="ru-RU" w:eastAsia="ru-RU" w:bidi="ar-SA"/>
              </w:rPr>
              <w:t>Федеральный закон от 22.08.1995 № 151-ФЗ «Об аварийно-спасательных службах и статусе спасателей» (с последующими изменениями и дополнениями);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2"/>
                <w:szCs w:val="22"/>
                <w:lang w:val="ru-RU" w:eastAsia="ru-RU" w:bidi="ar-SA"/>
              </w:rPr>
              <w:t>- Федеральный закон от 21.12.1994 № 68-ФЗ «О защите населения и территорий от чрезвычайных ситуаций природного и техногенного характера» (с последующими изменениями и дополнениями);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2"/>
                <w:szCs w:val="22"/>
                <w:lang w:val="ru-RU" w:eastAsia="ru-RU" w:bidi="ar-SA"/>
              </w:rPr>
              <w:t>- Федеральный закон от 10.01.2002 № 7-ФЗ «Об охране окружающей среды»;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2"/>
                <w:szCs w:val="22"/>
                <w:lang w:val="ru-RU" w:eastAsia="ru-RU" w:bidi="ar-SA"/>
              </w:rPr>
              <w:t>- Постановление Правительства РФ от 30.12.2003 № 794 «О единой государственной системе предупреждения и ликвидации чрезвычайных ситуаций»;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2"/>
                <w:szCs w:val="22"/>
                <w:lang w:val="ru-RU" w:eastAsia="ru-RU" w:bidi="ar-SA"/>
              </w:rPr>
              <w:t>- Постановление Правительства РФ от 15.09.2020 № 1437 «Об утверждении Положения о разработке планов мероприятий по локализации и ликвидации последствий аварий на опасных производственных объектах».</w:t>
            </w:r>
          </w:p>
        </w:tc>
      </w:tr>
      <w:tr>
        <w:trPr/>
        <w:tc>
          <w:tcPr>
            <w:tcW w:w="438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2953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Требования к обеспечению техники безопасности при оказании услуг </w:t>
            </w:r>
          </w:p>
        </w:tc>
        <w:tc>
          <w:tcPr>
            <w:tcW w:w="7065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Обеспечить выполнение необходимых и достаточных мероприятий по технике безопасности и охране окружающей среды, противопожарных мероприятий, соблюдение санитарно-гигиенических норм, правил внутреннего распорядка и дисциплины, правил передвижения транспортных средств на территории предприятия, транспортировки мусора и отходов, в том числе для  того, чтобы своими действиями не допустить нарушений эксплуатации работающего оборудования при оказании услуг. Исполнитель несет ответственность за соблюдением техники безопасности своим персоналом. </w:t>
            </w:r>
          </w:p>
        </w:tc>
      </w:tr>
      <w:tr>
        <w:trPr/>
        <w:tc>
          <w:tcPr>
            <w:tcW w:w="438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  <w:tc>
          <w:tcPr>
            <w:tcW w:w="2953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2"/>
                <w:szCs w:val="22"/>
                <w:lang w:val="ru-RU" w:eastAsia="ru-RU" w:bidi="ar-SA"/>
              </w:rPr>
              <w:t>Требования к объемам выполняемых услуг</w:t>
            </w:r>
          </w:p>
        </w:tc>
        <w:tc>
          <w:tcPr>
            <w:tcW w:w="7065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color w:themeColor="text1"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themeColor="text1" w:val="000000"/>
                <w:kern w:val="0"/>
                <w:sz w:val="22"/>
                <w:szCs w:val="22"/>
                <w:lang w:val="ru-RU" w:eastAsia="ru-RU" w:bidi="ar-SA"/>
              </w:rPr>
              <w:t xml:space="preserve">Поддерживать силы и специальные технические средства в постоянно готовности к выдвижению и оказанию услуг по локализации (ликвидации) ЧС на обслуживаемых объектах заказчика. 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color w:themeColor="text1"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themeColor="text1" w:val="000000"/>
                <w:kern w:val="0"/>
                <w:sz w:val="22"/>
                <w:szCs w:val="22"/>
                <w:lang w:val="ru-RU" w:eastAsia="ru-RU" w:bidi="ar-SA"/>
              </w:rPr>
              <w:t xml:space="preserve">При получении сообщения о возникновении на объектах заказчика ЧС, своевременно направить силы и специальные технические средства для выполнения работ по локализации (ликвидации) ЧС, в сроки предусмотренные законодательством РФ. </w:t>
            </w:r>
          </w:p>
          <w:p>
            <w:pPr>
              <w:pStyle w:val="CommentText"/>
              <w:widowControl/>
              <w:spacing w:before="0" w:after="0"/>
              <w:contextualSpacing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kern w:val="0"/>
                <w:sz w:val="22"/>
                <w:szCs w:val="22"/>
                <w:lang w:val="ru-RU" w:bidi="ar-SA"/>
              </w:rPr>
              <w:t xml:space="preserve">Обеспечить реагирование аварийно-спасательного формирования на Объект не позднее 1 часа с момента поступления заявки от Заказчика. </w:t>
            </w:r>
          </w:p>
          <w:p>
            <w:pPr>
              <w:pStyle w:val="CommentText"/>
              <w:widowControl/>
              <w:spacing w:before="0" w:after="0"/>
              <w:contextualSpacing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kern w:val="0"/>
                <w:sz w:val="22"/>
                <w:szCs w:val="22"/>
                <w:lang w:val="ru-RU" w:bidi="ar-SA"/>
              </w:rPr>
              <w:t xml:space="preserve">Проводить работы по ликвидации последствий ЧС, во взаимодействии с уполномоченными органами МЧС России и прочими надзорными органами на обслуживаемых Объектах Заказчика. </w:t>
            </w:r>
          </w:p>
          <w:p>
            <w:pPr>
              <w:pStyle w:val="CommentText"/>
              <w:widowControl/>
              <w:spacing w:before="0" w:after="0"/>
              <w:contextualSpacing/>
              <w:jc w:val="both"/>
              <w:rPr>
                <w:color w:themeColor="text1" w:val="000000"/>
                <w:sz w:val="22"/>
                <w:szCs w:val="22"/>
              </w:rPr>
            </w:pPr>
            <w:r>
              <w:rPr>
                <w:color w:themeColor="text1" w:val="000000"/>
                <w:kern w:val="0"/>
                <w:sz w:val="22"/>
                <w:szCs w:val="22"/>
                <w:lang w:val="ru-RU" w:bidi="ar-SA"/>
              </w:rPr>
              <w:t xml:space="preserve">Сдавать Заказчику выполненные работы по промежуточным актам выполненных работ (услуг) за каждые сутки. 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color w:themeColor="text1"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themeColor="text1" w:val="000000"/>
                <w:kern w:val="0"/>
                <w:sz w:val="22"/>
                <w:szCs w:val="22"/>
                <w:lang w:val="ru-RU" w:eastAsia="ru-RU" w:bidi="ar-SA"/>
              </w:rPr>
              <w:t>Выполнять следующие виды аварийно-спасательных работ: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color w:themeColor="text1" w:val="000000"/>
                <w:highlight w:val="yellow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themeColor="text1" w:val="000000"/>
                <w:kern w:val="0"/>
                <w:sz w:val="22"/>
                <w:szCs w:val="22"/>
                <w:highlight w:val="yellow"/>
                <w:lang w:val="ru-RU" w:eastAsia="ru-RU" w:bidi="ar-SA"/>
              </w:rPr>
              <w:t>-поисково-спасательные работы;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color w:themeColor="text1"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themeColor="text1" w:val="000000"/>
                <w:kern w:val="0"/>
                <w:sz w:val="22"/>
                <w:szCs w:val="22"/>
                <w:highlight w:val="yellow"/>
                <w:lang w:val="ru-RU" w:eastAsia="ru-RU" w:bidi="ar-SA"/>
              </w:rPr>
              <w:t>-газоспасательные работы.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themeColor="text1" w:val="000000"/>
                <w:kern w:val="0"/>
                <w:sz w:val="22"/>
                <w:szCs w:val="22"/>
                <w:lang w:val="ru-RU" w:eastAsia="ru-RU" w:bidi="ar-SA"/>
              </w:rPr>
              <w:t>Согласование планов мероприятий по ликвидации и локализации последствий аварий на опасных производственных объектах Заказчика.</w:t>
            </w:r>
          </w:p>
        </w:tc>
      </w:tr>
      <w:tr>
        <w:trPr/>
        <w:tc>
          <w:tcPr>
            <w:tcW w:w="438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7</w:t>
            </w:r>
          </w:p>
        </w:tc>
        <w:tc>
          <w:tcPr>
            <w:tcW w:w="2953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Требования к последовательности выполненных услуг, этапам оказания услуг. </w:t>
            </w:r>
          </w:p>
        </w:tc>
        <w:tc>
          <w:tcPr>
            <w:tcW w:w="7065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color w:themeColor="text1"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themeColor="text1" w:val="000000"/>
                <w:kern w:val="0"/>
                <w:sz w:val="22"/>
                <w:szCs w:val="22"/>
                <w:lang w:val="ru-RU" w:eastAsia="ru-RU" w:bidi="ar-SA"/>
              </w:rPr>
              <w:t xml:space="preserve">Поддержание сил и специальных технических средств к постоянной готовности к выдвижению и оказанию услуг по локализации (ликвидации) ЧС на обслуживаемых объектах заказчика осуществляется круглосуточно в период действия договора. </w:t>
            </w:r>
          </w:p>
        </w:tc>
      </w:tr>
      <w:tr>
        <w:trPr/>
        <w:tc>
          <w:tcPr>
            <w:tcW w:w="438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8</w:t>
            </w:r>
          </w:p>
        </w:tc>
        <w:tc>
          <w:tcPr>
            <w:tcW w:w="2953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Требования к применяемым материалам </w:t>
            </w:r>
          </w:p>
        </w:tc>
        <w:tc>
          <w:tcPr>
            <w:tcW w:w="7065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color w:themeColor="text1"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Все применяемые материалы должны соответствовать требованиям технических регламентов, положениям стандартов, сводов правил, требованиям пожарной безопасности и техническим условиям, иметь соответствующие сертификаты, технические паспорта и другие документы, удостоверяющие их качество и пригодность для выполнения работ. Сертификаты (декларации) на материалы и оборудование должны соответствовать требованиям Решения  Коллегии Евразийской экономической комиссии  от 25 декабря 2012 года № 293 «О единых формах сертификата соответствия и декларации  о соответствии техническим регламентам Таможенного союза и правилах их оформления». </w:t>
            </w:r>
          </w:p>
        </w:tc>
      </w:tr>
      <w:tr>
        <w:trPr/>
        <w:tc>
          <w:tcPr>
            <w:tcW w:w="438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9</w:t>
            </w:r>
          </w:p>
        </w:tc>
        <w:tc>
          <w:tcPr>
            <w:tcW w:w="2953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Требования к поставляемому оборудованию </w:t>
            </w:r>
          </w:p>
        </w:tc>
        <w:tc>
          <w:tcPr>
            <w:tcW w:w="7065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Оборудование не поставляется </w:t>
            </w:r>
          </w:p>
        </w:tc>
      </w:tr>
      <w:tr>
        <w:trPr/>
        <w:tc>
          <w:tcPr>
            <w:tcW w:w="438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10</w:t>
            </w:r>
          </w:p>
        </w:tc>
        <w:tc>
          <w:tcPr>
            <w:tcW w:w="2953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2"/>
                <w:szCs w:val="22"/>
                <w:lang w:val="ru-RU" w:eastAsia="ru-RU" w:bidi="ar-SA"/>
              </w:rPr>
              <w:t>Требования к применяемым механизмам, оснастке и прочим средствам, необходимым для выполнения услуг.</w:t>
            </w:r>
          </w:p>
        </w:tc>
        <w:tc>
          <w:tcPr>
            <w:tcW w:w="7065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color w:themeColor="text1" w:val="000000"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themeColor="text1" w:val="000000"/>
                <w:kern w:val="0"/>
                <w:sz w:val="22"/>
                <w:szCs w:val="22"/>
                <w:lang w:val="ru-RU" w:eastAsia="ru-RU" w:bidi="ar-SA"/>
              </w:rPr>
              <w:t xml:space="preserve">Применяемые Исполнителем специальные технические средства, механизмы, оснастка должны обеспечивать возможность  соблюдения ТБ при производстве работ, быть исправными и аттестованными, соответствовать требованиям технических регламентов, положениям стандартов, сводов правил, требованиям пожарной безопасности и техническим условиям, иметь соответствующие сертификаты, технические паспорта и другие документы, удостоверяющие их качество и пригодность для выполнения работ. </w:t>
            </w:r>
          </w:p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color w:themeColor="text1" w:val="000000"/>
                <w:kern w:val="0"/>
                <w:sz w:val="22"/>
                <w:szCs w:val="22"/>
                <w:lang w:val="ru-RU" w:eastAsia="ru-RU" w:bidi="ar-SA"/>
              </w:rPr>
              <w:t xml:space="preserve">Применяемые специальные технические средства, механизмы, оснастка должны гарантировать качественное оказание услуг в полном объеме в установленные сроки. </w:t>
            </w:r>
          </w:p>
        </w:tc>
      </w:tr>
      <w:tr>
        <w:trPr/>
        <w:tc>
          <w:tcPr>
            <w:tcW w:w="438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start"/>
              <w:rPr>
                <w:rFonts w:ascii="Times New Roman" w:hAnsi="Times New Roman" w:eastAsia="Times New Roman"/>
                <w:b/>
                <w:bCs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11</w:t>
            </w:r>
          </w:p>
        </w:tc>
        <w:tc>
          <w:tcPr>
            <w:tcW w:w="2953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lang w:eastAsia="ru-RU"/>
              </w:rPr>
            </w:pPr>
            <w:r>
              <w:rPr>
                <w:rFonts w:eastAsia="Times New Roman" w:ascii="Times New Roman" w:hAnsi="Times New Roman"/>
                <w:bCs/>
                <w:kern w:val="0"/>
                <w:sz w:val="22"/>
                <w:szCs w:val="22"/>
                <w:lang w:val="ru-RU" w:eastAsia="ru-RU" w:bidi="ar-SA"/>
              </w:rPr>
              <w:t xml:space="preserve">Требования к </w:t>
            </w:r>
            <w:hyperlink r:id="rId3" w:tooltip="Гарантийное обязательство">
              <w:r>
                <w:rPr>
                  <w:rStyle w:val="Style7"/>
                  <w:rFonts w:eastAsia="Times New Roman" w:ascii="Times New Roman" w:hAnsi="Times New Roman"/>
                  <w:bCs/>
                  <w:kern w:val="0"/>
                  <w:sz w:val="22"/>
                  <w:szCs w:val="22"/>
                  <w:lang w:val="ru-RU" w:eastAsia="ru-RU" w:bidi="ar-SA"/>
                </w:rPr>
                <w:t>гарантийным обязательствам</w:t>
              </w:r>
            </w:hyperlink>
            <w:r>
              <w:rPr>
                <w:rFonts w:eastAsia="Times New Roman" w:ascii="Times New Roman" w:hAnsi="Times New Roman"/>
                <w:bCs/>
                <w:kern w:val="0"/>
                <w:sz w:val="22"/>
                <w:szCs w:val="22"/>
                <w:lang w:val="ru-RU" w:eastAsia="ru-RU" w:bidi="ar-SA"/>
              </w:rPr>
              <w:t>:</w:t>
            </w:r>
          </w:p>
        </w:tc>
        <w:tc>
          <w:tcPr>
            <w:tcW w:w="7065" w:type="dxa"/>
            <w:tcBorders/>
          </w:tcPr>
          <w:p>
            <w:pPr>
              <w:pStyle w:val="Normal"/>
              <w:widowControl/>
              <w:spacing w:lineRule="auto" w:line="240" w:before="0" w:after="0"/>
              <w:contextualSpacing/>
              <w:jc w:val="both"/>
              <w:rPr>
                <w:rFonts w:ascii="Times New Roman" w:hAnsi="Times New Roman" w:eastAsia="Times New Roman"/>
                <w:bCs/>
                <w:color w:themeColor="text1" w:val="000000"/>
                <w:lang w:eastAsia="ru-RU"/>
              </w:rPr>
            </w:pPr>
            <w:r>
              <w:rPr>
                <w:rFonts w:eastAsia="Times New Roman" w:ascii="Times New Roman" w:hAnsi="Times New Roman"/>
                <w:color w:themeColor="text1" w:val="000000"/>
                <w:kern w:val="0"/>
                <w:sz w:val="22"/>
                <w:szCs w:val="22"/>
                <w:lang w:val="ru-RU" w:eastAsia="ru-RU" w:bidi="ar-SA"/>
              </w:rPr>
              <w:t>Исполнитель по требованию Заказчика своими силами и за свой счёт в срок, согласованный с заказчиком, устраняет недостатки оказанных услуг, допущенных по вине Исполнителя в случае объективных доказательств оказанных услуг.</w:t>
            </w:r>
            <w:bookmarkStart w:id="1" w:name="_Hlk227742464"/>
            <w:bookmarkEnd w:id="1"/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1906" w:h="16838"/>
      <w:pgMar w:left="1701" w:right="720" w:gutter="0" w:header="0" w:top="1135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Calibri">
    <w:charset w:val="cc" w:characterSet="windows-1251"/>
    <w:family w:val="swiss"/>
    <w:pitch w:val="variable"/>
  </w:font>
  <w:font w:name="Calibri Light">
    <w:charset w:val="cc" w:characterSet="windows-1251"/>
    <w:family w:val="swiss"/>
    <w:pitch w:val="variable"/>
  </w:font>
  <w:font w:name="Arial">
    <w:charset w:val="cc" w:characterSet="windows-1251"/>
    <w:family w:val="swiss"/>
    <w:pitch w:val="variable"/>
  </w:font>
  <w:font w:name="Calibri Light">
    <w:charset w:val="cc" w:characterSet="windows-1251"/>
    <w:family w:val="roman"/>
    <w:pitch w:val="variable"/>
  </w:font>
  <w:font w:name="Segoe UI"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7acb"/>
    <w:pPr>
      <w:widowControl/>
      <w:bidi w:val="0"/>
      <w:spacing w:lineRule="auto" w:line="276" w:before="0" w:after="200"/>
      <w:jc w:val="start"/>
    </w:pPr>
    <w:rPr>
      <w:rFonts w:ascii="Calibri" w:hAnsi="Calibri" w:eastAsia="MS Mincho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8611d7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2">
    <w:name w:val="heading 2"/>
    <w:basedOn w:val="Normal"/>
    <w:next w:val="Normal"/>
    <w:link w:val="2"/>
    <w:qFormat/>
    <w:rsid w:val="0058003f"/>
    <w:pPr>
      <w:keepNext w:val="true"/>
      <w:spacing w:lineRule="auto" w:line="240"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Заголовок 2 Знак"/>
    <w:basedOn w:val="DefaultParagraphFont"/>
    <w:qFormat/>
    <w:rsid w:val="0058003f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okpdspan" w:customStyle="1">
    <w:name w:val="okpd_span"/>
    <w:basedOn w:val="DefaultParagraphFont"/>
    <w:qFormat/>
    <w:rsid w:val="005b7acb"/>
    <w:rPr/>
  </w:style>
  <w:style w:type="character" w:styleId="Style12" w:customStyle="1">
    <w:name w:val="Абзац списка Знак"/>
    <w:link w:val="ListParagraph"/>
    <w:uiPriority w:val="34"/>
    <w:qFormat/>
    <w:rsid w:val="005b7acb"/>
    <w:rPr>
      <w:rFonts w:ascii="Calibri" w:hAnsi="Calibri" w:eastAsia="MS Mincho" w:cs="Times New Roman"/>
    </w:rPr>
  </w:style>
  <w:style w:type="character" w:styleId="Style13" w:customStyle="1">
    <w:name w:val="Основной текст_"/>
    <w:link w:val="21"/>
    <w:qFormat/>
    <w:rsid w:val="008d786d"/>
    <w:rPr>
      <w:sz w:val="21"/>
      <w:szCs w:val="21"/>
      <w:shd w:fill="FFFFFF" w:val="clear"/>
    </w:rPr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f51d08"/>
    <w:rPr>
      <w:rFonts w:ascii="Calibri" w:hAnsi="Calibri" w:eastAsia="Calibri" w:cs="Times New Roman"/>
    </w:rPr>
  </w:style>
  <w:style w:type="character" w:styleId="1" w:customStyle="1">
    <w:name w:val="Заголовок 1 Знак"/>
    <w:basedOn w:val="DefaultParagraphFont"/>
    <w:uiPriority w:val="9"/>
    <w:qFormat/>
    <w:rsid w:val="008611d7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4e58e6"/>
    <w:rPr>
      <w:rFonts w:ascii="Segoe UI" w:hAnsi="Segoe UI" w:eastAsia="MS Mincho" w:cs="Segoe UI"/>
      <w:sz w:val="18"/>
      <w:szCs w:val="18"/>
    </w:rPr>
  </w:style>
  <w:style w:type="character" w:styleId="Style16" w:customStyle="1">
    <w:name w:val="Текст примечания Знак"/>
    <w:basedOn w:val="DefaultParagraphFont"/>
    <w:uiPriority w:val="99"/>
    <w:semiHidden/>
    <w:qFormat/>
    <w:rsid w:val="0079438b"/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Hyperlink">
    <w:name w:val="Hyperlink"/>
    <w:rPr>
      <w:color w:val="000080"/>
      <w:u w:val="single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5b7acb"/>
    <w:pPr>
      <w:spacing w:lineRule="auto" w:line="240" w:beforeAutospacing="1" w:afterAutospacing="1"/>
    </w:pPr>
    <w:rPr>
      <w:rFonts w:ascii="Arial" w:hAnsi="Arial" w:eastAsia="Times New Roman" w:cs="Arial"/>
      <w:sz w:val="20"/>
      <w:szCs w:val="20"/>
      <w:lang w:eastAsia="ru-RU"/>
    </w:rPr>
  </w:style>
  <w:style w:type="paragraph" w:styleId="11" w:customStyle="1">
    <w:name w:val="Обычный1"/>
    <w:uiPriority w:val="99"/>
    <w:qFormat/>
    <w:rsid w:val="005b7acb"/>
    <w:pPr>
      <w:widowControl/>
      <w:bidi w:val="0"/>
      <w:spacing w:lineRule="auto" w:line="240" w:before="0" w:after="0"/>
      <w:ind w:firstLine="709"/>
      <w:jc w:val="start"/>
    </w:pPr>
    <w:rPr>
      <w:rFonts w:ascii="Times New Roman" w:hAnsi="Times New Roman" w:eastAsia="Times New Roman" w:cs="Times New Roman"/>
      <w:color w:val="000000"/>
      <w:kern w:val="0"/>
      <w:sz w:val="28"/>
      <w:szCs w:val="22"/>
      <w:lang w:eastAsia="ru-RU" w:val="ru-RU" w:bidi="ar-SA"/>
    </w:rPr>
  </w:style>
  <w:style w:type="paragraph" w:styleId="ListParagraph">
    <w:name w:val="List Paragraph"/>
    <w:basedOn w:val="Normal"/>
    <w:link w:val="Style12"/>
    <w:uiPriority w:val="34"/>
    <w:qFormat/>
    <w:rsid w:val="005b7acb"/>
    <w:pPr>
      <w:spacing w:before="0" w:after="200"/>
      <w:ind w:start="720"/>
      <w:contextualSpacing/>
    </w:pPr>
    <w:rPr/>
  </w:style>
  <w:style w:type="paragraph" w:styleId="NoSpacing">
    <w:name w:val="No Spacing"/>
    <w:uiPriority w:val="1"/>
    <w:qFormat/>
    <w:rsid w:val="005b7acb"/>
    <w:pPr>
      <w:widowControl/>
      <w:bidi w:val="0"/>
      <w:spacing w:lineRule="auto" w:line="240" w:before="0" w:after="0"/>
      <w:jc w:val="star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21" w:customStyle="1">
    <w:name w:val="Основной текст2"/>
    <w:basedOn w:val="Normal"/>
    <w:link w:val="Style13"/>
    <w:qFormat/>
    <w:rsid w:val="008d786d"/>
    <w:pPr>
      <w:widowControl w:val="false"/>
      <w:shd w:val="clear" w:color="auto" w:fill="FFFFFF"/>
      <w:spacing w:lineRule="exact" w:line="264" w:before="0" w:after="0"/>
    </w:pPr>
    <w:rPr>
      <w:rFonts w:ascii="Calibri" w:hAnsi="Calibri" w:eastAsia="Calibri" w:cs="" w:asciiTheme="minorHAnsi" w:cstheme="minorBidi" w:eastAsiaTheme="minorHAnsi" w:hAnsiTheme="minorHAnsi"/>
      <w:sz w:val="21"/>
      <w:szCs w:val="21"/>
    </w:rPr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link w:val="Style14"/>
    <w:uiPriority w:val="99"/>
    <w:semiHidden/>
    <w:unhideWhenUsed/>
    <w:rsid w:val="00f51d08"/>
    <w:pPr>
      <w:tabs>
        <w:tab w:val="clear" w:pos="708"/>
        <w:tab w:val="center" w:pos="4677" w:leader="none"/>
        <w:tab w:val="right" w:pos="9355" w:leader="none"/>
      </w:tabs>
    </w:pPr>
    <w:rPr>
      <w:rFonts w:eastAsia="Calibri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4e58e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Style16"/>
    <w:uiPriority w:val="99"/>
    <w:semiHidden/>
    <w:rsid w:val="0079438b"/>
    <w:pPr>
      <w:spacing w:lineRule="auto" w:line="240" w:before="0" w:after="0"/>
    </w:pPr>
    <w:rPr>
      <w:rFonts w:ascii="Times New Roman" w:hAnsi="Times New Roman" w:eastAsia="Calibri"/>
      <w:sz w:val="20"/>
      <w:szCs w:val="20"/>
      <w:lang w:eastAsia="ru-RU"/>
    </w:rPr>
  </w:style>
  <w:style w:type="paragraph" w:styleId="Standard" w:customStyle="1">
    <w:name w:val="Standard"/>
    <w:qFormat/>
    <w:rsid w:val="007b4c27"/>
    <w:pPr>
      <w:widowControl/>
      <w:suppressAutoHyphens w:val="true"/>
      <w:bidi w:val="0"/>
      <w:spacing w:lineRule="auto" w:line="240" w:before="0" w:after="0"/>
      <w:jc w:val="star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5b7ac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v-zakupki.ru/cody/okpd2/84.25.19.190" TargetMode="External"/><Relationship Id="rId3" Type="http://schemas.openxmlformats.org/officeDocument/2006/relationships/hyperlink" Target="http://pandia.ru/text/category/garantijnoe_obyazatelmzstvo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LibreOffice/26.2.3.1$Windows_X86_64 LibreOffice_project/d444ea7836163cb762d1627df3bc33e112fa142a</Application>
  <AppVersion>15.0000</AppVersion>
  <Pages>3</Pages>
  <Words>786</Words>
  <Characters>5557</Characters>
  <CharactersWithSpaces>6290</CharactersWithSpaces>
  <Paragraphs>134</Paragraphs>
  <Company>Krokoz™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2026-05-20T10:39:00Z</dcterms:created>
  <dc:creator>Worker</dc:creator>
  <dc:description>DOC-MARKER-xYNy9t0EY450h82JMOUK0Q</dc:description>
  <dc:language>ru-RU</dc:language>
  <cp:lastModifiedBy/>
  <cp:lastPrinted>2026-04-22T01:57:00Z</cp:lastPrinted>
  <dcterms:modified xsi:type="dcterms:W3CDTF">2026-05-25T10:20:05Z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