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Техническое задание</w:t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на поставку </w:t>
      </w:r>
      <w:r>
        <w:rPr>
          <w:rFonts w:ascii="Times New Roman" w:hAnsi="Times New Roman" w:cs="Times New Roman"/>
          <w:b/>
          <w:bCs/>
        </w:rPr>
        <w:t xml:space="preserve">продуктов питания</w:t>
      </w:r>
      <w:r>
        <w:rPr>
          <w:rFonts w:ascii="Times New Roman" w:hAnsi="Times New Roman" w:cs="Times New Roman"/>
          <w:b/>
          <w:bCs/>
        </w:rPr>
        <w:t xml:space="preserve"> для нужд </w:t>
      </w:r>
      <w:r>
        <w:rPr>
          <w:rFonts w:ascii="Times New Roman" w:hAnsi="Times New Roman" w:cs="Times New Roman"/>
          <w:b/>
          <w:bCs/>
        </w:rPr>
        <w:t xml:space="preserve">МАУ ДО ЦТЭИК МР Учалинский район РБ</w:t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731"/>
        <w:numPr>
          <w:ilvl w:val="0"/>
          <w:numId w:val="12"/>
        </w:numPr>
        <w:ind w:left="0" w:firstLine="0"/>
        <w:jc w:val="both"/>
        <w:spacing w:after="0" w:line="240" w:lineRule="auto"/>
        <w:widowControl w:val="off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Функциональные характеристики (потребительские свойства), технические и качественные характеристики, а также эксплуатационные характеристики (при необходимости) предмета закупки, установленные заказчиком:</w:t>
      </w:r>
      <w:r>
        <w:rPr>
          <w:rFonts w:ascii="Times New Roman" w:hAnsi="Times New Roman" w:cs="Times New Roman"/>
          <w:b/>
          <w:bCs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Cs/>
          <w:i/>
          <w:iCs/>
          <w:lang w:val="ba-RU"/>
        </w:rPr>
      </w:pPr>
      <w:r/>
      <w:bookmarkStart w:id="0" w:name="_Hlk210639264"/>
      <w:r/>
      <w:r>
        <w:rPr>
          <w:rFonts w:ascii="Times New Roman" w:hAnsi="Times New Roman" w:cs="Times New Roman"/>
          <w:bCs/>
          <w:i/>
          <w:iCs/>
          <w:lang w:val="ba-RU"/>
        </w:rPr>
      </w:r>
    </w:p>
    <w:tbl>
      <w:tblPr>
        <w:tblStyle w:val="764"/>
        <w:tblW w:w="946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711"/>
        <w:gridCol w:w="1269"/>
        <w:gridCol w:w="2524"/>
        <w:gridCol w:w="1275"/>
        <w:gridCol w:w="1701"/>
        <w:gridCol w:w="1985"/>
      </w:tblGrid>
      <w:tr>
        <w:tblPrEx/>
        <w:trPr>
          <w:jc w:val="center"/>
          <w:trHeight w:val="2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/>
            <w:bookmarkStart w:id="1" w:name="_Hlk230265750"/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Код ОКПД2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Национальный режим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3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1875 (Запрет)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1875 (Ограничение)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1875 (Преимущество)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10.82.22.130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Батончик шоколадный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10.72.12.130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вафли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10.61.33.111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геркулес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10.20.13.122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Горбуша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01.11.62.000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горох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10.12.10.110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Грудка куриная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10.89.19.231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кисель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10.82.22.130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конфеты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10.83.12.120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Кофейный напиток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10.61.32.113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Крупа гречневая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10.61.31.111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Крупа манная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10.61.32.116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Крупа перловая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10.61.31.110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Крупа пшеничная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10.61.32.114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Крупа пшено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10.61.12.000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Крупа рисовая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10.61.32.115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Крупа ячневая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10.73.11.110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Макаронные изделия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10.41.54.110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Масло подсолнечное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10.51.51.110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Молоко сгущенное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10.61.21.110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Мука пшеничная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10.12.10.110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Мясо птицы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10.39.17.190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Огурцы консервированные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10.72.12.120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печенье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10.20.14.120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минтай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10.81.12.110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сахар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10.86.10.243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Сок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10.84.30.130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10.39.17.112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Томатная паста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10.83.13.120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10.82.22.112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Шоколад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9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01.47.21.000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Яйцо столовое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89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 Symbol" w:hAnsi="Segoe UI Symbol" w:eastAsia="Times New Roman" w:cs="Segoe UI Symbol"/>
                <w:sz w:val="20"/>
                <w:szCs w:val="20"/>
                <w:lang w:eastAsia="ru-RU"/>
              </w:rPr>
              <w:t xml:space="preserve">✓</w:t>
            </w:r>
            <w:bookmarkEnd w:id="1"/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bCs/>
          <w:i/>
          <w:iCs/>
          <w:lang w:val="ba-RU"/>
        </w:rPr>
      </w:pPr>
      <w:r>
        <w:rPr>
          <w:rFonts w:ascii="Times New Roman" w:hAnsi="Times New Roman" w:cs="Times New Roman"/>
          <w:bCs/>
          <w:i/>
          <w:iCs/>
          <w:lang w:val="ba-RU"/>
        </w:rPr>
      </w:r>
      <w:r>
        <w:rPr>
          <w:rFonts w:ascii="Times New Roman" w:hAnsi="Times New Roman" w:cs="Times New Roman"/>
          <w:bCs/>
          <w:i/>
          <w:iCs/>
          <w:lang w:val="ba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Cs/>
          <w:i/>
          <w:iCs/>
          <w:lang w:val="ba-RU"/>
        </w:rPr>
      </w:pPr>
      <w:r>
        <w:rPr>
          <w:rFonts w:ascii="Times New Roman" w:hAnsi="Times New Roman" w:cs="Times New Roman"/>
          <w:bCs/>
          <w:i/>
          <w:iCs/>
          <w:lang w:val="ba-RU"/>
        </w:rPr>
      </w:r>
      <w:bookmarkEnd w:id="0"/>
      <w:r>
        <w:rPr>
          <w:rFonts w:ascii="Times New Roman" w:hAnsi="Times New Roman" w:cs="Times New Roman"/>
          <w:bCs/>
          <w:i/>
          <w:iCs/>
          <w:lang w:val="ba-RU"/>
        </w:rPr>
      </w:r>
    </w:p>
    <w:tbl>
      <w:tblPr>
        <w:tblW w:w="5149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558"/>
        <w:gridCol w:w="1711"/>
        <w:gridCol w:w="6378"/>
        <w:gridCol w:w="709"/>
        <w:gridCol w:w="851"/>
      </w:tblGrid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Наименование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Технические и функциональные характеристики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Ед. изм.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Кол-во</w:t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Батончик</w:t>
            </w:r>
            <w:r>
              <w:rPr>
                <w:rFonts w:ascii="Times New Roman" w:hAnsi="Times New Roman" w:cs="Times New Roman"/>
              </w:rPr>
              <w:t xml:space="preserve"> шоколадный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Р 70337-2022 Шоколад. Общие технические условия и/или ТУ производителя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вид: Лицевая поверхность с рисунком или без него, блестящая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 и запах: Свойственные для конкретного вида шоколада с учетом используемых компонентов (пищевых ингредиентов), без постороннего привкуса и запаха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Форма: в соответствии с рецептурой и (или) другими документами изготовителя, без деформации для всех видов шоколада, кроме весового и шоколада в порошке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Консистенция: твердая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Текстура (структура): для шоколада без начинки и шоколада без добавлений- однородная.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 –предназначенная и соответствующая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 </w:t>
            </w:r>
            <w:r>
              <w:rPr>
                <w:rFonts w:ascii="Times New Roman" w:hAnsi="Times New Roman" w:cs="Times New Roman"/>
              </w:rPr>
              <w:t xml:space="preserve">40-50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гр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шт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2781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вафли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14031-2014 Вафли.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Поверхность: с четким рисунком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Края: с ровным обрезом без подтеков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Вафли должны иметь одинаковый размер и правильную форму, установленную для данного наименования – соответствие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Начинка: не выступает за края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от светло-желтого до светло-коричневого для вафель с начинкой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Начинка: распределена равномерно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Начинка: однородной консистенции, без крупинок и комочков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95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геркулес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21149-2022 «Хлопья овсяные. Технические условия»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Вид: экстра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белый с оттенками от кремового до желтоватого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овсяной крупе без плесневого, затхлого и других посторонних запахов.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овсяной крупе без привкуса горечи и посторонних привкусов.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Развариваемость</w:t>
            </w:r>
            <w:r>
              <w:rPr>
                <w:rFonts w:ascii="Times New Roman" w:hAnsi="Times New Roman" w:cs="Times New Roman"/>
              </w:rPr>
              <w:t xml:space="preserve">: не более 20 мин.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Зараженность и загрязненность вредителями: не допускается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соответствующей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27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Горбуша 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32366-2013 «Рыба мороженая. Технические условия»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Сорт не ниже 1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Вид: потрошенная с головой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Термическое состояние: свежемороженая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вид-</w:t>
            </w:r>
            <w:r>
              <w:rPr>
                <w:rFonts w:ascii="Times New Roman" w:hAnsi="Times New Roman" w:cs="Times New Roman"/>
              </w:rPr>
              <w:tab/>
              <w:t xml:space="preserve">Чистая, рыба без наружных повреждений, естественной окраски, присуще рыбе данного вида. Потрошеная рыба быть с удаленным хвостовым плавником и </w:t>
            </w:r>
            <w:r>
              <w:rPr>
                <w:rFonts w:ascii="Times New Roman" w:hAnsi="Times New Roman" w:cs="Times New Roman"/>
              </w:rPr>
              <w:t xml:space="preserve">прихвостовой</w:t>
            </w:r>
            <w:r>
              <w:rPr>
                <w:rFonts w:ascii="Times New Roman" w:hAnsi="Times New Roman" w:cs="Times New Roman"/>
              </w:rPr>
              <w:t xml:space="preserve"> частью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Консистенция-</w:t>
            </w:r>
            <w:r>
              <w:rPr>
                <w:rFonts w:ascii="Times New Roman" w:hAnsi="Times New Roman" w:cs="Times New Roman"/>
              </w:rPr>
              <w:tab/>
              <w:t xml:space="preserve">Плотная (после размораживания)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Запах-</w:t>
            </w:r>
            <w:r>
              <w:rPr>
                <w:rFonts w:ascii="Times New Roman" w:hAnsi="Times New Roman" w:cs="Times New Roman"/>
              </w:rPr>
              <w:tab/>
              <w:t xml:space="preserve">Свойственный свежей рыбе, без посторонних признаков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 после размораживания</w:t>
            </w:r>
            <w:r>
              <w:rPr>
                <w:rFonts w:ascii="Times New Roman" w:hAnsi="Times New Roman" w:cs="Times New Roman"/>
              </w:rPr>
              <w:tab/>
              <w:t xml:space="preserve">Свойственный свежей рыбе данного вида, без посторонних запахов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Продукт не должен содержать-Генно-инженерно-модифицированные организмы (ГМО), антибиотики и гормоны, гельминтов и их личинок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продукции.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178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горох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6201-2020 Горох шлифованный.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Вид: горох колотый шлифованный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Сорт: не ниже первого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Характеристика: шлифованный с разделенными семядолями. Примесь целого шлифованного гороха допускается не более 5 %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желтый, зеленый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гороху, без посторонних привкусов, не кислый, не горький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гороху без плесневелого затхлого и других посторонних запахов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Зараженность вредителями хлебных запасов: не допускается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соответствующей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не менее 0,9 кг и не более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81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Грудка </w:t>
            </w:r>
            <w:r>
              <w:rPr>
                <w:rFonts w:ascii="Times New Roman" w:hAnsi="Times New Roman" w:cs="Times New Roman"/>
              </w:rPr>
              <w:t xml:space="preserve">куриная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31962-2013 Мясо кур (тушки кур, цыплят-бройлеров и их части). Технические условия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Сорт: первый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yellow"/>
              </w:rPr>
              <w:t xml:space="preserve">Термическое состояние: охлажденное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Тушки и их части должны соответствовать следующим минимальным требованиям: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быть хорошо обескровленными, чистыми;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иметь: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посторонних включений (например, стекла, резины, металла);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посторонних запахов;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фекальных загрязнений;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видимых кровяных сгустков;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остатков кишечника и клоаки, трахеи, пищевода, зрелых репродуктивных органов;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холодильных ожогов, пятен от разлитой желчи.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Упитанность: мышцы развиты хорошо. Форма груди округлая. Киль грудной кости не выделяется. Отложения подкожного жира в области нижней части живота незначительные.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свежему мясу данного вида птицы.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мышечной ткани: от бледно-розового до розового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кожи: бледно-желтый с розовым оттенком или без него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подкожного и внутреннего жира: бледно-желтый или желтый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Степень снятия оперения: не допускается наличие пеньков, волосовидного пера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Состояние кожи: кожа чистая, без разрывов, царапин, пятен, ссадин и кровоподтеков.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Состояние костной системы: костная система без переломов и деформаций. Киль грудной кости </w:t>
            </w:r>
            <w:r>
              <w:rPr>
                <w:rFonts w:ascii="Times New Roman" w:hAnsi="Times New Roman" w:cs="Times New Roman"/>
              </w:rPr>
              <w:t xml:space="preserve">хрящевидный</w:t>
            </w:r>
            <w:r>
              <w:rPr>
                <w:rFonts w:ascii="Times New Roman" w:hAnsi="Times New Roman" w:cs="Times New Roman"/>
              </w:rPr>
              <w:t xml:space="preserve">, легко сгибаемый.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Продукты не должны содержать генно-инженерно-модифицированные организмы (ГМО), антибиотики и гормоны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в индивидуальной упаковке, предназначенной и соответствующей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327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кисель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Соответствие требованиям ГОСТ 18488-2000 «Концентраты пищевые сладких блюд. Общие технические условия»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вид: однородная сыпучая масса. Допускаются неплотно слежавшиеся комочки.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соответствующему блюду, приготовленному кулинарным способом, без посторонних запахов.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соответствующему блюду, приготовленному кулинарным способом, без посторонних привкусов.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Консистенция: вязкая однородная без комочков.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 1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конфеты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Соответствует требованиям ГОСТ 4570-2014 «Конфеты. Общие технические условия», ТУ производителя (изготовителя)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Вкус и запах: Свойственные основному составу компонентов конфет с ясно выраженным вкусом и запахом.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Внешний ви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д: Конфеты, глазированные шоколадной глазурью или шоколадом, не должны иметь на лицевой поверхности «поседения» или повреждения. Допускаются незначительные повреждения поверхности при выработке конфет на механизированных линиях и при машинном упаковывании.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Форма-Разнообразная. Деформация конфет не допускается.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Вес упаковки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1-3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51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Кофейный напиток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Р 50364-92 Концентраты пищевые. Напитки кофейные растворимые.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вид: порошкообразный, наличие комков не допускается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коричневый, разной степени интенсивности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 и аромат: свойственные данному продукту в зависимости от вида сырья, без посторонних привкуса и запаха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</w:t>
            </w:r>
            <w:r>
              <w:rPr>
                <w:rFonts w:ascii="Times New Roman" w:hAnsi="Times New Roman" w:cs="Times New Roman"/>
              </w:rPr>
              <w:t xml:space="preserve">100 </w:t>
            </w:r>
            <w:r>
              <w:rPr>
                <w:rFonts w:ascii="Times New Roman" w:hAnsi="Times New Roman" w:cs="Times New Roman"/>
              </w:rPr>
              <w:t xml:space="preserve">гр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Крупа гречневая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5550-2021 Крупа гречневая. Технические условия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Сорт: не ниже высшего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крупы: </w:t>
            </w:r>
            <w:r>
              <w:rPr>
                <w:rFonts w:ascii="Times New Roman" w:hAnsi="Times New Roman" w:cs="Times New Roman"/>
              </w:rPr>
              <w:t xml:space="preserve">быстроразваривающаяся</w:t>
            </w:r>
            <w:r>
              <w:rPr>
                <w:rFonts w:ascii="Times New Roman" w:hAnsi="Times New Roman" w:cs="Times New Roman"/>
              </w:rPr>
              <w:t xml:space="preserve"> ядрица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коричневый разных оттенков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гречневой крупе, без посторонних запахов, не затхлый, не плесневый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гречневой крупе, без посторонних привкусов, не кислый, не горький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Зараженность вредителями хлебных запасов: не допускается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154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Крупа манная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7022-2019 Крупа манная.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Марка: М и/или МТ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вид и цвет: непрозрачная мучнистая крупка.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манной крупе, без посторонних запахов, не затхлый, не плесневый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манной крупе, без посторонних привкусов, не кислый, не горький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минеральной примеси: при разжевывании манной крупы не должно ощущаться хруста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45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Крупа перловая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5784-2022 Крупа ячменная.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Вид: №1, №2 - ядро, освобожденное от цветковых пленок, хорошо отшлифованное. Удлиненная форма ядра с закругленными концами.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белый с желтоватым, иногда зеленоватым оттенками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ячменной крупе, без посторонних запахов, не затхлый, не плесневый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ячменной крупе, без посторонних привкусов, не кислый, не горький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Зараженность вредителями хлебных запасов: не допускается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мешки или иной вид упаковки, предназначенный и соответствующий стандартам для данной продукции.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Крупа пшеничная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276-2021 Крупа пшеничная (Полтавская, "Артек").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желтый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пшеничной крупе без плесневого, затхлого и других посторонних запахов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пшеничной крупе, без посторонних привкусов, не кислый, не горький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Зараженность и загрязненность вредителями: не допускается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Крупа пшено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572-2016 Крупа пшено шлифованное.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Сорт: не ниже высшего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желтый разных оттенков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крупе пшено, без посторонних запахов, не затхлый, не плесневый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крупе пшено, без посторонних привкусов, не кислый, не горький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Зараженность и загрязненность вредителями: не допускается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45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Крупа рисовая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6292-93 Крупа рисовая.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крупы: рис шлифованный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Сорт: не ниже высшего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Характеристика крупы и способ обработки: получаемый при шлифовании </w:t>
            </w:r>
            <w:r>
              <w:rPr>
                <w:rFonts w:ascii="Times New Roman" w:hAnsi="Times New Roman" w:cs="Times New Roman"/>
              </w:rPr>
              <w:t xml:space="preserve">шелушеных</w:t>
            </w:r>
            <w:r>
              <w:rPr>
                <w:rFonts w:ascii="Times New Roman" w:hAnsi="Times New Roman" w:cs="Times New Roman"/>
              </w:rPr>
              <w:t xml:space="preserve"> зерен риса III или IV типа, у которых удалены цветковые пленки, плодовые и семенные оболочки, большая часть алейронового слоя и зародыша. А также продукт, получаемый при шлифовании </w:t>
            </w:r>
            <w:r>
              <w:rPr>
                <w:rFonts w:ascii="Times New Roman" w:hAnsi="Times New Roman" w:cs="Times New Roman"/>
              </w:rPr>
              <w:t xml:space="preserve">шелушеных</w:t>
            </w:r>
            <w:r>
              <w:rPr>
                <w:rFonts w:ascii="Times New Roman" w:hAnsi="Times New Roman" w:cs="Times New Roman"/>
              </w:rPr>
              <w:t xml:space="preserve"> зерен риса I или II типа.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рисовой крупе без посторонних запахов, не затхлый, не плесневый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рисовой крупе без посторонних привкусов, не кислый, не горький.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белый с различными оттенками.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Красные ядра и сорная примесь: не допускаются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Зараженность вредителями хлебных запасов: не допускается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мешки или иной вид упаковки, предназначенный и соответствующий стандартам для данной продукции.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154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Крупа ячневая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5784-2022 Крупа ячменная.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Белый с желтоватым, иногда зеленоватым оттенками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нормальной ячменной крупе, без посторонних привкусов, не кислый, не горький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нормальный ячменной крупе, без затхлости, плесени и других посторонних запахов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Зараженность вредителями хлебных запасов: не допускается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соответствующей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47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Макаронные изделия в\с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31743-2017 Изделия макаронные. Общие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Форма: трубчатые, фигурные и нитеобразные изделия: (</w:t>
            </w:r>
            <w:r>
              <w:rPr>
                <w:rFonts w:ascii="Times New Roman" w:hAnsi="Times New Roman" w:cs="Times New Roman"/>
              </w:rPr>
              <w:t xml:space="preserve">сапожок</w:t>
            </w:r>
            <w:r>
              <w:rPr>
                <w:rFonts w:ascii="Times New Roman" w:hAnsi="Times New Roman" w:cs="Times New Roman"/>
              </w:rPr>
              <w:t xml:space="preserve">,</w:t>
            </w:r>
            <w:r>
              <w:rPr>
                <w:rFonts w:ascii="Times New Roman" w:hAnsi="Times New Roman" w:cs="Times New Roman"/>
              </w:rPr>
              <w:t xml:space="preserve"> гребешок,</w:t>
            </w:r>
            <w:r>
              <w:rPr>
                <w:rFonts w:ascii="Times New Roman" w:hAnsi="Times New Roman" w:cs="Times New Roman"/>
              </w:rPr>
              <w:t xml:space="preserve"> вермишель и т.д.)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Группа: не ниже А, изготовлены из пшеницы высшего сорта, твердых сортов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Соответствующий сорту муки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Форма: Соответствующая типу изделий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данному изделию, без постороннего вкуса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данному изделию, без постороннего запаха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Сохранность формы сваренных изделий: не менее 100 %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зараженности и загрязненности вредителями хлебных запасов: не допускается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пакеты (мешки), весовые, целостная, без признаков порчи или иной вид, предназначенный и соответствующий стандартам для данной продукции.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158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Масло подсолнечное 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1129-2013 «Масло подсолнечное. Технические условия»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Марка подсолнечного масла: Рафинированное дезодорированное не ниже высшего сорта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Прозрачность: прозрачное без осадка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 и вкус: без запаха, обезличенный вкус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Массовая доля </w:t>
            </w:r>
            <w:r>
              <w:rPr>
                <w:rFonts w:ascii="Times New Roman" w:hAnsi="Times New Roman" w:cs="Times New Roman"/>
              </w:rPr>
              <w:t xml:space="preserve">нежировых</w:t>
            </w:r>
            <w:r>
              <w:rPr>
                <w:rFonts w:ascii="Times New Roman" w:hAnsi="Times New Roman" w:cs="Times New Roman"/>
              </w:rPr>
              <w:t xml:space="preserve"> примесей: отсутствует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золотистый или светло-желтый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 хранении не выделяет осадка, имеет слабый запах семечек: соответствие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пластиковая бутылка или иной вид, предназначенный и соответствующий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Фасовка: </w:t>
            </w:r>
            <w:r>
              <w:rPr>
                <w:rFonts w:ascii="Times New Roman" w:hAnsi="Times New Roman" w:cs="Times New Roman"/>
              </w:rPr>
              <w:t xml:space="preserve">920 </w:t>
            </w:r>
            <w:r>
              <w:rPr>
                <w:rFonts w:ascii="Times New Roman" w:hAnsi="Times New Roman" w:cs="Times New Roman"/>
              </w:rPr>
              <w:t xml:space="preserve">гр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46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Молоко сгущенное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31688-2012 «Консервы молочные. Молоко и сливки, сгущенные с сахаром. Технические условия»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Изготовлено из натурального коровьего молока с добавлением сахара - соответствие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Массовая доля жира: 8,5%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 молока: слегка желтоватый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сладкий с выраженным привкусом пастеризованного молока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Без добавления синтетических ароматизаторов, растительных добавок – соответствие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жестяная банка 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380 г.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140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Мука пшеничная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26574-2017 Мука пшеничная хлебопекарная. Технические условия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Сорт: не ниже высшего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свойственный пшеничной муке, без посторонних привкусов, не кислый, не горький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пшеничной муке, без посторонних запахов, не затхлый, не плесневый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Белый или белый с кремовым оттенком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мешки или иной вид упаковки, предназначенный и соответствующий стандартам для данной продукции.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Мясо птицы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highlight w:val="yellow"/>
              </w:rPr>
              <w:t xml:space="preserve">(</w:t>
            </w:r>
            <w:r>
              <w:rPr>
                <w:rFonts w:ascii="Times New Roman" w:hAnsi="Times New Roman" w:cs="Times New Roman"/>
                <w:highlight w:val="yellow"/>
              </w:rPr>
              <w:t xml:space="preserve">четвертина</w:t>
            </w:r>
            <w:r>
              <w:rPr>
                <w:rFonts w:ascii="Times New Roman" w:hAnsi="Times New Roman" w:cs="Times New Roman"/>
                <w:highlight w:val="yellow"/>
              </w:rPr>
              <w:t xml:space="preserve">)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31962-2013 «Мясо кур (Тушки кур, цыплят, цыплят-бройлеров и их части). Технические условия»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Категория: не ниже 1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Термическое состояние: </w:t>
            </w:r>
            <w:r>
              <w:rPr>
                <w:rFonts w:ascii="Times New Roman" w:hAnsi="Times New Roman" w:cs="Times New Roman"/>
                <w:highlight w:val="yellow"/>
              </w:rPr>
              <w:t xml:space="preserve">охлажденное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Тушки и их части должны соответствовать следующим минимальным требованиям: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быть хорошо обескровленными, чистыми;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иметь: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посторонних включений (например, стекла, резины, металла);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посторонних запахов;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фекальных загрязнений;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видимых кровяных сгустков;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остатков кишечника и клоаки, трахеи, пищевода, зрелых репродуктивных органов;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холодильных ожогов, пятен от разлитой желчи.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Упитанность: Мышцы развиты хорошо.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Свойственный свежему мясу данного вида птицы.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мышечной ткани: от бледно-розового до розового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кожи: бедно-желтый с розовым оттенком или без него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подкожного и внутреннего жира: бледно-желтый или желтый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сертификата соответствия на продукцию и ветеринарное свидетельство обязательно.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Продукты не должны содержать генно-инженерно-модифицированные организмы (ГМО), антибиотики и гормоны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продукции, с указанием конечного срока реализации.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yellow"/>
              </w:rPr>
              <w:t xml:space="preserve">Фасовка: 10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648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Огурцы консер</w:t>
            </w:r>
            <w:r>
              <w:rPr>
                <w:rFonts w:ascii="Times New Roman" w:hAnsi="Times New Roman" w:cs="Times New Roman"/>
              </w:rPr>
              <w:t xml:space="preserve">вированные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31713-2012 «Консервы. Огурцы, кабачки, патиссоны с зеленью в заливке. Технические условия» и/или ТУ производителя (изготовителя)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 лимонной кислоте, без уксуса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вид: целые, однородные по размеру и конфигурации, без плодоножек и остатков цветков, здоровые, чистые, не сморщенные, не мятые, без механических повреждений.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Плоды целые, размером: не более 90 мм.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Отношение длины к диаметру: не менее 2,5 мм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 и запах: слабокислый, свойственный консервированным овощам данного вида, умеренно соленый с ароматом пряностей.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Допускается легкая естественная горечь перца.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допускаются посторонние привкус и запах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однородный для овощей одного вида, близкий к типичному для данного ботанического сорта, без пятен, прозелени и ожогов, с оттенками от зеленого до оливкового.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Консистенция: овощи плотные, упругие с хрустящей мякотью, без пустот, с недоразвитыми семенами.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Качество заливки: прозрачная, бесцветная или с характерным для определенного вида консервов оттенком, без уксуса.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Минеральные примеси: не допускаются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герметично укупориваемая потребительская, соответствующая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Фасовка: </w:t>
            </w:r>
            <w:r>
              <w:rPr>
                <w:rFonts w:ascii="Times New Roman" w:hAnsi="Times New Roman" w:cs="Times New Roman"/>
              </w:rPr>
              <w:t xml:space="preserve">720 </w:t>
            </w:r>
            <w:r>
              <w:rPr>
                <w:rFonts w:ascii="Times New Roman" w:hAnsi="Times New Roman" w:cs="Times New Roman"/>
              </w:rPr>
              <w:t xml:space="preserve">гр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шт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41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печенье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24901-2023 Печенье. Общие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Мучное кондитерское изделие. Весовое, в ассортименте.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 и запах: выраженные, свойственные вкусу и запаху компонентов, входящих в рецептуру печенья, без посторонних привкуса и запаха.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Форма: плоская, без вмятин, вздутий и повреждений края.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равномерный, от светло-соломенного до темно-корич</w:t>
            </w:r>
            <w:r>
              <w:rPr>
                <w:rFonts w:ascii="Times New Roman" w:hAnsi="Times New Roman" w:cs="Times New Roman"/>
              </w:rPr>
              <w:t xml:space="preserve">невого с учетом используемого сырья. Допускается более темная окраска выступающих частей рельефного рисунка, краев печенья, нижней стороны и следов от сетки пода печей. Общий тон окраски отдельных изделий должен быть одинаковым в каждой упаковочной единице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в изломе: пропеченное печенье с равномерной пористой структурой, без пустот и следов </w:t>
            </w:r>
            <w:r>
              <w:rPr>
                <w:rFonts w:ascii="Times New Roman" w:hAnsi="Times New Roman" w:cs="Times New Roman"/>
              </w:rPr>
              <w:t xml:space="preserve">непромеса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5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108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24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минтай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32366-2013 «Рыба мороженая. Технические условия»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Вид: потрошенная без головы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Сорт-не ниже 1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Термическое состояние: замороженная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вид</w:t>
            </w:r>
            <w:r>
              <w:rPr>
                <w:rFonts w:ascii="Times New Roman" w:hAnsi="Times New Roman" w:cs="Times New Roman"/>
              </w:rPr>
              <w:tab/>
              <w:t xml:space="preserve">Рыба в твердом состоянии, без кристаллов льда, непобитая, с неповрежденной кожей, естественной окраски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Консистенция</w:t>
            </w:r>
            <w:r>
              <w:rPr>
                <w:rFonts w:ascii="Times New Roman" w:hAnsi="Times New Roman" w:cs="Times New Roman"/>
              </w:rPr>
              <w:tab/>
              <w:t xml:space="preserve">Плотная или мягкая, свойственная данному виду рыбы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Вкус-Свойственный данному виду рыбы, без постороннего привкуса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 после размораживания</w:t>
            </w:r>
            <w:r>
              <w:rPr>
                <w:rFonts w:ascii="Times New Roman" w:hAnsi="Times New Roman" w:cs="Times New Roman"/>
              </w:rPr>
              <w:tab/>
              <w:t xml:space="preserve">Свойственный свежей рыбе данного вида, без посторонних запахов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допускается-Наличие посторонних примесей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Продукт не должен содержать</w:t>
            </w:r>
            <w:r>
              <w:rPr>
                <w:rFonts w:ascii="Times New Roman" w:hAnsi="Times New Roman" w:cs="Times New Roman"/>
              </w:rPr>
              <w:tab/>
              <w:t xml:space="preserve">Генно-инженерно-модифицированные организмы (ГМО), антибиотики и гормоны, гельминтов и их личинок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продукции.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66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25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сахар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Соответствует требованиям ГОСТ 33222-2015 Сахар белый. Технические условия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Цвет: белый с желтоватым оттенком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Крупинки: мелкие, однородные, без посторонних примесей, без излишней влажности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Запах и вкус: Свойственный сахару, сладкий, без посторонних запаха и привкуса как в сухом сахаре, так и в его водном растворе.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Упаковка: предназначенная и соответствующая стандартам для данного вида продукции.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Вес упаковки 10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192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26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Сок 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32104-2013 «Консервы. Продукция соковая. Нектары фруктовые и фруктово-овощные. Общие технические условия» и/или ТУ производителя (изготовителя)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овощной, фруктовый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вид: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нектаров: Естественно мутная жидкость, прозрачность необязательна.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Допускаются: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осадок на дне упаковки;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наличие цветного маслянистого кольца на поверхности нектаров и (или) наличие темного кольца - для нектаров из темноокрашенных фруктов;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для нектаров из цитрусовых и тропических фруктов наличие частиц мякоти указанных фруктов (за исключением цедры и альбедо), клетки цитрусовых фруктов;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наличие камедистых (твердых) частиц мякоти в нектарах из груш и айвы.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нектаров осветленных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Прозрачная жидкость, допускается легкая опалесценция.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допускается в виноградном нектаре и </w:t>
            </w:r>
            <w:r>
              <w:rPr>
                <w:rFonts w:ascii="Times New Roman" w:hAnsi="Times New Roman" w:cs="Times New Roman"/>
              </w:rPr>
              <w:t xml:space="preserve">купажированных</w:t>
            </w:r>
            <w:r>
              <w:rPr>
                <w:rFonts w:ascii="Times New Roman" w:hAnsi="Times New Roman" w:cs="Times New Roman"/>
              </w:rPr>
              <w:t xml:space="preserve"> нектарах, содержащих виноградный сок, наличие кристаллов винного камня.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нектаров с мякотью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гомогенизированных - однородная жидкость с равномерно распределенной тонкоизмельченной фруктовой (овощной) мякотью соответствующих фруктов (овощей).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Допускаются: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незначительное расслаивание;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наличие осадка частиц мякоти использованных фруктов (овощей) на дне упаковки (за исключением цедры и альбедо) для нектаров, кроме гомогенизированных;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единичные точечные вкрапления кожицы темного цвета - для нектаров из темноокрашенных фруктов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 и аромат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Хорошо выраженные, свойственные использованным фруктовым (овощным) сокам или пюре (или их смеси)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Допускаются: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для нектаров из дикорастущих ягод - естественная горечь;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для нектаров из цитрусовых фруктов - естественная горечь и привкус эфирных масел.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обогащенных нектаров допускается привкус и запах вносимых биологически активных веществ.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допускаются посторонние привкус и запах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Однородный по всей массе, свойственный цвету использованных фруктовых (овощных) соков и/или пюре, из которых изготовлены нектары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Фасовка: </w:t>
            </w:r>
            <w:r>
              <w:rPr>
                <w:rFonts w:ascii="Times New Roman" w:hAnsi="Times New Roman" w:cs="Times New Roman"/>
              </w:rPr>
              <w:t xml:space="preserve">0,2 л, трубочка -наличие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4410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27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Соль</w:t>
            </w:r>
            <w:r>
              <w:rPr>
                <w:rFonts w:ascii="Times New Roman" w:hAnsi="Times New Roman" w:cs="Times New Roman"/>
              </w:rPr>
              <w:t xml:space="preserve"> йодированная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Р 51575-2000 «Соль поваренная пищевая. Методы определения Йода и тиосульфата натрия» и/или ГОСТ Р 51574-2018 «Соль пищевая. Общие технические условия»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вид: кристаллический сыпучий продукт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допускается наличие посторонних механических примесей, не связанных с происхождением и способом производства соли – соответствие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Вкус: соленый, без постороннего привкуса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белый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Запах: слабовыраженный запах йода, без посторонних запахов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</w:t>
            </w: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  <w:t xml:space="preserve">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28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Томатная паста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3343-2017 «Продукты томатные концентрированные. Общие технические условия»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вид и консистенция: густая однородная концентрированная масса мажущейся консистенции, без темных </w:t>
            </w:r>
            <w:r>
              <w:rPr>
                <w:rFonts w:ascii="Times New Roman" w:hAnsi="Times New Roman" w:cs="Times New Roman"/>
              </w:rPr>
              <w:t xml:space="preserve">включений, остатков кожицы, семян и других грубых частиц плодов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Допускаются единичные включения семян и частиц кожицы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красный, оранжево-красный или малиново-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красный, ярко выраженный, равномерный по всей массе. Допускается буроватый или коричневатый оттенок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Массовая доля растворимых сухих веществ (за вычетом хлоридов): не менее 25 %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Массовая доля хлоридов: не более 1 %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Фасовка: </w:t>
            </w:r>
            <w:r>
              <w:rPr>
                <w:rFonts w:ascii="Times New Roman" w:hAnsi="Times New Roman" w:cs="Times New Roman"/>
              </w:rPr>
              <w:t xml:space="preserve">0,5</w:t>
            </w:r>
            <w:r>
              <w:rPr>
                <w:rFonts w:ascii="Times New Roman" w:hAnsi="Times New Roman" w:cs="Times New Roman"/>
              </w:rPr>
              <w:t xml:space="preserve">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28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29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чай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Соответствует требованиям ГОСТ 32573-2013 Чай чёрный. Технические условия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Фасованный черный байховый чай листовой высшего сорта.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Вкус и аромат: нежный аромат, приятный с терпкостью вкус.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Настой: яркий, прозрачный, «средний».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 разваренного листа: однородный, коричнево-красный.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вид чая (уборка) листового: ровный, однородный, хорошо скрученный.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в картонных пачках или иной вид упаковки, предназначенный и соответствующий стандартам для данной продукции.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 упаковки: не менее 0,1 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6,5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021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Шоколад 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Соответствует требованиям ГОСТ Р 70337-2022 Шоколад. Общие технические условия и/или ТУ производителя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Внешний вид: Лицевая поверхность с рисунком или без него, блестящая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Вкус и запах: Свойственные для конкретного вида шоколада с учетом используемых компонентов (пищевых ингредиентов), без постороннего привкуса и запаха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Форма: в соответствии с рецептурой и (или) другими документами изготовителя, без деформации для всех видов шоколада, кроме весового и шоколада в порошке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Консистенция: твердая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Текстура (структура): для шоколада без начинки и шоколада без добавлений- однородная.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У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паковка –предназначенная и соответствующая стандартам для данной продук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ции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Вес упаковки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0,025 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  <w:t xml:space="preserve">гр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шт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174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"/>
        </w:trPr>
        <w:tc>
          <w:tcPr>
            <w:tcW w:w="5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Яйцо столовое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ru-RU" w:eastAsia="ru-RU"/>
              </w:rPr>
              <w:t xml:space="preserve"> Соответствие ГОСТ 31654-2012 «Яйца куриные пищевые. Технические усло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вия»;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Вид: столовые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Категория: не ниже 1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Скорлупа яиц должна быть чистой, без пятен крови и помета, и неповрежденной – соответствие 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Содержимое яиц не должно иметь посторонних запахов (гнилости, тухлости, затхлости и др.) – соответствие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сертификата соответствия на продукцию и ветеринарное свидетельство обязательно.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Продукты не должны содержать генно-инженерно-модифицированные организмы (ГМО), антибиотики и гормоны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Упаковка: предназначенная и соответствующая стандартам для данной продукции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Фасовка 30 </w:t>
            </w:r>
            <w:r>
              <w:rPr>
                <w:rFonts w:ascii="Times New Roman" w:hAnsi="Times New Roman" w:cs="Times New Roman"/>
              </w:rPr>
              <w:t xml:space="preserve">шт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шт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1200</w:t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b/>
          <w:highlight w:val="yellow"/>
        </w:rPr>
        <w:t xml:space="preserve">2. Место поставки товара:</w:t>
      </w:r>
      <w:r>
        <w:rPr>
          <w:rFonts w:ascii="Times New Roman" w:hAnsi="Times New Roman" w:cs="Times New Roman"/>
          <w:highlight w:val="yellow"/>
        </w:rPr>
        <w:t xml:space="preserve"> 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453700, Республика Башкортостан, Учалинский район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с. Ахуново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Детский оздоровительный лагерь "Радуга"(в 3 км от села Ахуново)</w:t>
      </w:r>
      <w:r>
        <w:rPr>
          <w:rFonts w:ascii="Times New Roman" w:hAnsi="Times New Roman" w:eastAsia="Times New Roman" w:cs="Times New Roman"/>
          <w:color w:val="00000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</w:pPr>
      <w:r>
        <w:rPr>
          <w:rFonts w:ascii="Times New Roman" w:hAnsi="Times New Roman" w:eastAsia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b/>
          <w:highlight w:val="yellow"/>
        </w:rPr>
        <w:t xml:space="preserve">3. Срок поставки товара:</w:t>
      </w:r>
      <w:r>
        <w:rPr>
          <w:rFonts w:ascii="Times New Roman" w:hAnsi="Times New Roman" w:cs="Times New Roman"/>
          <w:highlight w:val="yellow"/>
        </w:rPr>
        <w:t xml:space="preserve"> 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с момента заключения по 15.08.2026г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. Поставка товара, осуществляется</w:t>
      </w:r>
      <w:r>
        <w:rPr>
          <w:rFonts w:ascii="Times New Roman" w:hAnsi="Times New Roman" w:eastAsia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Поставщиком партиями на основании заявки Заказчика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 в течение 5 рабочих дней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</w:pP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1 заезд- 07.06.2026-27.06.2026 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</w:pP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2 заезд - 01.07.2026-21.07.2026 </w:t>
      </w: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highlight w:val="yellow"/>
          <w:lang w:eastAsia="ru-RU"/>
        </w:rPr>
        <w:t xml:space="preserve">3 заезд- 26.07.2026-15.08.2026</w:t>
      </w:r>
      <w:r>
        <w:rPr>
          <w:rFonts w:ascii="Times New Roman" w:hAnsi="Times New Roman" w:eastAsia="Times New Roman" w:cs="Times New Roman"/>
          <w:color w:val="00000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eastAsia="ru-RU"/>
        </w:rPr>
        <w:t xml:space="preserve">3.1. </w:t>
      </w:r>
      <w:r>
        <w:rPr>
          <w:rFonts w:ascii="Times New Roman" w:hAnsi="Times New Roman" w:eastAsia="Times New Roman" w:cs="Times New Roman"/>
          <w:color w:val="000000"/>
          <w:lang w:eastAsia="ru-RU"/>
        </w:rPr>
        <w:t xml:space="preserve">Товары завозятся транспортом Поставщика. </w:t>
      </w:r>
      <w:r>
        <w:rPr>
          <w:rFonts w:ascii="Times New Roman" w:hAnsi="Times New Roman" w:eastAsia="Times New Roman" w:cs="Times New Roman"/>
          <w:color w:val="000000"/>
          <w:lang w:eastAsia="ru-RU"/>
        </w:rPr>
        <w:t xml:space="preserve">Доставка, погрузочно-разгрузочные работы производятся за счет Поставщика.</w:t>
      </w:r>
      <w:r>
        <w:rPr>
          <w:rFonts w:ascii="Times New Roman" w:hAnsi="Times New Roman" w:eastAsia="Times New Roman" w:cs="Times New Roman"/>
          <w:color w:val="00000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eastAsia="ar-SA"/>
        </w:rPr>
        <w:t xml:space="preserve">4. Требования к безопасности, качеству, к функциональным характеристикам (потребительским свойствам) товара, требования к упаковке поставляемого товара:</w:t>
      </w:r>
      <w:r>
        <w:rPr>
          <w:rFonts w:ascii="Times New Roman" w:hAnsi="Times New Roman" w:cs="Times New Roman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4.1. Качество и безопасность поставляемого товара должны соответствовать требованиям и нормам, установленным: 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- Федеральным законом от 02.01.2000 № 29-ФЗ «О качестве и безопасности пищевых продуктов»;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- </w:t>
      </w:r>
      <w:r>
        <w:rPr>
          <w:rFonts w:ascii="Times New Roman" w:hAnsi="Times New Roman" w:eastAsia="Times New Roman" w:cs="Times New Roman"/>
          <w:lang w:eastAsia="ru-RU"/>
        </w:rPr>
        <w:t xml:space="preserve">Федеральным закон от 30.03.1999 № 52-ФЗ «О санитарно-эпидемиологическом благополучии населения»;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- СанПиН 2.3.2.1324-03 «Гигиенические требования к срокам годности и условиям хранения пищевых продуктов»;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cs="Times New Roman"/>
          <w:lang w:eastAsia="ar-SA"/>
        </w:rPr>
        <w:t xml:space="preserve">- </w:t>
      </w:r>
      <w:r>
        <w:rPr>
          <w:rFonts w:ascii="Times New Roman" w:hAnsi="Times New Roman" w:eastAsia="Times New Roman" w:cs="Times New Roman"/>
          <w:lang w:eastAsia="ru-RU"/>
        </w:rPr>
        <w:t xml:space="preserve">СанПиН 2.3.2.1078-01 «Гигиенические требования к безопасности и пищевой ценности пищевых продуктов»;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- Техническими регламентами Таможенного союза, утвержденными решениями К</w:t>
      </w:r>
      <w:r>
        <w:rPr>
          <w:rFonts w:ascii="Times New Roman" w:hAnsi="Times New Roman" w:cs="Times New Roman"/>
          <w:lang w:eastAsia="ar-SA"/>
        </w:rPr>
        <w:t xml:space="preserve">омиссии таможенного союза, за исключением требований к отдельным видам продукции, процессам их производства, хранения, перевозки, реализации и утилизации, в отношении которых технические регламенты еще не вступили в силу на территории Российской Федерации: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- ТР ТС 021/2011 «О безопасности пищевой продукции»;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- ТР ТС 022/2011 «Пищевая продукция в части ее маркировки»;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- ТР ТС 005/2011 «О безопасности упаковки»;</w:t>
      </w:r>
      <w:r>
        <w:rPr>
          <w:rFonts w:ascii="Times New Roman" w:hAnsi="Times New Roman" w:cs="Times New Roman"/>
          <w:lang w:eastAsia="ar-SA"/>
        </w:rPr>
      </w:r>
    </w:p>
    <w:p>
      <w:pPr>
        <w:ind w:hanging="2"/>
        <w:jc w:val="both"/>
        <w:spacing w:after="0" w:line="240" w:lineRule="auto"/>
        <w:rPr>
          <w:rFonts w:ascii="Times New Roman" w:hAnsi="Times New Roman" w:cs="Times New Roman"/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cs="Times New Roman"/>
          <w:color w:val="000000"/>
        </w:rPr>
        <w:t xml:space="preserve">- ТР ТС 034/2013 «О безопасности мяса и мясной продукции»;</w:t>
      </w:r>
      <w:r>
        <w:rPr>
          <w:rFonts w:ascii="Times New Roman" w:hAnsi="Times New Roman" w:cs="Times New Roman"/>
          <w:color w:val="000000"/>
        </w:rPr>
      </w:r>
    </w:p>
    <w:p>
      <w:pPr>
        <w:spacing w:after="0"/>
        <w:widowControl w:val="o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ТР ЕАЭС 040/2016 «О безопасности рыбы и рыбной продукции»;</w:t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spacing w:after="0" w:line="240" w:lineRule="auto"/>
        <w:tabs>
          <w:tab w:val="left" w:pos="-426" w:leader="none"/>
          <w:tab w:val="left" w:pos="1750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ТР ТС 033/2013 «О безопасности молока и молочной продукции»;</w:t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eastAsia="ru-RU"/>
        </w:rPr>
        <w:t xml:space="preserve">ТР ТС 023/2011 «Технический регламент на соковую продукцию из фруктов и овощей»;</w:t>
      </w:r>
      <w:r>
        <w:rPr>
          <w:rFonts w:ascii="Times New Roman" w:hAnsi="Times New Roman" w:eastAsia="Times New Roman" w:cs="Times New Roman"/>
          <w:color w:val="00000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- Иными нормативными правовыми актами, нормативными и техническими документами, устанавливающими требования к качеству такого вида товаров.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4.2. Поставляемый товар должен быть расфасован и упакован в материалы, разрешенные для контакта с пищевыми продуктами, такими способами, которые позволяют обеспечить сохранность их качества и безопасность при хранении, транспортировке и реализации. </w:t>
      </w:r>
      <w:r>
        <w:rPr>
          <w:rFonts w:ascii="Times New Roman" w:hAnsi="Times New Roman" w:eastAsia="Times New Roman" w:cs="Times New Roman"/>
          <w:lang w:eastAsia="ru-RU"/>
        </w:rPr>
        <w:t xml:space="preserve">Транспортная упаковка товара обеспечивает сохранность товара при транспортировке, хранении и погрузочно-разгрузочных работах.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142" w:leader="none"/>
        </w:tabs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4.3. Каждая единица транспортной и потребительской тары (упаковки) должна содержать необходим</w:t>
      </w:r>
      <w:r>
        <w:rPr>
          <w:rFonts w:ascii="Times New Roman" w:hAnsi="Times New Roman" w:cs="Times New Roman"/>
          <w:lang w:eastAsia="ar-SA"/>
        </w:rPr>
        <w:t xml:space="preserve">ую маркировку. Маркировка должна соответствовать требованиям Национального стандарта РФ «Продукты пищевые. Информация для потребителя. Общие требования», технического регламента Таможенного союза "Пищевая продукция в части ее маркировки" (ТР ТС 022/2011). 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4.4. Качество и безопасность поставляемой продукции должно подтверждаться документами: сертификатами соответствия или декларациями о соответствии, а также иными документами, предусмотренными действующим законодательством Российской Федерации.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426" w:leader="none"/>
          <w:tab w:val="left" w:pos="1750" w:leader="none"/>
        </w:tabs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4.5. Ветеринарные сопроводительные документы на товар должны быть оформлены в соответствии с приказом от 13 декабря 2022 года № 862 Об утверждении Вет</w:t>
      </w:r>
      <w:r>
        <w:rPr>
          <w:rFonts w:ascii="Times New Roman" w:hAnsi="Times New Roman" w:cs="Times New Roman"/>
          <w:lang w:eastAsia="ar-SA"/>
        </w:rPr>
        <w:t xml:space="preserve">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носителях.</w:t>
      </w:r>
      <w:r>
        <w:rPr>
          <w:rFonts w:ascii="Times New Roman" w:hAnsi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b/>
          <w:lang w:eastAsia="ar-SA"/>
        </w:rPr>
      </w:pPr>
      <w:r>
        <w:rPr>
          <w:rFonts w:ascii="Times New Roman" w:hAnsi="Times New Roman" w:eastAsia="Times New Roman" w:cs="Times New Roman"/>
          <w:b/>
          <w:lang w:eastAsia="ar-SA"/>
        </w:rPr>
        <w:t xml:space="preserve">5. Требования к сроку и (или) объему предоставления гарантий качества товаров:</w:t>
      </w:r>
      <w:r>
        <w:rPr>
          <w:rFonts w:ascii="Times New Roman" w:hAnsi="Times New Roman" w:eastAsia="Times New Roman" w:cs="Times New Roman"/>
          <w:b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5.1. В случае, если при передаче или до начала использования товара выявиться его ненадлежащее качество, Заказчик вправе потребовать от Поставщика безвозмездного устранения недостатков товара или его замены в срок, установленный Заказчиком.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5.2. Наличие недостатков и сроки их устранения фиксируются Сторонами в двухстороннем акте выявленных недостатков.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5.3. Остаточный срок годности: не менее 80% от установленного производителем.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b/>
          <w:lang w:eastAsia="ar-SA"/>
        </w:rPr>
      </w:pPr>
      <w:r>
        <w:rPr>
          <w:rFonts w:ascii="Times New Roman" w:hAnsi="Times New Roman" w:eastAsia="Times New Roman" w:cs="Times New Roman"/>
          <w:b/>
          <w:lang w:eastAsia="ar-SA"/>
        </w:rPr>
        <w:t xml:space="preserve">6. Требования к условиям поставки товара, отгрузке товара:</w:t>
      </w:r>
      <w:r>
        <w:rPr>
          <w:rFonts w:ascii="Times New Roman" w:hAnsi="Times New Roman" w:eastAsia="Times New Roman" w:cs="Times New Roman"/>
          <w:b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6.1. Поставка осуществляется по заявке, в которой указывается количество товара. Заявки направляются по почте, факсу, телефонограммой либо другим приемлемым для обеих сторон способом (телефонная связь).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6.2. Право собственности на товар переходит к Заказчику с момента доставки товара Заказчику и принятия его путем подписания товарно-транспортной накладной или УПД.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6.3. При приеме товара Заказчик проверяет его соответствие сведениям, указанным в счете-фактуре и других сопроводительных документах по наименованию, количеству и качеству.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6.4. Товар должен сопровождаться следующими документами: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– товарная накладная (ТОРГ-12) или УПД (оригиналы);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– счет на оплату (оригиналы);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– счет-фактура или УПД (оригиналы);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– копия сертификата соответствия или декларации соответствия.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jc w:val="both"/>
        <w:spacing w:after="0" w:line="240" w:lineRule="auto"/>
        <w:tabs>
          <w:tab w:val="left" w:pos="-851" w:leader="none"/>
        </w:tabs>
        <w:rPr>
          <w:rFonts w:ascii="Times New Roman" w:hAnsi="Times New Roman" w:eastAsia="Times New Roman" w:cs="Times New Roman"/>
          <w:lang w:eastAsia="ar-SA"/>
        </w:rPr>
      </w:pPr>
      <w:r>
        <w:rPr>
          <w:rFonts w:ascii="Times New Roman" w:hAnsi="Times New Roman" w:eastAsia="Times New Roman" w:cs="Times New Roman"/>
          <w:lang w:eastAsia="ar-SA"/>
        </w:rPr>
        <w:t xml:space="preserve">6.5. По окончании поставки товара в полном объеме на основании товарно-транспортных накладных Поставщик и Заказчик подписывают акт сверки.</w:t>
      </w:r>
      <w:r>
        <w:rPr>
          <w:rFonts w:ascii="Times New Roman" w:hAnsi="Times New Roman" w:eastAsia="Times New Roman" w:cs="Times New Roman"/>
          <w:lang w:eastAsia="ar-SA"/>
        </w:rPr>
      </w:r>
    </w:p>
    <w:p>
      <w:pPr>
        <w:pStyle w:val="761"/>
        <w:jc w:val="both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sectPr>
      <w:footerReference w:type="default" r:id="rId9"/>
      <w:footnotePr/>
      <w:endnotePr/>
      <w:type w:val="nextPage"/>
      <w:pgSz w:w="11906" w:h="16838" w:orient="portrait"/>
      <w:pgMar w:top="993" w:right="850" w:bottom="1134" w:left="1134" w:header="737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panose1 w:val="020B0502040504020204"/>
  </w:font>
  <w:font w:name="Symbol">
    <w:panose1 w:val="05010000000000000000"/>
  </w:font>
  <w:font w:name="Courier New">
    <w:panose1 w:val="02070309020205020404"/>
  </w:font>
  <w:font w:name="Arial">
    <w:panose1 w:val="020B0604020202020204"/>
  </w:font>
  <w:font w:name="Tahoma">
    <w:panose1 w:val="020B0604030504040204"/>
  </w:font>
  <w:font w:name="Cambria">
    <w:panose1 w:val="02040803050406030204"/>
  </w:font>
  <w:font w:name="Wingdings">
    <w:panose1 w:val="05010000000000000000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3"/>
    </w:pPr>
    <w:r/>
    <w:r/>
  </w:p>
  <w:p>
    <w:pPr>
      <w:pStyle w:val="72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/>
      </w:pPr>
      <w:r>
        <w:separator/>
      </w:r>
      <w:r/>
    </w:p>
  </w:footnote>
  <w:footnote w:type="continuationSeparator" w:id="0">
    <w:p>
      <w:pPr>
        <w:spacing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b w:val="0"/>
        <w:color w:val="auto"/>
        <w:sz w:val="20"/>
        <w:szCs w:val="20"/>
        <w:u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5">
    <w:multiLevelType w:val="hybridMultilevel"/>
    <w:lvl w:ilvl="0">
      <w:start w:val="1"/>
      <w:numFmt w:val="decimal"/>
      <w:pStyle w:val="741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742"/>
      <w:isLgl w:val="false"/>
      <w:suff w:val="space"/>
      <w:lvlText w:val="%2."/>
      <w:lvlJc w:val="left"/>
      <w:pPr>
        <w:ind w:left="1440" w:hanging="360"/>
      </w:pPr>
      <w:rPr>
        <w:rFonts w:ascii="Times New Roman" w:hAnsi="Times New Roman" w:eastAsia="Times New Roman"/>
      </w:rPr>
    </w:lvl>
    <w:lvl w:ilvl="2">
      <w:start w:val="1"/>
      <w:numFmt w:val="decimal"/>
      <w:pStyle w:val="743"/>
      <w:isLgl w:val="false"/>
      <w:suff w:val="space"/>
      <w:lvlText w:val="%1.%2.%3"/>
      <w:lvlJc w:val="right"/>
      <w:pPr>
        <w:ind w:left="2160" w:hanging="180"/>
      </w:pPr>
      <w:rPr>
        <w:rFonts w:hint="default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20"/>
        <w:szCs w:val="20"/>
        <w:u w:val="none"/>
        <w:vertAlign w:val="baseline"/>
      </w:rPr>
    </w:lvl>
    <w:lvl w:ilvl="3">
      <w:start w:val="1"/>
      <w:numFmt w:val="decimal"/>
      <w:pStyle w:val="744"/>
      <w:isLgl w:val="false"/>
      <w:suff w:val="space"/>
      <w:lvlText w:val="%1.%2.%3.%4"/>
      <w:lvlJc w:val="left"/>
      <w:pPr>
        <w:ind w:left="2880" w:hanging="360"/>
      </w:pPr>
      <w:rPr>
        <w:rFonts w:hint="default"/>
      </w:rPr>
    </w:lvl>
    <w:lvl w:ilvl="4">
      <w:start w:val="1"/>
      <w:numFmt w:val="russianLower"/>
      <w:pStyle w:val="745"/>
      <w:isLgl w:val="false"/>
      <w:suff w:val="space"/>
      <w:lvlText w:val="%5."/>
      <w:lvlJc w:val="left"/>
      <w:pPr>
        <w:ind w:left="2204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pStyle w:val="757"/>
      <w:isLgl w:val="false"/>
      <w:suff w:val="tab"/>
      <w:lvlText w:val="%1."/>
      <w:lvlJc w:val="center"/>
      <w:pPr>
        <w:tabs>
          <w:tab w:val="left" w:pos="0" w:leader="none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758"/>
      <w:isLgl w:val="false"/>
      <w:suff w:val="tab"/>
      <w:lvlText w:val="%1.%2"/>
      <w:lvlJc w:val="left"/>
      <w:pPr>
        <w:ind w:left="851" w:hanging="851"/>
        <w:tabs>
          <w:tab w:val="left" w:pos="851" w:leader="none"/>
        </w:tabs>
      </w:pPr>
      <w:rPr>
        <w:rFonts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sz w:val="24"/>
        <w:szCs w:val="24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759"/>
      <w:isLgl w:val="false"/>
      <w:suff w:val="tab"/>
      <w:lvlText w:val="%1.%2.%3"/>
      <w:lvlJc w:val="left"/>
      <w:pPr>
        <w:ind w:left="851" w:hanging="851"/>
        <w:tabs>
          <w:tab w:val="left" w:pos="851" w:leader="none"/>
        </w:tabs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760"/>
      <w:isLgl w:val="false"/>
      <w:suff w:val="tab"/>
      <w:lvlText w:val="%4)"/>
      <w:lvlJc w:val="left"/>
      <w:pPr>
        <w:ind w:left="1418" w:hanging="567"/>
        <w:tabs>
          <w:tab w:val="left" w:pos="1418" w:leader="none"/>
        </w:tabs>
      </w:pPr>
      <w:rPr>
        <w:rFonts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isLgl w:val="false"/>
      <w:suff w:val="tab"/>
      <w:lvlText w:val="%5)"/>
      <w:lvlJc w:val="left"/>
      <w:pPr>
        <w:ind w:left="1134" w:hanging="567"/>
        <w:tabs>
          <w:tab w:val="left" w:pos="1134" w:leader="none"/>
        </w:tabs>
      </w:pPr>
      <w:rPr>
        <w:rFonts w:hint="default"/>
      </w:rPr>
    </w:lvl>
    <w:lvl w:ilvl="5">
      <w:start w:val="1"/>
      <w:numFmt w:val="bullet"/>
      <w:isLgl w:val="false"/>
      <w:suff w:val="tab"/>
      <w:lvlText w:val=""/>
      <w:lvlJc w:val="left"/>
      <w:pPr>
        <w:ind w:left="1701" w:hanging="567"/>
        <w:tabs>
          <w:tab w:val="left" w:pos="1701" w:leader="none"/>
        </w:tabs>
      </w:pPr>
      <w:rPr>
        <w:rFonts w:hint="default" w:ascii="Symbol" w:hAnsi="Symbol" w:cs="Symbol"/>
      </w:rPr>
    </w:lvl>
    <w:lvl w:ilvl="6">
      <w:start w:val="1"/>
      <w:numFmt w:val="lowerLetter"/>
      <w:isLgl w:val="false"/>
      <w:suff w:val="tab"/>
      <w:lvlText w:val="%5%6%7)"/>
      <w:lvlJc w:val="left"/>
      <w:pPr>
        <w:ind w:left="2268" w:hanging="567"/>
        <w:tabs>
          <w:tab w:val="left" w:pos="2268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322" w:hanging="1224"/>
        <w:tabs>
          <w:tab w:val="left" w:pos="3978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898" w:hanging="1440"/>
        <w:tabs>
          <w:tab w:val="left" w:pos="4698" w:leader="none"/>
        </w:tabs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pStyle w:val="696"/>
      <w:isLgl w:val="false"/>
      <w:suff w:val="tab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pStyle w:val="728"/>
      <w:isLgl w:val="false"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7.6.6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Arial" w:cs="Times New Roman"/>
        <w:b w:val="0"/>
        <w:color w:val="auto"/>
        <w:sz w:val="20"/>
        <w:szCs w:val="20"/>
        <w:u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9"/>
  </w:num>
  <w:num w:numId="5">
    <w:abstractNumId w:val="0"/>
  </w:num>
  <w:num w:numId="6">
    <w:abstractNumId w:val="1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4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98"/>
    <w:link w:val="69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98"/>
    <w:link w:val="696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698"/>
    <w:link w:val="69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94"/>
    <w:next w:val="694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98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4"/>
    <w:next w:val="694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98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4"/>
    <w:next w:val="694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98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4"/>
    <w:next w:val="694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98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4"/>
    <w:next w:val="694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98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4"/>
    <w:next w:val="694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98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698"/>
    <w:link w:val="721"/>
    <w:uiPriority w:val="10"/>
    <w:rPr>
      <w:sz w:val="48"/>
      <w:szCs w:val="48"/>
    </w:rPr>
  </w:style>
  <w:style w:type="character" w:styleId="38">
    <w:name w:val="Subtitle Char"/>
    <w:basedOn w:val="698"/>
    <w:link w:val="728"/>
    <w:uiPriority w:val="11"/>
    <w:rPr>
      <w:sz w:val="24"/>
      <w:szCs w:val="24"/>
    </w:rPr>
  </w:style>
  <w:style w:type="paragraph" w:styleId="39">
    <w:name w:val="Quote"/>
    <w:basedOn w:val="694"/>
    <w:next w:val="694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4"/>
    <w:next w:val="694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98"/>
    <w:link w:val="715"/>
    <w:uiPriority w:val="99"/>
  </w:style>
  <w:style w:type="character" w:styleId="46">
    <w:name w:val="Footer Char"/>
    <w:basedOn w:val="698"/>
    <w:link w:val="723"/>
    <w:uiPriority w:val="99"/>
  </w:style>
  <w:style w:type="paragraph" w:styleId="47">
    <w:name w:val="Caption"/>
    <w:basedOn w:val="694"/>
    <w:next w:val="694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98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6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713"/>
    <w:uiPriority w:val="99"/>
    <w:rPr>
      <w:sz w:val="18"/>
    </w:rPr>
  </w:style>
  <w:style w:type="paragraph" w:styleId="179">
    <w:name w:val="endnote text"/>
    <w:basedOn w:val="694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98"/>
    <w:uiPriority w:val="99"/>
    <w:semiHidden/>
    <w:unhideWhenUsed/>
    <w:rPr>
      <w:vertAlign w:val="superscript"/>
    </w:rPr>
  </w:style>
  <w:style w:type="paragraph" w:styleId="182">
    <w:name w:val="toc 1"/>
    <w:basedOn w:val="694"/>
    <w:next w:val="694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94"/>
    <w:next w:val="694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94"/>
    <w:next w:val="694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94"/>
    <w:next w:val="694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94"/>
    <w:next w:val="694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94"/>
    <w:next w:val="694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94"/>
    <w:next w:val="694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94"/>
    <w:next w:val="694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94"/>
    <w:next w:val="694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4"/>
    <w:next w:val="694"/>
    <w:uiPriority w:val="99"/>
    <w:unhideWhenUsed/>
    <w:pPr>
      <w:spacing w:after="0" w:afterAutospacing="0"/>
    </w:pPr>
  </w:style>
  <w:style w:type="paragraph" w:styleId="694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95">
    <w:name w:val="Heading 1"/>
    <w:basedOn w:val="694"/>
    <w:next w:val="694"/>
    <w:link w:val="701"/>
    <w:uiPriority w:val="99"/>
    <w:qFormat/>
    <w:pPr>
      <w:keepNext/>
      <w:spacing w:before="240" w:after="60"/>
      <w:outlineLvl w:val="0"/>
    </w:pPr>
    <w:rPr>
      <w:rFonts w:ascii="Cambria" w:hAnsi="Cambria" w:eastAsia="Times New Roman" w:cs="Cambria"/>
      <w:b/>
      <w:bCs/>
      <w:sz w:val="32"/>
      <w:szCs w:val="32"/>
    </w:rPr>
  </w:style>
  <w:style w:type="paragraph" w:styleId="696">
    <w:name w:val="Heading 2"/>
    <w:basedOn w:val="694"/>
    <w:next w:val="694"/>
    <w:link w:val="702"/>
    <w:uiPriority w:val="99"/>
    <w:qFormat/>
    <w:pPr>
      <w:numPr>
        <w:ilvl w:val="1"/>
        <w:numId w:val="1"/>
      </w:numPr>
      <w:jc w:val="center"/>
      <w:keepNext/>
      <w:spacing w:before="240" w:after="60"/>
      <w:outlineLvl w:val="1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697">
    <w:name w:val="Heading 3"/>
    <w:basedOn w:val="694"/>
    <w:next w:val="694"/>
    <w:link w:val="703"/>
    <w:uiPriority w:val="9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Заголовок 1 Знак"/>
    <w:link w:val="695"/>
    <w:uiPriority w:val="99"/>
    <w:rPr>
      <w:rFonts w:ascii="Cambria" w:hAnsi="Cambria" w:cs="Cambria"/>
      <w:b/>
      <w:bCs/>
      <w:sz w:val="32"/>
      <w:szCs w:val="32"/>
    </w:rPr>
  </w:style>
  <w:style w:type="character" w:styleId="702" w:customStyle="1">
    <w:name w:val="Заголовок 2 Знак"/>
    <w:link w:val="696"/>
    <w:uiPriority w:val="99"/>
    <w:rPr>
      <w:rFonts w:ascii="Times New Roman" w:hAnsi="Times New Roman" w:eastAsia="Times New Roman"/>
      <w:b/>
      <w:bCs/>
      <w:sz w:val="28"/>
      <w:szCs w:val="28"/>
      <w:lang w:eastAsia="en-US"/>
    </w:rPr>
  </w:style>
  <w:style w:type="character" w:styleId="703" w:customStyle="1">
    <w:name w:val="Заголовок 3 Знак"/>
    <w:link w:val="697"/>
    <w:uiPriority w:val="99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704">
    <w:name w:val="FollowedHyperlink"/>
    <w:uiPriority w:val="99"/>
    <w:semiHidden/>
    <w:rPr>
      <w:color w:val="800080"/>
      <w:u w:val="single"/>
    </w:rPr>
  </w:style>
  <w:style w:type="character" w:styleId="705">
    <w:name w:val="footnote reference"/>
    <w:uiPriority w:val="99"/>
    <w:semiHidden/>
    <w:rPr>
      <w:rFonts w:ascii="Times New Roman" w:hAnsi="Times New Roman" w:cs="Times New Roman"/>
      <w:vertAlign w:val="superscript"/>
    </w:rPr>
  </w:style>
  <w:style w:type="character" w:styleId="706">
    <w:name w:val="Hyperlink"/>
    <w:uiPriority w:val="99"/>
    <w:rPr>
      <w:color w:val="0000ff"/>
      <w:u w:val="single"/>
    </w:rPr>
  </w:style>
  <w:style w:type="paragraph" w:styleId="707">
    <w:name w:val="Balloon Text"/>
    <w:basedOn w:val="694"/>
    <w:link w:val="70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708" w:customStyle="1">
    <w:name w:val="Текст выноски Знак"/>
    <w:link w:val="707"/>
    <w:uiPriority w:val="99"/>
    <w:semiHidden/>
    <w:rPr>
      <w:rFonts w:ascii="Tahoma" w:hAnsi="Tahoma" w:cs="Tahoma"/>
      <w:sz w:val="16"/>
      <w:szCs w:val="16"/>
    </w:rPr>
  </w:style>
  <w:style w:type="paragraph" w:styleId="709">
    <w:name w:val="Body Text 2"/>
    <w:basedOn w:val="694"/>
    <w:link w:val="710"/>
    <w:uiPriority w:val="99"/>
    <w:pPr>
      <w:spacing w:after="120" w:line="480" w:lineRule="auto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710" w:customStyle="1">
    <w:name w:val="Основной текст 2 Знак"/>
    <w:link w:val="709"/>
    <w:uiPriority w:val="99"/>
    <w:rPr>
      <w:rFonts w:ascii="Times New Roman" w:hAnsi="Times New Roman" w:cs="Times New Roman"/>
      <w:sz w:val="28"/>
      <w:szCs w:val="28"/>
      <w:lang w:eastAsia="ru-RU"/>
    </w:rPr>
  </w:style>
  <w:style w:type="paragraph" w:styleId="711">
    <w:name w:val="Body Text Indent 3"/>
    <w:basedOn w:val="694"/>
    <w:link w:val="712"/>
    <w:uiPriority w:val="99"/>
    <w:semiHidden/>
    <w:pPr>
      <w:ind w:left="283"/>
      <w:spacing w:after="120"/>
    </w:pPr>
    <w:rPr>
      <w:sz w:val="16"/>
      <w:szCs w:val="16"/>
    </w:rPr>
  </w:style>
  <w:style w:type="character" w:styleId="712" w:customStyle="1">
    <w:name w:val="Основной текст с отступом 3 Знак"/>
    <w:link w:val="711"/>
    <w:uiPriority w:val="99"/>
    <w:semiHidden/>
    <w:rPr>
      <w:rFonts w:ascii="Calibri" w:hAnsi="Calibri" w:cs="Calibri"/>
      <w:sz w:val="16"/>
      <w:szCs w:val="16"/>
    </w:rPr>
  </w:style>
  <w:style w:type="paragraph" w:styleId="713">
    <w:name w:val="footnote text"/>
    <w:basedOn w:val="694"/>
    <w:link w:val="714"/>
    <w:uiPriority w:val="99"/>
    <w:semiHidden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714" w:customStyle="1">
    <w:name w:val="Текст сноски Знак"/>
    <w:link w:val="713"/>
    <w:uiPriority w:val="99"/>
    <w:semiHidden/>
    <w:rPr>
      <w:rFonts w:ascii="Times New Roman" w:hAnsi="Times New Roman" w:cs="Times New Roman"/>
      <w:sz w:val="20"/>
      <w:szCs w:val="20"/>
      <w:lang w:eastAsia="ru-RU"/>
    </w:rPr>
  </w:style>
  <w:style w:type="paragraph" w:styleId="715">
    <w:name w:val="Header"/>
    <w:basedOn w:val="694"/>
    <w:link w:val="716"/>
    <w:uiPriority w:val="99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6" w:customStyle="1">
    <w:name w:val="Верхний колонтитул Знак"/>
    <w:basedOn w:val="698"/>
    <w:link w:val="715"/>
    <w:uiPriority w:val="99"/>
  </w:style>
  <w:style w:type="paragraph" w:styleId="717">
    <w:name w:val="Body Text"/>
    <w:basedOn w:val="694"/>
    <w:link w:val="718"/>
    <w:uiPriority w:val="99"/>
    <w:semiHidden/>
    <w:pPr>
      <w:spacing w:after="120"/>
    </w:pPr>
  </w:style>
  <w:style w:type="character" w:styleId="718" w:customStyle="1">
    <w:name w:val="Основной текст Знак"/>
    <w:link w:val="717"/>
    <w:uiPriority w:val="99"/>
    <w:semiHidden/>
    <w:rPr>
      <w:rFonts w:ascii="Calibri" w:hAnsi="Calibri" w:cs="Calibri"/>
    </w:rPr>
  </w:style>
  <w:style w:type="paragraph" w:styleId="719">
    <w:name w:val="Body Text Indent"/>
    <w:basedOn w:val="694"/>
    <w:link w:val="720"/>
    <w:uiPriority w:val="99"/>
    <w:pPr>
      <w:ind w:left="283"/>
      <w:spacing w:after="120"/>
    </w:pPr>
  </w:style>
  <w:style w:type="character" w:styleId="720" w:customStyle="1">
    <w:name w:val="Основной текст с отступом Знак"/>
    <w:link w:val="719"/>
    <w:uiPriority w:val="99"/>
    <w:rPr>
      <w:rFonts w:ascii="Calibri" w:hAnsi="Calibri" w:cs="Calibri"/>
    </w:rPr>
  </w:style>
  <w:style w:type="paragraph" w:styleId="721">
    <w:name w:val="Title"/>
    <w:basedOn w:val="694"/>
    <w:link w:val="722"/>
    <w:uiPriority w:val="99"/>
    <w:qFormat/>
    <w:pPr>
      <w:jc w:val="center"/>
      <w:spacing w:before="240" w:after="60" w:line="240" w:lineRule="auto"/>
      <w:outlineLvl w:val="0"/>
    </w:pPr>
    <w:rPr>
      <w:rFonts w:ascii="Arial" w:hAnsi="Arial" w:eastAsia="Times New Roman" w:cs="Arial"/>
      <w:b/>
      <w:bCs/>
      <w:sz w:val="32"/>
      <w:szCs w:val="32"/>
      <w:lang w:eastAsia="ru-RU"/>
    </w:rPr>
  </w:style>
  <w:style w:type="character" w:styleId="722" w:customStyle="1">
    <w:name w:val="Заголовок Знак1"/>
    <w:link w:val="721"/>
    <w:uiPriority w:val="99"/>
    <w:rPr>
      <w:rFonts w:ascii="Arial" w:hAnsi="Arial" w:cs="Arial"/>
      <w:b/>
      <w:bCs/>
      <w:sz w:val="20"/>
      <w:szCs w:val="20"/>
      <w:lang w:eastAsia="ru-RU"/>
    </w:rPr>
  </w:style>
  <w:style w:type="paragraph" w:styleId="723">
    <w:name w:val="Footer"/>
    <w:basedOn w:val="694"/>
    <w:link w:val="724"/>
    <w:uiPriority w:val="99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24" w:customStyle="1">
    <w:name w:val="Нижний колонтитул Знак"/>
    <w:basedOn w:val="698"/>
    <w:link w:val="723"/>
    <w:uiPriority w:val="99"/>
  </w:style>
  <w:style w:type="paragraph" w:styleId="725">
    <w:name w:val="Normal (Web)"/>
    <w:basedOn w:val="694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26">
    <w:name w:val="Body Text Indent 2"/>
    <w:basedOn w:val="694"/>
    <w:link w:val="727"/>
    <w:uiPriority w:val="99"/>
    <w:semiHidden/>
    <w:pPr>
      <w:ind w:left="283"/>
      <w:spacing w:after="120" w:line="480" w:lineRule="auto"/>
    </w:pPr>
  </w:style>
  <w:style w:type="character" w:styleId="727" w:customStyle="1">
    <w:name w:val="Основной текст с отступом 2 Знак"/>
    <w:link w:val="726"/>
    <w:uiPriority w:val="99"/>
    <w:semiHidden/>
    <w:rPr>
      <w:rFonts w:ascii="Calibri" w:hAnsi="Calibri" w:cs="Calibri"/>
    </w:rPr>
  </w:style>
  <w:style w:type="paragraph" w:styleId="728">
    <w:name w:val="Subtitle"/>
    <w:basedOn w:val="694"/>
    <w:next w:val="694"/>
    <w:link w:val="729"/>
    <w:uiPriority w:val="99"/>
    <w:qFormat/>
    <w:pPr>
      <w:numPr>
        <w:ilvl w:val="2"/>
        <w:numId w:val="1"/>
      </w:numPr>
      <w:jc w:val="center"/>
      <w:spacing w:after="6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en-US"/>
    </w:rPr>
  </w:style>
  <w:style w:type="character" w:styleId="729" w:customStyle="1">
    <w:name w:val="Подзаголовок Знак"/>
    <w:link w:val="728"/>
    <w:uiPriority w:val="99"/>
    <w:rPr>
      <w:rFonts w:ascii="Times New Roman" w:hAnsi="Times New Roman" w:eastAsia="Times New Roman"/>
      <w:b/>
      <w:bCs/>
      <w:sz w:val="24"/>
      <w:szCs w:val="24"/>
      <w:lang w:val="en-US" w:eastAsia="en-US"/>
    </w:rPr>
  </w:style>
  <w:style w:type="table" w:styleId="730">
    <w:name w:val="Table Grid"/>
    <w:basedOn w:val="699"/>
    <w:uiPriority w:val="99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31">
    <w:name w:val="List Paragraph"/>
    <w:basedOn w:val="694"/>
    <w:link w:val="755"/>
    <w:uiPriority w:val="34"/>
    <w:qFormat/>
    <w:pPr>
      <w:ind w:left="720"/>
    </w:pPr>
  </w:style>
  <w:style w:type="table" w:styleId="732" w:customStyle="1">
    <w:name w:val="Светлый список - Акцент 11"/>
    <w:uiPriority w:val="99"/>
    <w:rPr>
      <w:rFonts w:cs="Calibri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 w:customStyle="1">
    <w:name w:val="Светлая заливка - Акцент 11"/>
    <w:uiPriority w:val="99"/>
    <w:rPr>
      <w:rFonts w:cs="Calibri"/>
      <w:color w:val="365f91"/>
    </w:rPr>
    <w:tblPr>
      <w:tblBorders>
        <w:top w:val="single" w:color="4F81BD" w:sz="8" w:space="0"/>
        <w:bottom w:val="single" w:color="4F81BD" w:sz="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4">
    <w:name w:val="Light List Accent 2"/>
    <w:basedOn w:val="699"/>
    <w:uiPriority w:val="99"/>
    <w:rPr>
      <w:rFonts w:cs="Calibri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band1Horz"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/>
      </w:rPr>
      <w:pPr>
        <w:spacing w:before="0" w:after="0"/>
      </w:pPr>
      <w:tcPr>
        <w:shd w:val="clear" w:color="auto" w:fill="c0504d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/>
      </w:pPr>
      <w:tcPr>
        <w:tcBorders>
          <w:top w:val="sing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735" w:customStyle="1">
    <w:name w:val="Светлая сетка - Акцент 11"/>
    <w:uiPriority w:val="99"/>
    <w:rPr>
      <w:rFonts w:cs="Calibri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36" w:customStyle="1">
    <w:name w:val="Заголовок Знак"/>
    <w:uiPriority w:val="99"/>
    <w:rPr>
      <w:rFonts w:ascii="Cambria" w:hAnsi="Cambria" w:cs="Cambria"/>
      <w:spacing w:val="-10"/>
      <w:sz w:val="56"/>
      <w:szCs w:val="56"/>
    </w:rPr>
  </w:style>
  <w:style w:type="paragraph" w:styleId="737" w:customStyle="1">
    <w:name w:val="заголовок 11"/>
    <w:basedOn w:val="694"/>
    <w:next w:val="694"/>
    <w:uiPriority w:val="99"/>
    <w:pPr>
      <w:jc w:val="center"/>
      <w:keepNext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38" w:customStyle="1">
    <w:name w:val="ConsPlusNormal"/>
    <w:link w:val="749"/>
    <w:uiPriority w:val="99"/>
    <w:pPr>
      <w:ind w:firstLine="720"/>
    </w:pPr>
    <w:rPr>
      <w:rFonts w:ascii="Arial" w:hAnsi="Arial" w:cs="Arial"/>
      <w:sz w:val="22"/>
      <w:szCs w:val="22"/>
    </w:rPr>
  </w:style>
  <w:style w:type="paragraph" w:styleId="739" w:customStyle="1">
    <w:name w:val="Обычный1"/>
    <w:uiPriority w:val="99"/>
    <w:pPr>
      <w:spacing w:before="100" w:after="100"/>
      <w:widowControl w:val="off"/>
    </w:pPr>
    <w:rPr>
      <w:rFonts w:ascii="Times New Roman" w:hAnsi="Times New Roman" w:eastAsia="Times New Roman"/>
      <w:sz w:val="24"/>
      <w:szCs w:val="24"/>
    </w:rPr>
  </w:style>
  <w:style w:type="paragraph" w:styleId="740" w:customStyle="1">
    <w:name w:val="Пункт-3"/>
    <w:basedOn w:val="694"/>
    <w:uiPriority w:val="99"/>
    <w:pPr>
      <w:ind w:firstLine="709"/>
      <w:jc w:val="both"/>
      <w:spacing w:after="0" w:line="240" w:lineRule="auto"/>
      <w:tabs>
        <w:tab w:val="left" w:pos="1985" w:leader="none"/>
      </w:tabs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741" w:customStyle="1">
    <w:name w:val="_пункт"/>
    <w:basedOn w:val="731"/>
    <w:uiPriority w:val="99"/>
    <w:pPr>
      <w:numPr>
        <w:ilvl w:val="0"/>
        <w:numId w:val="2"/>
      </w:numPr>
      <w:ind w:firstLine="0"/>
    </w:pPr>
  </w:style>
  <w:style w:type="paragraph" w:styleId="742" w:customStyle="1">
    <w:name w:val="_пункт 2"/>
    <w:basedOn w:val="741"/>
    <w:uiPriority w:val="99"/>
    <w:pPr>
      <w:numPr>
        <w:ilvl w:val="1"/>
      </w:numPr>
      <w:ind w:left="720" w:firstLine="0"/>
    </w:pPr>
  </w:style>
  <w:style w:type="paragraph" w:styleId="743" w:customStyle="1">
    <w:name w:val="_пункт 3"/>
    <w:basedOn w:val="742"/>
    <w:uiPriority w:val="99"/>
    <w:pPr>
      <w:numPr>
        <w:ilvl w:val="2"/>
      </w:numPr>
      <w:ind w:left="720" w:firstLine="0"/>
    </w:pPr>
  </w:style>
  <w:style w:type="paragraph" w:styleId="744" w:customStyle="1">
    <w:name w:val="_пункт4"/>
    <w:basedOn w:val="743"/>
    <w:uiPriority w:val="99"/>
    <w:pPr>
      <w:numPr>
        <w:ilvl w:val="3"/>
      </w:numPr>
      <w:ind w:left="720" w:firstLine="0"/>
    </w:pPr>
  </w:style>
  <w:style w:type="paragraph" w:styleId="745" w:customStyle="1">
    <w:name w:val="_пункт5"/>
    <w:basedOn w:val="744"/>
    <w:uiPriority w:val="99"/>
    <w:pPr>
      <w:numPr>
        <w:ilvl w:val="4"/>
      </w:numPr>
      <w:ind w:left="720" w:firstLine="0"/>
    </w:pPr>
  </w:style>
  <w:style w:type="paragraph" w:styleId="746" w:customStyle="1">
    <w:name w:val="Основной текст с отступом 21"/>
    <w:basedOn w:val="694"/>
    <w:uiPriority w:val="99"/>
    <w:pPr>
      <w:ind w:firstLine="680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8"/>
      <w:lang w:eastAsia="ar-SA"/>
    </w:rPr>
  </w:style>
  <w:style w:type="paragraph" w:styleId="747" w:customStyle="1">
    <w:name w:val="Бюллет"/>
    <w:basedOn w:val="717"/>
    <w:uiPriority w:val="99"/>
    <w:pPr>
      <w:ind w:left="283" w:hanging="283"/>
      <w:spacing w:after="0" w:line="240" w:lineRule="auto"/>
      <w:tabs>
        <w:tab w:val="left" w:pos="720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48" w:customStyle="1">
    <w:name w:val="Основной шрифт"/>
    <w:uiPriority w:val="99"/>
    <w:semiHidden/>
  </w:style>
  <w:style w:type="character" w:styleId="749" w:customStyle="1">
    <w:name w:val="ConsPlusNormal Знак"/>
    <w:link w:val="738"/>
    <w:uiPriority w:val="99"/>
    <w:rPr>
      <w:rFonts w:ascii="Arial" w:hAnsi="Arial" w:cs="Arial"/>
      <w:sz w:val="22"/>
      <w:szCs w:val="22"/>
      <w:lang w:eastAsia="ru-RU"/>
    </w:rPr>
  </w:style>
  <w:style w:type="paragraph" w:styleId="750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751" w:customStyle="1">
    <w:name w:val="Пункт_3"/>
    <w:basedOn w:val="694"/>
    <w:uiPriority w:val="99"/>
    <w:pPr>
      <w:ind w:left="1134" w:hanging="1133"/>
      <w:jc w:val="both"/>
      <w:spacing w:after="0" w:line="360" w:lineRule="auto"/>
      <w:tabs>
        <w:tab w:val="left" w:pos="1134" w:leader="none"/>
      </w:tabs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752">
    <w:name w:val="No Spacing"/>
    <w:uiPriority w:val="1"/>
    <w:qFormat/>
    <w:rPr>
      <w:rFonts w:eastAsia="Times New Roman" w:cs="Calibri"/>
      <w:sz w:val="22"/>
      <w:szCs w:val="22"/>
    </w:rPr>
  </w:style>
  <w:style w:type="character" w:styleId="753" w:customStyle="1">
    <w:name w:val="blk"/>
    <w:basedOn w:val="698"/>
    <w:uiPriority w:val="99"/>
  </w:style>
  <w:style w:type="paragraph" w:styleId="754" w:customStyle="1">
    <w:name w:val="Обычный2"/>
    <w:uiPriority w:val="99"/>
    <w:rPr>
      <w:rFonts w:ascii="Times New Roman" w:hAnsi="Times New Roman" w:eastAsia="Times New Roman"/>
    </w:rPr>
  </w:style>
  <w:style w:type="character" w:styleId="755" w:customStyle="1">
    <w:name w:val="Абзац списка Знак"/>
    <w:link w:val="731"/>
    <w:uiPriority w:val="99"/>
  </w:style>
  <w:style w:type="paragraph" w:styleId="756" w:customStyle="1">
    <w:name w:val="Пункт б/н"/>
    <w:basedOn w:val="694"/>
    <w:uiPriority w:val="99"/>
    <w:semiHidden/>
    <w:pPr>
      <w:ind w:firstLine="567"/>
      <w:jc w:val="both"/>
      <w:spacing w:after="0" w:line="240" w:lineRule="auto"/>
      <w:tabs>
        <w:tab w:val="left" w:pos="1134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57" w:customStyle="1">
    <w:name w:val="Контракт-раздел"/>
    <w:basedOn w:val="694"/>
    <w:next w:val="758"/>
    <w:uiPriority w:val="99"/>
    <w:pPr>
      <w:numPr>
        <w:ilvl w:val="0"/>
        <w:numId w:val="3"/>
      </w:numPr>
      <w:jc w:val="center"/>
      <w:keepNext/>
      <w:spacing w:before="360" w:after="120" w:line="240" w:lineRule="auto"/>
      <w:tabs>
        <w:tab w:val="left" w:pos="540" w:leader="none"/>
      </w:tabs>
      <w:outlineLvl w:val="3"/>
    </w:pPr>
    <w:rPr>
      <w:rFonts w:ascii="Times New Roman" w:hAnsi="Times New Roman" w:eastAsia="Times New Roman" w:cs="Times New Roman"/>
      <w:b/>
      <w:bCs/>
      <w:caps/>
      <w:smallCaps/>
      <w:sz w:val="24"/>
      <w:szCs w:val="24"/>
      <w:lang w:eastAsia="ru-RU"/>
    </w:rPr>
  </w:style>
  <w:style w:type="paragraph" w:styleId="758" w:customStyle="1">
    <w:name w:val="Контракт-пункт"/>
    <w:basedOn w:val="694"/>
    <w:uiPriority w:val="99"/>
    <w:pPr>
      <w:numPr>
        <w:ilvl w:val="1"/>
        <w:numId w:val="3"/>
      </w:numPr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59" w:customStyle="1">
    <w:name w:val="Контракт-подпункт"/>
    <w:basedOn w:val="694"/>
    <w:uiPriority w:val="99"/>
    <w:pPr>
      <w:numPr>
        <w:ilvl w:val="2"/>
        <w:numId w:val="3"/>
      </w:numPr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0" w:customStyle="1">
    <w:name w:val="Контракт-подподпункт"/>
    <w:basedOn w:val="694"/>
    <w:uiPriority w:val="99"/>
    <w:pPr>
      <w:numPr>
        <w:ilvl w:val="3"/>
        <w:numId w:val="3"/>
      </w:numPr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1" w:customStyle="1">
    <w:name w:val="docdata"/>
    <w:basedOn w:val="69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62" w:customStyle="1">
    <w:name w:val="pseudolink"/>
    <w:basedOn w:val="698"/>
  </w:style>
  <w:style w:type="character" w:styleId="763" w:customStyle="1">
    <w:name w:val="typography"/>
    <w:basedOn w:val="698"/>
  </w:style>
  <w:style w:type="table" w:styleId="764" w:customStyle="1">
    <w:name w:val="Сетка таблицы1"/>
    <w:basedOn w:val="699"/>
    <w:uiPriority w:val="39"/>
    <w:rPr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B75BD-3623-4F34-A2E6-5384EF525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r7-office/2025.3.2.1000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Екатерина Сергеевна</cp:lastModifiedBy>
  <cp:revision>11</cp:revision>
  <dcterms:created xsi:type="dcterms:W3CDTF">2025-12-12T07:06:00Z</dcterms:created>
  <dcterms:modified xsi:type="dcterms:W3CDTF">2026-05-21T10:38:37Z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4EF1EE7A68D04A999B8D9ADC65E0DE12</vt:lpwstr>
  </property>
</Properties>
</file>