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45F7B" w14:textId="77777777" w:rsidR="00697BF8" w:rsidRDefault="0002637E" w:rsidP="00C165A8">
      <w:pPr>
        <w:pStyle w:val="1b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1CBFD0EC" w14:textId="2C60BA55" w:rsidR="00697BF8" w:rsidRDefault="0002637E" w:rsidP="00C165A8">
      <w:pPr>
        <w:pStyle w:val="1b"/>
        <w:tabs>
          <w:tab w:val="clear" w:pos="567"/>
          <w:tab w:val="clear" w:pos="643"/>
          <w:tab w:val="left" w:pos="1843"/>
        </w:tabs>
        <w:spacing w:before="0" w:line="20" w:lineRule="atLeast"/>
        <w:ind w:left="0" w:firstLine="0"/>
        <w:rPr>
          <w:rFonts w:ascii="Times New Roman" w:hAnsi="Times New Roman" w:cs="Times New Roman"/>
          <w:sz w:val="22"/>
          <w:szCs w:val="22"/>
        </w:rPr>
      </w:pPr>
      <w:r w:rsidRPr="001921CA">
        <w:rPr>
          <w:rFonts w:ascii="Times New Roman" w:hAnsi="Times New Roman" w:cs="Times New Roman"/>
          <w:sz w:val="22"/>
          <w:szCs w:val="22"/>
        </w:rPr>
        <w:t xml:space="preserve">на поставку </w:t>
      </w:r>
      <w:r w:rsidR="0077622C">
        <w:rPr>
          <w:rFonts w:ascii="Times New Roman" w:hAnsi="Times New Roman" w:cs="Times New Roman"/>
          <w:sz w:val="22"/>
          <w:szCs w:val="22"/>
        </w:rPr>
        <w:t>мя﻿⁠﻿⁠﻿‍﻿‌‍‌﻿⁠⁠‌﻿‍﻿​​﻿‍‍‌‌​⁠⁠⁠​﻿‌⁠⁠‌⁠‌​​​​‍‍‍‍сной продукции</w:t>
      </w:r>
    </w:p>
    <w:p w14:paraId="05BE9C0B" w14:textId="1E2C9B90" w:rsidR="00697BF8" w:rsidRDefault="0002637E" w:rsidP="00C165A8">
      <w:pPr>
        <w:pStyle w:val="1b"/>
        <w:numPr>
          <w:ilvl w:val="0"/>
          <w:numId w:val="4"/>
        </w:numPr>
        <w:tabs>
          <w:tab w:val="clear" w:pos="567"/>
          <w:tab w:val="clear" w:pos="643"/>
          <w:tab w:val="left" w:pos="1843"/>
        </w:tabs>
        <w:spacing w:before="0" w:line="20" w:lineRule="atLeast"/>
        <w:ind w:left="284" w:right="-2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Объект закупки:</w:t>
      </w:r>
    </w:p>
    <w:p w14:paraId="5D8B3E08" w14:textId="77777777" w:rsidR="00EF51D6" w:rsidRPr="00733080" w:rsidRDefault="00EF51D6" w:rsidP="00C165A8">
      <w:pPr>
        <w:pStyle w:val="afff1"/>
        <w:tabs>
          <w:tab w:val="left" w:pos="2191"/>
        </w:tabs>
        <w:autoSpaceDE w:val="0"/>
        <w:spacing w:line="20" w:lineRule="atLeast"/>
        <w:ind w:left="0" w:right="-2"/>
        <w:rPr>
          <w:rFonts w:ascii="Times New Roman" w:hAnsi="Times New Roman" w:cs="Times New Roman"/>
          <w:bCs/>
          <w:i/>
          <w:iCs/>
          <w:sz w:val="18"/>
          <w:szCs w:val="18"/>
        </w:rPr>
      </w:pPr>
      <w:r w:rsidRPr="00733080">
        <w:rPr>
          <w:rFonts w:ascii="Times New Roman" w:hAnsi="Times New Roman" w:cs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065" w:type="dxa"/>
        <w:tblInd w:w="-5" w:type="dxa"/>
        <w:tblLook w:val="04A0" w:firstRow="1" w:lastRow="0" w:firstColumn="1" w:lastColumn="0" w:noHBand="0" w:noVBand="1"/>
      </w:tblPr>
      <w:tblGrid>
        <w:gridCol w:w="632"/>
        <w:gridCol w:w="1397"/>
        <w:gridCol w:w="3432"/>
        <w:gridCol w:w="1044"/>
        <w:gridCol w:w="1701"/>
        <w:gridCol w:w="1859"/>
      </w:tblGrid>
      <w:tr w:rsidR="00EF51D6" w:rsidRPr="00733080" w14:paraId="02C5E7A1" w14:textId="77777777" w:rsidTr="007C7538">
        <w:trPr>
          <w:tblHeader/>
        </w:trPr>
        <w:tc>
          <w:tcPr>
            <w:tcW w:w="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7A70D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09307804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036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ОКПД 2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3847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46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F2A1" w14:textId="77777777" w:rsidR="00EF51D6" w:rsidRPr="00733080" w:rsidRDefault="00EF51D6" w:rsidP="00EF51D6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Национальный режим</w:t>
            </w:r>
          </w:p>
        </w:tc>
      </w:tr>
      <w:tr w:rsidR="001921CA" w:rsidRPr="00870A19" w14:paraId="34F3F8A3" w14:textId="77777777" w:rsidTr="007C7538">
        <w:trPr>
          <w:tblHeader/>
        </w:trPr>
        <w:tc>
          <w:tcPr>
            <w:tcW w:w="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67E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0A06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6312B" w14:textId="77777777" w:rsidR="00EF51D6" w:rsidRPr="00733080" w:rsidRDefault="00EF51D6" w:rsidP="00EF51D6">
            <w:pPr>
              <w:spacing w:after="0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FFCF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 xml:space="preserve">1875 </w:t>
            </w:r>
          </w:p>
          <w:p w14:paraId="775A8316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(Запрет)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C97E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(Ограничение)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5D332" w14:textId="77777777" w:rsidR="00EF51D6" w:rsidRPr="00733080" w:rsidRDefault="00EF51D6" w:rsidP="00EF51D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3080">
              <w:rPr>
                <w:rFonts w:ascii="Times New Roman" w:hAnsi="Times New Roman" w:cs="Times New Roman"/>
                <w:b/>
                <w:bCs/>
              </w:rPr>
              <w:t>1875 (Преимущество)</w:t>
            </w:r>
          </w:p>
        </w:tc>
      </w:tr>
      <w:tr w:rsidR="0077622C" w:rsidRPr="00870A19" w14:paraId="3F453BDC" w14:textId="77777777" w:rsidTr="007C7538">
        <w:trPr>
          <w:trHeight w:val="325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B39E" w14:textId="77777777" w:rsidR="0077622C" w:rsidRPr="00733080" w:rsidRDefault="0077622C" w:rsidP="0077622C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AA2F" w14:textId="47261C71" w:rsidR="0077622C" w:rsidRPr="00733080" w:rsidRDefault="006C142F" w:rsidP="0077622C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A2CAF">
              <w:rPr>
                <w:rFonts w:ascii="Times New Roman" w:eastAsia="Arial" w:hAnsi="Times New Roman"/>
                <w:highlight w:val="white"/>
              </w:rPr>
              <w:t>10.11.31.130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BB99" w14:textId="21EBEA46" w:rsidR="0077622C" w:rsidRPr="00733080" w:rsidRDefault="0077622C" w:rsidP="007762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Мясо говядина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8D0F" w14:textId="77777777" w:rsidR="0077622C" w:rsidRPr="00733080" w:rsidRDefault="0077622C" w:rsidP="00776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B" w14:textId="73877C82" w:rsidR="0077622C" w:rsidRPr="00733080" w:rsidRDefault="0077622C" w:rsidP="0077622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1D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3006" w14:textId="77777777" w:rsidR="0077622C" w:rsidRPr="00EF51D6" w:rsidRDefault="0077622C" w:rsidP="0077622C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6C142F" w:rsidRPr="00870A19" w14:paraId="4065A9B8" w14:textId="77777777" w:rsidTr="007C7538">
        <w:trPr>
          <w:trHeight w:val="325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171" w14:textId="77777777" w:rsidR="006C142F" w:rsidRPr="00733080" w:rsidRDefault="006C142F" w:rsidP="006C142F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BAA" w14:textId="29FB9134" w:rsidR="006C142F" w:rsidRPr="00733080" w:rsidRDefault="006C142F" w:rsidP="006C142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10.11.32.130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AC3" w14:textId="3A10D778" w:rsidR="006C142F" w:rsidRPr="00733080" w:rsidRDefault="006C142F" w:rsidP="006C14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>Филе свиное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1B29" w14:textId="77777777" w:rsidR="006C142F" w:rsidRPr="00733080" w:rsidRDefault="006C142F" w:rsidP="006C14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B229" w14:textId="4153D12F" w:rsidR="006C142F" w:rsidRPr="00EF51D6" w:rsidRDefault="006C142F" w:rsidP="006C142F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CE313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A68F" w14:textId="77777777" w:rsidR="006C142F" w:rsidRPr="00EF51D6" w:rsidRDefault="006C142F" w:rsidP="006C142F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  <w:tr w:rsidR="006C142F" w:rsidRPr="00870A19" w14:paraId="7D50924A" w14:textId="77777777" w:rsidTr="007C7538">
        <w:trPr>
          <w:trHeight w:val="325"/>
          <w:tblHeader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7A86" w14:textId="77777777" w:rsidR="006C142F" w:rsidRPr="00733080" w:rsidRDefault="006C142F" w:rsidP="006C142F">
            <w:pPr>
              <w:pStyle w:val="afff1"/>
              <w:numPr>
                <w:ilvl w:val="0"/>
                <w:numId w:val="5"/>
              </w:numPr>
              <w:ind w:left="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2EAF" w14:textId="6F2832D0" w:rsidR="006C142F" w:rsidRPr="00733080" w:rsidRDefault="006C142F" w:rsidP="006C142F">
            <w:pPr>
              <w:spacing w:after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EF51D6">
              <w:rPr>
                <w:rFonts w:ascii="Times New Roman" w:eastAsia="Calibri" w:hAnsi="Times New Roman" w:cs="Times New Roman"/>
                <w:lang w:eastAsia="en-US"/>
              </w:rPr>
              <w:t>10.11.32.130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EC4" w14:textId="3326EB7D" w:rsidR="006C142F" w:rsidRPr="00733080" w:rsidRDefault="006C142F" w:rsidP="006C14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>Рагу свиное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F452" w14:textId="77777777" w:rsidR="006C142F" w:rsidRPr="00733080" w:rsidRDefault="006C142F" w:rsidP="006C142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D604" w14:textId="478CBCEF" w:rsidR="006C142F" w:rsidRPr="00EF51D6" w:rsidRDefault="006C142F" w:rsidP="006C142F">
            <w:pPr>
              <w:spacing w:after="0"/>
              <w:jc w:val="center"/>
              <w:rPr>
                <w:rFonts w:ascii="Segoe UI Symbol" w:hAnsi="Segoe UI Symbol" w:cs="Segoe UI Symbol"/>
                <w:color w:val="FFC000"/>
              </w:rPr>
            </w:pPr>
            <w:r w:rsidRPr="00CE3136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2455" w14:textId="77777777" w:rsidR="006C142F" w:rsidRPr="00EF51D6" w:rsidRDefault="006C142F" w:rsidP="006C142F">
            <w:pPr>
              <w:spacing w:after="0"/>
              <w:jc w:val="center"/>
              <w:rPr>
                <w:rFonts w:ascii="Segoe UI Symbol" w:hAnsi="Segoe UI Symbol" w:cs="Segoe UI Symbol"/>
              </w:rPr>
            </w:pPr>
          </w:p>
        </w:tc>
      </w:tr>
    </w:tbl>
    <w:p w14:paraId="07673A1A" w14:textId="761020CA" w:rsidR="00EF51D6" w:rsidRDefault="00EF51D6" w:rsidP="00EF51D6">
      <w:pPr>
        <w:pStyle w:val="1b"/>
        <w:tabs>
          <w:tab w:val="clear" w:pos="567"/>
          <w:tab w:val="clear" w:pos="643"/>
          <w:tab w:val="left" w:pos="1843"/>
        </w:tabs>
        <w:spacing w:before="0" w:after="40" w:line="276" w:lineRule="auto"/>
        <w:ind w:left="720"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6379"/>
        <w:gridCol w:w="709"/>
        <w:gridCol w:w="702"/>
      </w:tblGrid>
      <w:tr w:rsidR="001921CA" w14:paraId="2C197525" w14:textId="77777777" w:rsidTr="00E264F1">
        <w:trPr>
          <w:trHeight w:val="599"/>
          <w:tblHeader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154FF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№ </w:t>
            </w:r>
          </w:p>
          <w:p w14:paraId="7C750F36" w14:textId="3435C6B8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1D573D1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4C8F3A9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Технические характеристики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C389954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1C013B" w14:textId="77777777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Кол-</w:t>
            </w:r>
          </w:p>
          <w:p w14:paraId="725ED373" w14:textId="170F617F" w:rsidR="001921CA" w:rsidRDefault="001921CA" w:rsidP="001921CA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 </w:t>
            </w:r>
          </w:p>
        </w:tc>
      </w:tr>
      <w:tr w:rsidR="0077622C" w14:paraId="5B77AB39" w14:textId="77777777" w:rsidTr="00E264F1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8EFD5" w14:textId="77777777" w:rsidR="0077622C" w:rsidRDefault="0077622C" w:rsidP="0077622C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0D1F0" w14:textId="77777777" w:rsidR="00E264F1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Мясо </w:t>
            </w:r>
          </w:p>
          <w:p w14:paraId="3645AE19" w14:textId="0A0E5D60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говядина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81154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 xml:space="preserve">Соответствует требованиям: </w:t>
            </w:r>
          </w:p>
          <w:p w14:paraId="1D6DCA2A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ГОСТ 31797-2012 Мясо. Разделка говядины на отрубы. Технические условия, и/или ГОСТ Р 54754-2021 Полуфабрикаты мясные кусковые бескостные для детского питания. Технические условия и/или ГОСТ 31799-2012 Мясо и субпродукты, замороженные в блоках, для производства продуктов питания детей раннего возраста. Технические условия</w:t>
            </w:r>
          </w:p>
          <w:p w14:paraId="34BC51CF" w14:textId="4F54D6C8" w:rsidR="006C142F" w:rsidRPr="006C142F" w:rsidRDefault="006C142F" w:rsidP="006C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F">
              <w:rPr>
                <w:rFonts w:ascii="Times New Roman" w:hAnsi="Times New Roman" w:cs="Times New Roman"/>
                <w:color w:val="000000"/>
              </w:rPr>
              <w:t>Вид мяса по способу обработки: Бескостное;</w:t>
            </w:r>
          </w:p>
          <w:p w14:paraId="379B5089" w14:textId="77777777" w:rsidR="006C142F" w:rsidRPr="006C142F" w:rsidRDefault="006C142F" w:rsidP="006C1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142F">
              <w:rPr>
                <w:rFonts w:ascii="Times New Roman" w:hAnsi="Times New Roman" w:cs="Times New Roman"/>
                <w:color w:val="000000"/>
              </w:rPr>
              <w:t>Вид мяса по способу разделки: Отруб;</w:t>
            </w:r>
          </w:p>
          <w:p w14:paraId="247482D0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Класс не ниже А</w:t>
            </w:r>
          </w:p>
          <w:p w14:paraId="24CB2986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Группа не ниже 1</w:t>
            </w:r>
          </w:p>
          <w:p w14:paraId="4FC097AC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Термическое состояние: замороженное</w:t>
            </w:r>
          </w:p>
          <w:p w14:paraId="2A877568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 xml:space="preserve">Внешний вид: Мышцы или пласт мяса, снятые с тазобедренного отруба в виде крупных кусков зачищенные от сухожилий и грубых поверхностных пленок, с наличием межмышечной соединительной, жировой ткани и естественной поверхностной пленки, сохраняющей природную форму мышц. Мышечная ткань упругая, не имеющая следов инъектирования, </w:t>
            </w:r>
            <w:proofErr w:type="spellStart"/>
            <w:r w:rsidRPr="006C142F">
              <w:rPr>
                <w:rFonts w:ascii="Times New Roman" w:eastAsia="Arial" w:hAnsi="Times New Roman" w:cs="Times New Roman"/>
              </w:rPr>
              <w:t>массажирования</w:t>
            </w:r>
            <w:proofErr w:type="spellEnd"/>
            <w:r w:rsidRPr="006C142F">
              <w:rPr>
                <w:rFonts w:ascii="Times New Roman" w:eastAsia="Arial" w:hAnsi="Times New Roman" w:cs="Times New Roman"/>
              </w:rPr>
              <w:t xml:space="preserve">, наличия посторонних примесей. Поверхность ровная, не заветренная, края заровнены, без глубоких надрезов мышечной ткани (не более 10 мм). </w:t>
            </w:r>
          </w:p>
          <w:p w14:paraId="29AFDB0B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Цвет и запах: Характерные для доброкачественного мяса</w:t>
            </w:r>
          </w:p>
          <w:p w14:paraId="5A72FAAE" w14:textId="77777777" w:rsidR="006C142F" w:rsidRPr="006C142F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1C9B7CD" w14:textId="2BCBEC4F" w:rsidR="0077622C" w:rsidRDefault="006C142F" w:rsidP="006C142F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6C142F"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29D1375" w14:textId="5E92FA3E" w:rsid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05423" w14:textId="2A321577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22C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</w:tr>
      <w:tr w:rsidR="0077622C" w14:paraId="4A04CB7C" w14:textId="77777777" w:rsidTr="00E264F1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28549B" w14:textId="77777777" w:rsidR="0077622C" w:rsidRDefault="0077622C" w:rsidP="0077622C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3521D" w14:textId="77777777" w:rsidR="00E264F1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Филе </w:t>
            </w:r>
          </w:p>
          <w:p w14:paraId="644294D9" w14:textId="5A22C884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>свиное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2FD3D" w14:textId="42A8F8DD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Соответствует требованиям ГОСТ Р 54754-2021 Полуфабрикаты мясные кусковые бескостные для детского питания</w:t>
            </w:r>
            <w:r w:rsidR="00922E6D">
              <w:rPr>
                <w:rFonts w:ascii="Times New Roman" w:eastAsia="Arial" w:hAnsi="Times New Roman" w:cs="Times New Roman"/>
              </w:rPr>
              <w:t xml:space="preserve">, И/ИЛИ </w:t>
            </w:r>
            <w:r w:rsidR="00922E6D" w:rsidRPr="00922E6D">
              <w:rPr>
                <w:rFonts w:ascii="Times New Roman" w:eastAsia="Arial" w:hAnsi="Times New Roman" w:cs="Times New Roman"/>
              </w:rPr>
              <w:t>ГОСТ 31778-2012 «Мясо. Разделка свинины на отрубы. Технические условия»</w:t>
            </w:r>
          </w:p>
          <w:p w14:paraId="6FD9C594" w14:textId="5647FAE4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Вид мяса: </w:t>
            </w:r>
            <w:r w:rsidRPr="00E264F1">
              <w:rPr>
                <w:rFonts w:ascii="Times New Roman" w:eastAsia="Arial" w:hAnsi="Times New Roman" w:cs="Times New Roman"/>
              </w:rPr>
              <w:t>крупнокусковой мясной бескостный</w:t>
            </w:r>
            <w:r>
              <w:rPr>
                <w:rFonts w:ascii="Times New Roman" w:eastAsia="Arial" w:hAnsi="Times New Roman" w:cs="Times New Roman"/>
              </w:rPr>
              <w:t>, замороженная</w:t>
            </w:r>
          </w:p>
          <w:p w14:paraId="107DB65B" w14:textId="4395A972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Категория: не ниже А </w:t>
            </w:r>
          </w:p>
          <w:p w14:paraId="38745A47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t>Цвет поверхности: Бледно-розового или бледно-красного цвета.</w:t>
            </w:r>
          </w:p>
          <w:p w14:paraId="62B81AE0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t>Мышцы на разрезе: слегка влажные, не оставляют влажного пятна на фильтрованной бумаге; цвет от светло-розового до красного.</w:t>
            </w:r>
          </w:p>
          <w:p w14:paraId="4BEBEF59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t>Консистенция: на разрезе мясо плотное, упругое; образующаяся при надавливании пальцем ямка быстро выравнивается.</w:t>
            </w:r>
          </w:p>
          <w:p w14:paraId="3549F95B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t>Запах: Специфический, свойственный свежему мясу.</w:t>
            </w:r>
          </w:p>
          <w:p w14:paraId="71EFF198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lastRenderedPageBreak/>
              <w:t>Состояние жира: имеет белый или бледно-розовый цвет; мягкий, эластичный.</w:t>
            </w:r>
          </w:p>
          <w:p w14:paraId="1D1456BF" w14:textId="77777777" w:rsidR="00BE538B" w:rsidRPr="00E47301" w:rsidRDefault="00BE538B" w:rsidP="00BE538B">
            <w:pPr>
              <w:pStyle w:val="afffc"/>
              <w:spacing w:line="252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47301">
              <w:rPr>
                <w:rFonts w:ascii="Times New Roman" w:hAnsi="Times New Roman" w:cs="Times New Roman"/>
                <w:color w:val="000000"/>
              </w:rPr>
              <w:t>Состояние сухожилий: Сухожилия упругие, плотные, поверхность суставов гладкая, блестящая.</w:t>
            </w:r>
          </w:p>
          <w:p w14:paraId="70F3AF20" w14:textId="77777777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Цвет и запах: характерные для доброкачественного мяса</w:t>
            </w:r>
          </w:p>
          <w:p w14:paraId="4F923FBB" w14:textId="08D45487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белка: не менее 16 %</w:t>
            </w:r>
          </w:p>
          <w:p w14:paraId="38A3D25C" w14:textId="1FD908EF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Массовая доля жира: не более 15 %</w:t>
            </w:r>
          </w:p>
          <w:p w14:paraId="7E24B197" w14:textId="77777777" w:rsidR="00E264F1" w:rsidRDefault="00E264F1" w:rsidP="00E264F1">
            <w:pPr>
              <w:widowControl w:val="0"/>
              <w:tabs>
                <w:tab w:val="left" w:pos="8789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6955412A" w14:textId="2823E94D" w:rsidR="0077622C" w:rsidRDefault="00E264F1" w:rsidP="0077622C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6B1DD86" w14:textId="5EFE7EAB" w:rsid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B69">
              <w:rPr>
                <w:rFonts w:ascii="Times New Roman" w:hAnsi="Times New Roman" w:cs="Times New Roman"/>
                <w:color w:val="000000"/>
              </w:rPr>
              <w:lastRenderedPageBreak/>
              <w:t>кг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1B6B" w14:textId="5E6E473A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22C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</w:tr>
      <w:tr w:rsidR="0077622C" w14:paraId="0E1E85B6" w14:textId="77777777" w:rsidTr="00E264F1">
        <w:trPr>
          <w:trHeight w:val="62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82BB22" w14:textId="77777777" w:rsidR="0077622C" w:rsidRDefault="0077622C" w:rsidP="0077622C">
            <w:pPr>
              <w:pStyle w:val="afffc"/>
              <w:numPr>
                <w:ilvl w:val="0"/>
                <w:numId w:val="3"/>
              </w:numPr>
              <w:spacing w:line="252" w:lineRule="auto"/>
              <w:ind w:left="187" w:hanging="1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1461F" w14:textId="77777777" w:rsidR="00E264F1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Рагу </w:t>
            </w:r>
          </w:p>
          <w:p w14:paraId="3851E8E9" w14:textId="7A21D40F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77622C">
              <w:rPr>
                <w:rFonts w:ascii="Times New Roman" w:hAnsi="Times New Roman" w:cs="Times New Roman"/>
                <w:b/>
                <w:bCs/>
                <w:color w:val="000000"/>
              </w:rPr>
              <w:t>свиное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138F31" w14:textId="765E845F" w:rsid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Соответствует требованиям </w:t>
            </w:r>
            <w:r w:rsidR="00922E6D">
              <w:rPr>
                <w:rFonts w:ascii="Times New Roman" w:eastAsia="Arial" w:hAnsi="Times New Roman" w:cs="Times New Roman"/>
              </w:rPr>
              <w:t xml:space="preserve">ГОСТ Р 54754-2021 Полуфабрикаты мясные кусковые бескостные для детского питания, И/ИЛИ </w:t>
            </w:r>
            <w:r w:rsidR="00922E6D" w:rsidRPr="00922E6D">
              <w:rPr>
                <w:rFonts w:ascii="Times New Roman" w:eastAsia="Arial" w:hAnsi="Times New Roman" w:cs="Times New Roman"/>
              </w:rPr>
              <w:t>ГОСТ 31778-2012 «Мясо. Разделка свинины на отрубы. Технические условия»</w:t>
            </w:r>
          </w:p>
          <w:p w14:paraId="5C692E9B" w14:textId="223DBE8F" w:rsidR="00E264F1" w:rsidRP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Вид мяса: замороженная, </w:t>
            </w:r>
            <w:r w:rsidRPr="00E264F1">
              <w:rPr>
                <w:rFonts w:ascii="Times New Roman" w:eastAsia="Arial" w:hAnsi="Times New Roman" w:cs="Times New Roman"/>
              </w:rPr>
              <w:t>свиные рёбрышки, нарезанные на небольшие пластин</w:t>
            </w:r>
            <w:r>
              <w:rPr>
                <w:rFonts w:ascii="Times New Roman" w:eastAsia="Arial" w:hAnsi="Times New Roman" w:cs="Times New Roman"/>
              </w:rPr>
              <w:t>ки</w:t>
            </w:r>
          </w:p>
          <w:p w14:paraId="4A2DC80D" w14:textId="1C30166C" w:rsidR="00E264F1" w:rsidRPr="00E264F1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Категория: не ниже </w:t>
            </w:r>
            <w:r>
              <w:rPr>
                <w:rFonts w:ascii="Times New Roman" w:eastAsia="Arial" w:hAnsi="Times New Roman" w:cs="Times New Roman"/>
                <w:lang w:val="en-US"/>
              </w:rPr>
              <w:t>B</w:t>
            </w:r>
            <w:r w:rsidRPr="00BE538B">
              <w:rPr>
                <w:rFonts w:ascii="Times New Roman" w:eastAsia="Arial" w:hAnsi="Times New Roman" w:cs="Times New Roman"/>
              </w:rPr>
              <w:t xml:space="preserve"> </w:t>
            </w:r>
          </w:p>
          <w:p w14:paraId="11E61FB2" w14:textId="00DFAEBF" w:rsidR="00922E6D" w:rsidRP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Цвет поверхности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Бледно-розового или бледно-красного цвета</w:t>
            </w:r>
          </w:p>
          <w:p w14:paraId="30AF7498" w14:textId="644FDCC4" w:rsidR="00922E6D" w:rsidRP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Мышцы на разрезе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слегка</w:t>
            </w:r>
            <w:r w:rsidRPr="00922E6D">
              <w:rPr>
                <w:rFonts w:ascii="Times New Roman" w:eastAsia="Arial" w:hAnsi="Times New Roman" w:cs="Times New Roman"/>
              </w:rPr>
              <w:t xml:space="preserve"> влажные, не оставляют влажного пятна на фильтрованной бумаге; цвет от светло-розового до красного</w:t>
            </w:r>
          </w:p>
          <w:p w14:paraId="6CDC03F8" w14:textId="56904BBE" w:rsidR="00922E6D" w:rsidRP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Консистенция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на</w:t>
            </w:r>
            <w:r w:rsidRPr="00922E6D">
              <w:rPr>
                <w:rFonts w:ascii="Times New Roman" w:eastAsia="Arial" w:hAnsi="Times New Roman" w:cs="Times New Roman"/>
              </w:rPr>
              <w:t xml:space="preserve"> разрезе мясо плотное, упругое; образующаяся при надавливании пальцем ямка быстро выравнивается</w:t>
            </w:r>
          </w:p>
          <w:p w14:paraId="04DCA9EA" w14:textId="09FD3D85" w:rsidR="00922E6D" w:rsidRP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Запах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Специфический, свойственный свежему мясу</w:t>
            </w:r>
          </w:p>
          <w:p w14:paraId="3ECC41B7" w14:textId="030C531D" w:rsidR="00922E6D" w:rsidRP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Состояние жира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имеет</w:t>
            </w:r>
            <w:r w:rsidRPr="00922E6D">
              <w:rPr>
                <w:rFonts w:ascii="Times New Roman" w:eastAsia="Arial" w:hAnsi="Times New Roman" w:cs="Times New Roman"/>
              </w:rPr>
              <w:t xml:space="preserve"> белый или бледно-розовый цвет; мягкий, эластичный</w:t>
            </w:r>
          </w:p>
          <w:p w14:paraId="7EC9D190" w14:textId="77777777" w:rsidR="00922E6D" w:rsidRDefault="00922E6D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922E6D">
              <w:rPr>
                <w:rFonts w:ascii="Times New Roman" w:eastAsia="Arial" w:hAnsi="Times New Roman" w:cs="Times New Roman"/>
              </w:rPr>
              <w:t>Состояние сухожилий</w:t>
            </w:r>
            <w:r>
              <w:rPr>
                <w:rFonts w:ascii="Times New Roman" w:eastAsia="Arial" w:hAnsi="Times New Roman" w:cs="Times New Roman"/>
              </w:rPr>
              <w:t xml:space="preserve">: </w:t>
            </w:r>
            <w:r w:rsidRPr="00922E6D">
              <w:rPr>
                <w:rFonts w:ascii="Times New Roman" w:eastAsia="Arial" w:hAnsi="Times New Roman" w:cs="Times New Roman"/>
              </w:rPr>
              <w:t>Сухожилия упругие, плотные, поверхность суставов гладкая, блестящая</w:t>
            </w:r>
          </w:p>
          <w:p w14:paraId="045C92AE" w14:textId="38AA77FC" w:rsidR="00E264F1" w:rsidRDefault="00E264F1" w:rsidP="00922E6D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960F927" w14:textId="6E73D3FB" w:rsidR="0077622C" w:rsidRDefault="00E264F1" w:rsidP="00E264F1">
            <w:pPr>
              <w:tabs>
                <w:tab w:val="left" w:pos="8789"/>
              </w:tabs>
              <w:spacing w:after="0" w:line="240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8432415" w14:textId="644E584F" w:rsid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73B69"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2E72" w14:textId="47AF6379" w:rsidR="0077622C" w:rsidRPr="0077622C" w:rsidRDefault="0077622C" w:rsidP="0077622C">
            <w:pPr>
              <w:pStyle w:val="afffc"/>
              <w:spacing w:line="252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7622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</w:tr>
    </w:tbl>
    <w:p w14:paraId="2FE48ED9" w14:textId="4D10873B" w:rsidR="00C165A8" w:rsidRPr="00C165A8" w:rsidRDefault="0002637E" w:rsidP="00C165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bookmarkStart w:id="0" w:name="_Hlk182925209"/>
      <w:r w:rsidRPr="00C165A8">
        <w:rPr>
          <w:rFonts w:ascii="Times New Roman" w:hAnsi="Times New Roman" w:cs="Times New Roman"/>
          <w:b/>
          <w:bCs/>
          <w:color w:val="000000"/>
        </w:rPr>
        <w:t xml:space="preserve">2. Место и срок поставки товаров: </w:t>
      </w:r>
      <w:r w:rsidR="00C165A8" w:rsidRPr="00C165A8">
        <w:rPr>
          <w:rStyle w:val="docy"/>
          <w:rFonts w:ascii="Times New Roman" w:hAnsi="Times New Roman" w:cs="Times New Roman"/>
          <w:color w:val="000000"/>
        </w:rPr>
        <w:t xml:space="preserve">162220, Вологодская область </w:t>
      </w:r>
      <w:proofErr w:type="spellStart"/>
      <w:r w:rsidR="00C165A8" w:rsidRPr="00C165A8">
        <w:rPr>
          <w:rFonts w:ascii="Times New Roman" w:hAnsi="Times New Roman" w:cs="Times New Roman"/>
          <w:color w:val="000000"/>
        </w:rPr>
        <w:t>Сямженский</w:t>
      </w:r>
      <w:proofErr w:type="spellEnd"/>
      <w:r w:rsidR="00C165A8" w:rsidRPr="00C165A8">
        <w:rPr>
          <w:rFonts w:ascii="Times New Roman" w:hAnsi="Times New Roman" w:cs="Times New Roman"/>
          <w:color w:val="000000"/>
        </w:rPr>
        <w:t xml:space="preserve"> район,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д.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Нестериха,</w:t>
      </w:r>
      <w:r w:rsidR="00C165A8">
        <w:rPr>
          <w:rFonts w:ascii="Times New Roman" w:hAnsi="Times New Roman" w:cs="Times New Roman"/>
          <w:color w:val="000000"/>
        </w:rPr>
        <w:t xml:space="preserve"> </w:t>
      </w:r>
      <w:r w:rsidR="00C165A8" w:rsidRPr="00C165A8">
        <w:rPr>
          <w:rFonts w:ascii="Times New Roman" w:hAnsi="Times New Roman" w:cs="Times New Roman"/>
          <w:color w:val="000000"/>
        </w:rPr>
        <w:t>строение 1</w:t>
      </w:r>
      <w:r w:rsidR="00C165A8" w:rsidRPr="00C165A8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21AEC7B3" w14:textId="04199275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C165A8">
        <w:rPr>
          <w:rFonts w:ascii="Times New Roman" w:hAnsi="Times New Roman" w:cs="Times New Roman"/>
          <w:b/>
          <w:bCs/>
          <w:color w:val="000000"/>
        </w:rPr>
        <w:t xml:space="preserve">3. </w:t>
      </w:r>
      <w:r w:rsidR="0002637E" w:rsidRPr="00C165A8">
        <w:rPr>
          <w:rFonts w:ascii="Times New Roman" w:hAnsi="Times New Roman" w:cs="Times New Roman"/>
          <w:b/>
          <w:bCs/>
          <w:color w:val="000000"/>
        </w:rPr>
        <w:t>Срок и условия поставки товаров:</w:t>
      </w:r>
      <w:r w:rsidR="0002637E" w:rsidRPr="00C165A8">
        <w:rPr>
          <w:rFonts w:ascii="Times New Roman" w:hAnsi="Times New Roman" w:cs="Times New Roman"/>
          <w:color w:val="000000"/>
        </w:rPr>
        <w:t xml:space="preserve"> </w:t>
      </w:r>
      <w:r w:rsidR="00C165A8">
        <w:rPr>
          <w:rFonts w:ascii="Times New Roman" w:hAnsi="Times New Roman" w:cs="Times New Roman"/>
          <w:color w:val="000000"/>
        </w:rPr>
        <w:t>с момента заключения договора</w:t>
      </w:r>
      <w:r w:rsidR="0002637E" w:rsidRPr="00C165A8">
        <w:rPr>
          <w:rFonts w:ascii="Times New Roman" w:hAnsi="Times New Roman" w:cs="Times New Roman"/>
          <w:color w:val="000000"/>
        </w:rPr>
        <w:t xml:space="preserve"> по 3</w:t>
      </w:r>
      <w:r w:rsidR="00C165A8">
        <w:rPr>
          <w:rFonts w:ascii="Times New Roman" w:hAnsi="Times New Roman" w:cs="Times New Roman"/>
          <w:color w:val="000000"/>
        </w:rPr>
        <w:t>0</w:t>
      </w:r>
      <w:r w:rsidR="0002637E" w:rsidRPr="00C165A8">
        <w:rPr>
          <w:rFonts w:ascii="Times New Roman" w:hAnsi="Times New Roman" w:cs="Times New Roman"/>
          <w:color w:val="000000"/>
        </w:rPr>
        <w:t>.</w:t>
      </w:r>
      <w:r w:rsidR="00C165A8">
        <w:rPr>
          <w:rFonts w:ascii="Times New Roman" w:hAnsi="Times New Roman" w:cs="Times New Roman"/>
          <w:color w:val="000000"/>
        </w:rPr>
        <w:t>08</w:t>
      </w:r>
      <w:r w:rsidR="0002637E" w:rsidRPr="00C165A8">
        <w:rPr>
          <w:rFonts w:ascii="Times New Roman" w:hAnsi="Times New Roman" w:cs="Times New Roman"/>
          <w:color w:val="000000"/>
        </w:rPr>
        <w:t>.2026</w:t>
      </w:r>
      <w:r w:rsidR="00C165A8">
        <w:rPr>
          <w:rFonts w:ascii="Times New Roman" w:hAnsi="Times New Roman" w:cs="Times New Roman"/>
          <w:color w:val="000000"/>
        </w:rPr>
        <w:t xml:space="preserve"> г.</w:t>
      </w:r>
      <w:r w:rsidR="0002637E" w:rsidRPr="00C165A8">
        <w:rPr>
          <w:rFonts w:ascii="Times New Roman" w:hAnsi="Times New Roman" w:cs="Times New Roman"/>
          <w:color w:val="000000"/>
        </w:rPr>
        <w:t>, согласно заявке Заказчика.</w:t>
      </w:r>
    </w:p>
    <w:p w14:paraId="641457F6" w14:textId="0824B3B7" w:rsidR="00C165A8" w:rsidRPr="00C165A8" w:rsidRDefault="00C165A8" w:rsidP="00C165A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3.1. </w:t>
      </w:r>
      <w:r w:rsidRPr="00C165A8">
        <w:rPr>
          <w:rFonts w:ascii="Times New Roman" w:hAnsi="Times New Roman" w:cs="Times New Roman"/>
          <w:color w:val="000000"/>
        </w:rPr>
        <w:t>Поставка производится с 08.00ч. по 16.00 ч, по заявке Заказчика,1 раз в неделю.</w:t>
      </w:r>
    </w:p>
    <w:p w14:paraId="492FF35F" w14:textId="3D915426" w:rsidR="00697BF8" w:rsidRPr="001921CA" w:rsidRDefault="00C165A8" w:rsidP="00C165A8">
      <w:pPr>
        <w:pStyle w:val="aff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3.2. </w:t>
      </w:r>
      <w:r w:rsidR="0002637E" w:rsidRPr="001921CA">
        <w:rPr>
          <w:color w:val="000000"/>
          <w:sz w:val="22"/>
          <w:szCs w:val="22"/>
        </w:rPr>
        <w:t>Поставка осуществляется в рабочие дни Заказчика, силами и средствами Поставщика.</w:t>
      </w:r>
    </w:p>
    <w:p w14:paraId="4F985914" w14:textId="0ECC421A" w:rsidR="00697BF8" w:rsidRDefault="00C165A8" w:rsidP="00C165A8">
      <w:pPr>
        <w:pStyle w:val="aff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3.3. </w:t>
      </w:r>
      <w:r w:rsidR="0002637E">
        <w:rPr>
          <w:color w:val="000000"/>
          <w:sz w:val="22"/>
          <w:szCs w:val="22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29E3EBE" w14:textId="5D4DF4FE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02637E">
        <w:rPr>
          <w:rFonts w:ascii="Times New Roman" w:hAnsi="Times New Roman" w:cs="Times New Roman"/>
          <w:b/>
        </w:rPr>
        <w:t>. 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BD9B6C6" w14:textId="68486D53" w:rsidR="00697BF8" w:rsidRDefault="001921CA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.1. Качество и безопасность поставляемого товара должны соответствовать требованиям и нормам, установленным: </w:t>
      </w:r>
    </w:p>
    <w:p w14:paraId="5A4582CD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законом от 02.01.2000 № 29-ФЗ «О качестве и безопасности пищевых продуктов»;</w:t>
      </w:r>
    </w:p>
    <w:p w14:paraId="37B7C724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Федеральным закон от 30.03.1999 № 52-ФЗ «О санитарно-эпидемиологическом благополучии населения»;</w:t>
      </w:r>
    </w:p>
    <w:p w14:paraId="205F93A9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2.3.2.1324-03 «Гигиенические требования к срокам годности и условиям хранения пищевых продуктов»;</w:t>
      </w:r>
    </w:p>
    <w:p w14:paraId="0DB07D3C" w14:textId="77777777" w:rsidR="00697BF8" w:rsidRDefault="0002637E" w:rsidP="00C165A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СанПиН 2.3.2.1078-01 «Гигиенические требования к безопасности и пищевой ценности пищевых продуктов»;</w:t>
      </w:r>
    </w:p>
    <w:p w14:paraId="46C11B2C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793C3F8C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021/2011 «О безопасности пищевой продукции»;</w:t>
      </w:r>
    </w:p>
    <w:p w14:paraId="175ED287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022/2011 «Пищевая продукция в части ее маркировки»;</w:t>
      </w:r>
    </w:p>
    <w:p w14:paraId="60D9E425" w14:textId="1CA5D140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E264F1">
        <w:rPr>
          <w:rFonts w:ascii="Times New Roman" w:hAnsi="Times New Roman" w:cs="Times New Roman"/>
        </w:rPr>
        <w:t>ТР ТС 034/2013 «О безопасности мяса и мясной продукции»;</w:t>
      </w:r>
    </w:p>
    <w:p w14:paraId="22123C94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ТР ТС 005/2011 «О безопасности упаковки»;</w:t>
      </w:r>
    </w:p>
    <w:p w14:paraId="30AACB24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33FE199" w14:textId="624F67C5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4BE62ED" w14:textId="6D50FA31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 xml:space="preserve">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6E60EB6" w14:textId="15B367A3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72CF5C8B" w14:textId="5030F823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2637E">
        <w:rPr>
          <w:rFonts w:ascii="Times New Roman" w:hAnsi="Times New Roman" w:cs="Times New Roman"/>
        </w:rPr>
        <w:t>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181E273A" w14:textId="458D6C3B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02637E">
        <w:rPr>
          <w:rFonts w:ascii="Times New Roman" w:hAnsi="Times New Roman" w:cs="Times New Roman"/>
          <w:b/>
        </w:rPr>
        <w:t>. Требования к сроку и (или) объему предоставления гарантий качества товаров:</w:t>
      </w:r>
    </w:p>
    <w:p w14:paraId="57D390BE" w14:textId="45A800B7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6A64BD76" w14:textId="29322A0E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2637E">
        <w:rPr>
          <w:rFonts w:ascii="Times New Roman" w:hAnsi="Times New Roman" w:cs="Times New Roman"/>
        </w:rPr>
        <w:t>.2. Наличие недостатков и сроки их устранения фиксируются Сторонами в двухстороннем акте выявленных недостатков.</w:t>
      </w:r>
    </w:p>
    <w:p w14:paraId="35C53C0C" w14:textId="5985B81A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3794">
        <w:rPr>
          <w:rFonts w:ascii="Times New Roman" w:hAnsi="Times New Roman" w:cs="Times New Roman"/>
        </w:rPr>
        <w:t>5</w:t>
      </w:r>
      <w:r w:rsidR="0002637E" w:rsidRPr="00403794">
        <w:rPr>
          <w:rFonts w:ascii="Times New Roman" w:hAnsi="Times New Roman" w:cs="Times New Roman"/>
        </w:rPr>
        <w:t>.3. Остаточный срок годности: не менее 80% от установленного производителем.</w:t>
      </w:r>
    </w:p>
    <w:p w14:paraId="6A9D6C94" w14:textId="3BC36A7F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02637E">
        <w:rPr>
          <w:rFonts w:ascii="Times New Roman" w:hAnsi="Times New Roman" w:cs="Times New Roman"/>
          <w:b/>
        </w:rPr>
        <w:t>. Требования к условиям поставки товара, отгрузке товара:</w:t>
      </w:r>
    </w:p>
    <w:p w14:paraId="345B49E6" w14:textId="7830C740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2D2ED81E" w14:textId="23B2B365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925CF63" w14:textId="1A43EDF6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3A91F6A9" w14:textId="7004D354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.4. Товар должен сопровождаться следующими документами:</w:t>
      </w:r>
    </w:p>
    <w:p w14:paraId="0CB0883D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товарная накладная (ТОРГ-12) или УПД (оригиналы);</w:t>
      </w:r>
    </w:p>
    <w:p w14:paraId="6B6753A4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 на оплату (оригиналы);</w:t>
      </w:r>
    </w:p>
    <w:p w14:paraId="76009F5B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счет-фактура или УПД (оригиналы);</w:t>
      </w:r>
    </w:p>
    <w:p w14:paraId="10EE4BBD" w14:textId="77777777" w:rsidR="00697BF8" w:rsidRDefault="0002637E" w:rsidP="00E264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копия сертификата соответствия или декларации соответствия.</w:t>
      </w:r>
    </w:p>
    <w:p w14:paraId="20DC57DF" w14:textId="2D51AFBC" w:rsidR="00697BF8" w:rsidRDefault="001921CA" w:rsidP="00E264F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6</w:t>
      </w:r>
      <w:r w:rsidR="0002637E">
        <w:rPr>
          <w:rFonts w:ascii="Times New Roman" w:hAnsi="Times New Roman" w:cs="Times New Roman"/>
        </w:rPr>
        <w:t>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0"/>
    </w:p>
    <w:sectPr w:rsidR="00697BF8">
      <w:footerReference w:type="default" r:id="rId7"/>
      <w:pgSz w:w="11906" w:h="16838"/>
      <w:pgMar w:top="1134" w:right="567" w:bottom="1134" w:left="1276" w:header="709" w:footer="709" w:gutter="0"/>
      <w:cols w:space="708"/>
      <w:titlePg/>
    </w:sectPr>
    <!-- MKR-1238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E04F" w14:textId="77777777" w:rsidR="00EF7509" w:rsidRDefault="00EF7509">
      <w:pPr>
        <w:spacing w:line="240" w:lineRule="auto"/>
      </w:pPr>
      <w:r>
        <w:separator/>
      </w:r>
    </w:p>
  </w:endnote>
  <w:endnote w:type="continuationSeparator" w:id="0">
    <w:p w14:paraId="2F10ED4B" w14:textId="77777777" w:rsidR="00EF7509" w:rsidRDefault="00EF75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8DB2" w14:textId="77777777" w:rsidR="00697BF8" w:rsidRDefault="0002637E">
    <w:pPr>
      <w:pStyle w:val="18"/>
      <w:framePr w:wrap="auto" w:vAnchor="text" w:hAnchor="margin" w:xAlign="right" w:y="1"/>
      <w:rPr>
        <w:rStyle w:val="af5"/>
        <w:rFonts w:ascii="Times New Roman" w:hAnsi="Times New Roman"/>
        <w:sz w:val="24"/>
        <w:szCs w:val="24"/>
      </w:rPr>
    </w:pPr>
    <w:r>
      <w:rPr>
        <w:rStyle w:val="af5"/>
        <w:rFonts w:ascii="Times New Roman" w:hAnsi="Times New Roman"/>
        <w:sz w:val="24"/>
        <w:szCs w:val="24"/>
      </w:rPr>
      <w:fldChar w:fldCharType="begin"/>
    </w:r>
    <w:r>
      <w:rPr>
        <w:rStyle w:val="af5"/>
        <w:rFonts w:ascii="Times New Roman" w:hAnsi="Times New Roman"/>
        <w:sz w:val="24"/>
        <w:szCs w:val="24"/>
      </w:rPr>
      <w:instrText xml:space="preserve">PAGE  </w:instrText>
    </w:r>
    <w:r>
      <w:rPr>
        <w:rStyle w:val="af5"/>
        <w:rFonts w:ascii="Times New Roman" w:hAnsi="Times New Roman"/>
        <w:sz w:val="24"/>
        <w:szCs w:val="24"/>
      </w:rPr>
      <w:fldChar w:fldCharType="separate"/>
    </w:r>
    <w:r>
      <w:rPr>
        <w:rStyle w:val="af5"/>
        <w:rFonts w:ascii="Times New Roman" w:hAnsi="Times New Roman"/>
        <w:sz w:val="24"/>
        <w:szCs w:val="24"/>
      </w:rPr>
      <w:t>2</w:t>
    </w:r>
    <w:r>
      <w:rPr>
        <w:rStyle w:val="af5"/>
        <w:rFonts w:ascii="Times New Roman" w:hAnsi="Times New Roman"/>
        <w:sz w:val="24"/>
        <w:szCs w:val="24"/>
      </w:rPr>
      <w:fldChar w:fldCharType="end"/>
    </w:r>
  </w:p>
  <w:p w14:paraId="468BAA99" w14:textId="77777777" w:rsidR="00697BF8" w:rsidRDefault="00697BF8">
    <w:pPr>
      <w:pStyle w:val="18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7738B" w14:textId="77777777" w:rsidR="00EF7509" w:rsidRDefault="00EF7509">
      <w:pPr>
        <w:spacing w:after="0"/>
      </w:pPr>
      <w:r>
        <w:separator/>
      </w:r>
    </w:p>
  </w:footnote>
  <w:footnote w:type="continuationSeparator" w:id="0">
    <w:p w14:paraId="1F676CC0" w14:textId="77777777" w:rsidR="00EF7509" w:rsidRDefault="00EF75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D6B19"/>
    <w:multiLevelType w:val="hybridMultilevel"/>
    <w:tmpl w:val="EC8AF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4642C"/>
    <w:multiLevelType w:val="multilevel"/>
    <w:tmpl w:val="969C7D5A"/>
    <w:lvl w:ilvl="0">
      <w:start w:val="1"/>
      <w:numFmt w:val="upperRoman"/>
      <w:pStyle w:val="a"/>
      <w:lvlText w:val="%1."/>
      <w:lvlJc w:val="left"/>
      <w:pPr>
        <w:tabs>
          <w:tab w:val="left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left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left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left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3024"/>
        </w:tabs>
        <w:ind w:left="3024" w:hanging="1800"/>
      </w:pPr>
      <w:rPr>
        <w:rFonts w:cs="Times New Roman"/>
      </w:rPr>
    </w:lvl>
  </w:abstractNum>
  <w:abstractNum w:abstractNumId="2" w15:restartNumberingAfterBreak="0">
    <w:nsid w:val="12BC74A3"/>
    <w:multiLevelType w:val="multilevel"/>
    <w:tmpl w:val="6587482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854C7"/>
    <w:multiLevelType w:val="hybridMultilevel"/>
    <w:tmpl w:val="717E6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7CD"/>
    <w:multiLevelType w:val="multilevel"/>
    <w:tmpl w:val="4DE601C0"/>
    <w:lvl w:ilvl="0">
      <w:start w:val="1"/>
      <w:numFmt w:val="decimal"/>
      <w:pStyle w:val="-"/>
      <w:lvlText w:val="%1."/>
      <w:lvlJc w:val="center"/>
      <w:pPr>
        <w:tabs>
          <w:tab w:val="left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left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left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left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left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left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left" w:pos="4698"/>
        </w:tabs>
        <w:ind w:left="2898" w:hanging="144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BF8"/>
    <w:rsid w:val="00025466"/>
    <w:rsid w:val="0002637E"/>
    <w:rsid w:val="001921CA"/>
    <w:rsid w:val="001D14BE"/>
    <w:rsid w:val="002F0071"/>
    <w:rsid w:val="00357F94"/>
    <w:rsid w:val="00403794"/>
    <w:rsid w:val="004603C4"/>
    <w:rsid w:val="00490203"/>
    <w:rsid w:val="00640D04"/>
    <w:rsid w:val="00697BF8"/>
    <w:rsid w:val="006C142F"/>
    <w:rsid w:val="0077622C"/>
    <w:rsid w:val="007B6F5C"/>
    <w:rsid w:val="007C0E05"/>
    <w:rsid w:val="007C7538"/>
    <w:rsid w:val="00831C06"/>
    <w:rsid w:val="00922E6D"/>
    <w:rsid w:val="00BE538B"/>
    <w:rsid w:val="00C165A8"/>
    <w:rsid w:val="00D24892"/>
    <w:rsid w:val="00DA7AC4"/>
    <w:rsid w:val="00E264F1"/>
    <w:rsid w:val="00EF51D6"/>
    <w:rsid w:val="00E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95CF"/>
  <w15:docId w15:val="{E6AB1528-EF01-42BD-8BCF-7B332D10F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1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0"/>
    <w:next w:val="a0"/>
    <w:link w:val="21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0"/>
    <w:link w:val="31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1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0"/>
    <w:next w:val="a0"/>
    <w:link w:val="61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0"/>
    <w:next w:val="a0"/>
    <w:link w:val="71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0"/>
    <w:next w:val="a0"/>
    <w:link w:val="81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0"/>
    <w:next w:val="a0"/>
    <w:link w:val="91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10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0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0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1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1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4">
    <w:name w:val="Intense Emphasis"/>
    <w:basedOn w:val="a1"/>
    <w:uiPriority w:val="21"/>
    <w:qFormat/>
    <w:rPr>
      <w:i/>
      <w:iCs/>
      <w:color w:val="365F91" w:themeColor="accent1" w:themeShade="BF"/>
    </w:rPr>
  </w:style>
  <w:style w:type="character" w:styleId="a5">
    <w:name w:val="Intense Reference"/>
    <w:basedOn w:val="a1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6">
    <w:name w:val="Subtle Emphasis"/>
    <w:basedOn w:val="a1"/>
    <w:uiPriority w:val="19"/>
    <w:qFormat/>
    <w:rPr>
      <w:i/>
      <w:iCs/>
      <w:color w:val="404040" w:themeColor="text1" w:themeTint="BF"/>
    </w:rPr>
  </w:style>
  <w:style w:type="character" w:styleId="a7">
    <w:name w:val="Strong"/>
    <w:basedOn w:val="a1"/>
    <w:uiPriority w:val="22"/>
    <w:qFormat/>
    <w:rPr>
      <w:b/>
      <w:bCs/>
    </w:rPr>
  </w:style>
  <w:style w:type="character" w:styleId="a8">
    <w:name w:val="Subtle Reference"/>
    <w:basedOn w:val="a1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1"/>
    <w:uiPriority w:val="33"/>
    <w:qFormat/>
    <w:rPr>
      <w:b/>
      <w:bCs/>
      <w:i/>
      <w:iCs/>
      <w:spacing w:val="5"/>
    </w:rPr>
  </w:style>
  <w:style w:type="paragraph" w:styleId="aa">
    <w:name w:val="header"/>
    <w:basedOn w:val="a0"/>
    <w:link w:val="1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b">
    <w:name w:val="footer"/>
    <w:basedOn w:val="a0"/>
    <w:link w:val="1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ac">
    <w:name w:val="caption"/>
    <w:basedOn w:val="a0"/>
    <w:next w:val="a0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d">
    <w:name w:val="Placeholder Text"/>
    <w:basedOn w:val="a1"/>
    <w:uiPriority w:val="99"/>
    <w:semiHidden/>
    <w:rPr>
      <w:color w:val="666666"/>
    </w:rPr>
  </w:style>
  <w:style w:type="paragraph" w:styleId="ae">
    <w:name w:val="TOC Heading"/>
    <w:uiPriority w:val="39"/>
    <w:unhideWhenUsed/>
  </w:style>
  <w:style w:type="paragraph" w:customStyle="1" w:styleId="110">
    <w:name w:val="Заголовок 11"/>
    <w:basedOn w:val="a0"/>
    <w:next w:val="a0"/>
    <w:link w:val="14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0"/>
    <w:next w:val="a0"/>
    <w:link w:val="22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0"/>
    <w:next w:val="a0"/>
    <w:link w:val="32"/>
    <w:qFormat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customStyle="1" w:styleId="410">
    <w:name w:val="Заголовок 41"/>
    <w:basedOn w:val="a0"/>
    <w:next w:val="a0"/>
    <w:link w:val="42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0"/>
    <w:next w:val="a0"/>
    <w:link w:val="52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0">
    <w:name w:val="Заголовок 61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customStyle="1" w:styleId="710">
    <w:name w:val="Заголовок 71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0">
    <w:name w:val="Заголовок 81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customStyle="1" w:styleId="910">
    <w:name w:val="Заголовок 91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styleId="af">
    <w:name w:val="FollowedHyperlink"/>
    <w:semiHidden/>
    <w:qFormat/>
    <w:rPr>
      <w:rFonts w:ascii="Times New Roman" w:hAnsi="Times New Roman" w:cs="Times New Roman"/>
      <w:color w:val="800080"/>
      <w:u w:val="single"/>
    </w:rPr>
  </w:style>
  <w:style w:type="character" w:styleId="af0">
    <w:name w:val="footnote reference"/>
    <w:semiHidden/>
    <w:qFormat/>
    <w:rPr>
      <w:rFonts w:ascii="Times New Roman" w:hAnsi="Times New Roman" w:cs="Times New Roman"/>
      <w:vertAlign w:val="superscript"/>
    </w:rPr>
  </w:style>
  <w:style w:type="character" w:styleId="af1">
    <w:name w:val="annotation reference"/>
    <w:semiHidden/>
    <w:rPr>
      <w:rFonts w:ascii="Times New Roman" w:hAnsi="Times New Roman" w:cs="Times New Roman"/>
      <w:sz w:val="16"/>
      <w:szCs w:val="16"/>
    </w:rPr>
  </w:style>
  <w:style w:type="character" w:styleId="af2">
    <w:name w:val="endnote reference"/>
    <w:semiHidden/>
    <w:qFormat/>
    <w:rPr>
      <w:rFonts w:ascii="Times New Roman" w:hAnsi="Times New Roman" w:cs="Times New Roman"/>
      <w:vertAlign w:val="superscript"/>
    </w:rPr>
  </w:style>
  <w:style w:type="character" w:styleId="af3">
    <w:name w:val="Emphasis"/>
    <w:uiPriority w:val="20"/>
    <w:qFormat/>
    <w:rPr>
      <w:i/>
    </w:rPr>
  </w:style>
  <w:style w:type="character" w:styleId="af4">
    <w:name w:val="Hyperlink"/>
    <w:qFormat/>
    <w:rPr>
      <w:rFonts w:ascii="Times New Roman" w:hAnsi="Times New Roman" w:cs="Times New Roman"/>
      <w:color w:val="0000FF"/>
      <w:u w:val="single"/>
    </w:rPr>
  </w:style>
  <w:style w:type="character" w:styleId="af5">
    <w:name w:val="page number"/>
    <w:qFormat/>
    <w:rPr>
      <w:rFonts w:cs="Times New Roman"/>
    </w:rPr>
  </w:style>
  <w:style w:type="character" w:styleId="HTML">
    <w:name w:val="HTML Cite"/>
    <w:semiHidden/>
    <w:rPr>
      <w:rFonts w:cs="Times New Roman"/>
      <w:i/>
      <w:iCs/>
    </w:rPr>
  </w:style>
  <w:style w:type="paragraph" w:styleId="af6">
    <w:name w:val="Balloon Text"/>
    <w:basedOn w:val="a0"/>
    <w:link w:val="af7"/>
    <w:semiHidden/>
    <w:qFormat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paragraph" w:styleId="23">
    <w:name w:val="Body Text 2"/>
    <w:basedOn w:val="a0"/>
    <w:link w:val="24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paragraph" w:styleId="af8">
    <w:name w:val="Plain Text"/>
    <w:basedOn w:val="a0"/>
    <w:link w:val="af9"/>
    <w:qFormat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paragraph" w:styleId="afa">
    <w:name w:val="endnote text"/>
    <w:basedOn w:val="a0"/>
    <w:link w:val="afb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customStyle="1" w:styleId="15">
    <w:name w:val="Название объекта1"/>
    <w:basedOn w:val="a0"/>
    <w:next w:val="a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styleId="afc">
    <w:name w:val="annotation text"/>
    <w:basedOn w:val="a0"/>
    <w:link w:val="afd"/>
    <w:semiHidden/>
    <w:qFormat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afe">
    <w:name w:val="annotation subject"/>
    <w:basedOn w:val="afc"/>
    <w:next w:val="afc"/>
    <w:link w:val="aff"/>
    <w:semiHidden/>
    <w:qFormat/>
    <w:rPr>
      <w:b/>
      <w:bCs/>
    </w:rPr>
  </w:style>
  <w:style w:type="paragraph" w:styleId="aff0">
    <w:name w:val="footnote text"/>
    <w:basedOn w:val="a0"/>
    <w:link w:val="aff1"/>
    <w:semiHidden/>
    <w:pPr>
      <w:spacing w:after="0" w:line="240" w:lineRule="auto"/>
      <w:ind w:firstLine="851"/>
      <w:jc w:val="both"/>
    </w:pPr>
    <w:rPr>
      <w:sz w:val="20"/>
      <w:szCs w:val="20"/>
    </w:rPr>
  </w:style>
  <w:style w:type="paragraph" w:styleId="82">
    <w:name w:val="toc 8"/>
    <w:basedOn w:val="a0"/>
    <w:next w:val="a0"/>
    <w:semiHidden/>
    <w:qFormat/>
    <w:pPr>
      <w:spacing w:after="100"/>
      <w:ind w:left="1540"/>
    </w:pPr>
  </w:style>
  <w:style w:type="paragraph" w:customStyle="1" w:styleId="16">
    <w:name w:val="Верхний колонтитул1"/>
    <w:basedOn w:val="a0"/>
    <w:link w:val="aff2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92">
    <w:name w:val="toc 9"/>
    <w:basedOn w:val="a0"/>
    <w:next w:val="a0"/>
    <w:semiHidden/>
    <w:qFormat/>
    <w:pPr>
      <w:spacing w:after="100"/>
      <w:ind w:left="1760"/>
    </w:pPr>
  </w:style>
  <w:style w:type="paragraph" w:styleId="72">
    <w:name w:val="toc 7"/>
    <w:basedOn w:val="a0"/>
    <w:next w:val="a0"/>
    <w:semiHidden/>
    <w:pPr>
      <w:spacing w:after="100"/>
      <w:ind w:left="1320"/>
    </w:pPr>
  </w:style>
  <w:style w:type="paragraph" w:styleId="aff3">
    <w:name w:val="Body Text"/>
    <w:basedOn w:val="a0"/>
    <w:link w:val="aff4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17">
    <w:name w:val="toc 1"/>
    <w:basedOn w:val="a0"/>
    <w:next w:val="a0"/>
    <w:semiHidden/>
    <w:qFormat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62">
    <w:name w:val="toc 6"/>
    <w:basedOn w:val="a0"/>
    <w:next w:val="a0"/>
    <w:semiHidden/>
    <w:qFormat/>
    <w:pPr>
      <w:spacing w:after="100"/>
      <w:ind w:left="1100"/>
    </w:pPr>
  </w:style>
  <w:style w:type="paragraph" w:styleId="aff5">
    <w:name w:val="table of figures"/>
    <w:basedOn w:val="a0"/>
    <w:next w:val="a0"/>
    <w:uiPriority w:val="99"/>
    <w:unhideWhenUsed/>
    <w:qFormat/>
    <w:pPr>
      <w:spacing w:after="0"/>
    </w:pPr>
  </w:style>
  <w:style w:type="paragraph" w:styleId="33">
    <w:name w:val="toc 3"/>
    <w:basedOn w:val="a0"/>
    <w:next w:val="a0"/>
    <w:semiHidden/>
    <w:qFormat/>
    <w:pPr>
      <w:spacing w:after="100"/>
      <w:ind w:left="440"/>
    </w:pPr>
  </w:style>
  <w:style w:type="paragraph" w:styleId="25">
    <w:name w:val="toc 2"/>
    <w:basedOn w:val="a0"/>
    <w:next w:val="a0"/>
    <w:semiHidden/>
    <w:qFormat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43">
    <w:name w:val="toc 4"/>
    <w:basedOn w:val="a0"/>
    <w:next w:val="a0"/>
    <w:semiHidden/>
    <w:qFormat/>
    <w:pPr>
      <w:spacing w:after="100"/>
      <w:ind w:left="660"/>
    </w:pPr>
  </w:style>
  <w:style w:type="paragraph" w:styleId="53">
    <w:name w:val="toc 5"/>
    <w:basedOn w:val="a0"/>
    <w:next w:val="a0"/>
    <w:semiHidden/>
    <w:qFormat/>
    <w:pPr>
      <w:spacing w:after="100"/>
      <w:ind w:left="880"/>
    </w:pPr>
  </w:style>
  <w:style w:type="paragraph" w:styleId="aff6">
    <w:name w:val="Body Text Indent"/>
    <w:basedOn w:val="a0"/>
    <w:link w:val="aff7"/>
    <w:qFormat/>
    <w:pPr>
      <w:spacing w:after="120"/>
      <w:ind w:left="283"/>
    </w:pPr>
  </w:style>
  <w:style w:type="paragraph" w:styleId="26">
    <w:name w:val="List Bullet 2"/>
    <w:basedOn w:val="a0"/>
    <w:semiHidden/>
    <w:qFormat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f8">
    <w:name w:val="Title"/>
    <w:basedOn w:val="a0"/>
    <w:link w:val="aff9"/>
    <w:qFormat/>
    <w:pPr>
      <w:spacing w:after="0" w:line="240" w:lineRule="auto"/>
      <w:jc w:val="center"/>
    </w:pPr>
    <w:rPr>
      <w:b/>
      <w:bCs/>
      <w:sz w:val="28"/>
      <w:szCs w:val="28"/>
    </w:rPr>
  </w:style>
  <w:style w:type="paragraph" w:customStyle="1" w:styleId="18">
    <w:name w:val="Нижний колонтитул1"/>
    <w:basedOn w:val="a0"/>
    <w:link w:val="affa"/>
    <w:semiHidden/>
    <w:qFormat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paragraph" w:styleId="affb">
    <w:name w:val="Normal (Web)"/>
    <w:basedOn w:val="a0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ffc">
    <w:name w:val="Subtitle"/>
    <w:basedOn w:val="a0"/>
    <w:next w:val="a0"/>
    <w:link w:val="affd"/>
    <w:uiPriority w:val="11"/>
    <w:qFormat/>
    <w:pPr>
      <w:spacing w:before="200"/>
    </w:pPr>
    <w:rPr>
      <w:sz w:val="24"/>
      <w:szCs w:val="24"/>
    </w:rPr>
  </w:style>
  <w:style w:type="table" w:styleId="affe">
    <w:name w:val="Table Grid"/>
    <w:basedOn w:val="a2"/>
    <w:qFormat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1">
    <w:name w:val="Заголовок 1 Знак1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1"/>
    <w:link w:val="2"/>
    <w:uiPriority w:val="9"/>
    <w:rPr>
      <w:rFonts w:ascii="Arial" w:eastAsia="Arial" w:hAnsi="Arial" w:cs="Arial"/>
      <w:sz w:val="34"/>
    </w:rPr>
  </w:style>
  <w:style w:type="character" w:customStyle="1" w:styleId="41">
    <w:name w:val="Заголовок 4 Знак1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1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1">
    <w:name w:val="Заголовок 7 Знак1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4">
    <w:name w:val="Заголовок 1 Знак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22">
    <w:name w:val="Заголовок 2 Знак"/>
    <w:link w:val="210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2">
    <w:name w:val="Заголовок 4 Знак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2">
    <w:name w:val="Заголовок 5 Знак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1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1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1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1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paragraph" w:styleId="27">
    <w:name w:val="Quote"/>
    <w:basedOn w:val="a0"/>
    <w:next w:val="a0"/>
    <w:link w:val="28"/>
    <w:uiPriority w:val="29"/>
    <w:qFormat/>
    <w:pPr>
      <w:ind w:left="720" w:right="720"/>
    </w:pPr>
    <w:rPr>
      <w:i/>
    </w:rPr>
  </w:style>
  <w:style w:type="character" w:customStyle="1" w:styleId="28">
    <w:name w:val="Цитата 2 Знак"/>
    <w:link w:val="27"/>
    <w:uiPriority w:val="29"/>
    <w:rPr>
      <w:i/>
    </w:rPr>
  </w:style>
  <w:style w:type="paragraph" w:styleId="afff">
    <w:name w:val="Intense Quote"/>
    <w:basedOn w:val="a0"/>
    <w:next w:val="a0"/>
    <w:link w:val="a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f0">
    <w:name w:val="Выделенная цитата Знак"/>
    <w:link w:val="afff"/>
    <w:uiPriority w:val="30"/>
    <w:rPr>
      <w:i/>
    </w:rPr>
  </w:style>
  <w:style w:type="character" w:customStyle="1" w:styleId="12">
    <w:name w:val="Верхний колонтитул Знак1"/>
    <w:link w:val="aa"/>
    <w:uiPriority w:val="99"/>
    <w:qFormat/>
  </w:style>
  <w:style w:type="character" w:customStyle="1" w:styleId="13">
    <w:name w:val="Нижний колонтитул Знак1"/>
    <w:link w:val="ab"/>
    <w:uiPriority w:val="99"/>
  </w:style>
  <w:style w:type="character" w:customStyle="1" w:styleId="CaptionChar">
    <w:name w:val="Caption Char"/>
    <w:uiPriority w:val="99"/>
    <w:qFormat/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0">
    <w:name w:val="Таблица-сетка 1 светлая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0">
    <w:name w:val="Таблица-сетка 2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1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">
    <w:name w:val="Список-таблица 2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qFormat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uiPriority w:val="99"/>
    <w:tblPr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uiPriority w:val="99"/>
    <w:tblPr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pPr>
      <w:keepNext/>
      <w:keepLines/>
      <w:pageBreakBefore/>
      <w:tabs>
        <w:tab w:val="left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qFormat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qFormat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0"/>
    <w:semiHidden/>
    <w:qFormat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qFormat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qFormat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qFormat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qFormat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qFormat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qFormat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qFormat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qFormat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qFormat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qFormat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qFormat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qFormat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qFormat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qFormat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qFormat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qFormat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qFormat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qFormat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qFormat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qFormat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qFormat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qFormat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qFormat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qFormat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qFormat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qFormat/>
    <w:rPr>
      <w:rFonts w:ascii="Cambria" w:hAnsi="Cambria"/>
      <w:color w:val="4F81BD"/>
      <w:sz w:val="26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qFormat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qFormat/>
    <w:rPr>
      <w:rFonts w:ascii="Cambria" w:hAnsi="Cambria"/>
      <w:b/>
      <w:color w:val="4F81BD"/>
      <w:sz w:val="26"/>
    </w:rPr>
  </w:style>
  <w:style w:type="character" w:customStyle="1" w:styleId="aff1">
    <w:name w:val="Текст сноски Знак"/>
    <w:link w:val="aff0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link w:val="afc"/>
    <w:semiHidden/>
    <w:qFormat/>
    <w:rPr>
      <w:rFonts w:ascii="Times New Roman" w:hAnsi="Times New Roman" w:cs="Times New Roman"/>
      <w:sz w:val="20"/>
      <w:szCs w:val="20"/>
    </w:rPr>
  </w:style>
  <w:style w:type="character" w:customStyle="1" w:styleId="aff2">
    <w:name w:val="Верхний колонтитул Знак"/>
    <w:link w:val="16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fa">
    <w:name w:val="Нижний колонтитул Знак"/>
    <w:link w:val="18"/>
    <w:semiHidden/>
    <w:qFormat/>
    <w:rPr>
      <w:rFonts w:ascii="Times New Roman" w:hAnsi="Times New Roman" w:cs="Times New Roman"/>
      <w:sz w:val="28"/>
      <w:szCs w:val="28"/>
    </w:rPr>
  </w:style>
  <w:style w:type="character" w:customStyle="1" w:styleId="afb">
    <w:name w:val="Текст концевой сноски Знак"/>
    <w:link w:val="afa"/>
    <w:semiHidden/>
    <w:rPr>
      <w:rFonts w:ascii="Times New Roman" w:hAnsi="Times New Roman" w:cs="Times New Roman"/>
      <w:sz w:val="20"/>
      <w:szCs w:val="20"/>
    </w:rPr>
  </w:style>
  <w:style w:type="character" w:customStyle="1" w:styleId="aff">
    <w:name w:val="Тема примечания Знак"/>
    <w:link w:val="afe"/>
    <w:semiHidden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7">
    <w:name w:val="Текст выноски Знак"/>
    <w:link w:val="af6"/>
    <w:semiHidden/>
    <w:qFormat/>
    <w:rPr>
      <w:rFonts w:ascii="Tahoma" w:hAnsi="Tahoma" w:cs="Tahoma"/>
      <w:sz w:val="16"/>
      <w:szCs w:val="16"/>
    </w:rPr>
  </w:style>
  <w:style w:type="paragraph" w:customStyle="1" w:styleId="19">
    <w:name w:val="Рецензия1"/>
    <w:semiHidden/>
    <w:qFormat/>
    <w:rPr>
      <w:rFonts w:cs="Calibri"/>
      <w:sz w:val="28"/>
      <w:szCs w:val="28"/>
    </w:rPr>
  </w:style>
  <w:style w:type="paragraph" w:styleId="afff1">
    <w:name w:val="List Paragraph"/>
    <w:basedOn w:val="a0"/>
    <w:qFormat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customStyle="1" w:styleId="1a">
    <w:name w:val="Заголовок оглавления1"/>
    <w:basedOn w:val="1DocumentHeader1H11Heading1iz1111111211111"/>
    <w:next w:val="a0"/>
    <w:qFormat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f2">
    <w:name w:val="Пункт"/>
    <w:basedOn w:val="a0"/>
    <w:qFormat/>
    <w:pPr>
      <w:tabs>
        <w:tab w:val="left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f3">
    <w:name w:val="Пункт Знак"/>
    <w:basedOn w:val="a0"/>
    <w:qFormat/>
    <w:pPr>
      <w:tabs>
        <w:tab w:val="left" w:pos="643"/>
        <w:tab w:val="left" w:pos="851"/>
        <w:tab w:val="left" w:pos="1134"/>
        <w:tab w:val="left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f4">
    <w:name w:val="Подпункт"/>
    <w:basedOn w:val="afff3"/>
    <w:qFormat/>
    <w:pPr>
      <w:tabs>
        <w:tab w:val="clear" w:pos="643"/>
        <w:tab w:val="clear" w:pos="1134"/>
        <w:tab w:val="left" w:pos="993"/>
      </w:tabs>
      <w:ind w:left="993" w:hanging="851"/>
    </w:pPr>
  </w:style>
  <w:style w:type="paragraph" w:customStyle="1" w:styleId="afff5">
    <w:name w:val="Подподпункт"/>
    <w:basedOn w:val="afff4"/>
    <w:qFormat/>
    <w:pPr>
      <w:tabs>
        <w:tab w:val="left" w:pos="1134"/>
        <w:tab w:val="left" w:pos="1418"/>
      </w:tabs>
    </w:pPr>
  </w:style>
  <w:style w:type="paragraph" w:customStyle="1" w:styleId="afff6">
    <w:name w:val="Подподподпункт"/>
    <w:basedOn w:val="a0"/>
    <w:qFormat/>
    <w:pPr>
      <w:tabs>
        <w:tab w:val="left" w:pos="1134"/>
        <w:tab w:val="left" w:pos="1701"/>
        <w:tab w:val="left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b">
    <w:name w:val="Пункт1"/>
    <w:basedOn w:val="a0"/>
    <w:qFormat/>
    <w:pPr>
      <w:tabs>
        <w:tab w:val="left" w:pos="567"/>
        <w:tab w:val="left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4">
    <w:name w:val="Пункт_3"/>
    <w:basedOn w:val="a0"/>
    <w:qFormat/>
    <w:pPr>
      <w:tabs>
        <w:tab w:val="left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9">
    <w:name w:val="Пункт_2_заглав"/>
    <w:basedOn w:val="a0"/>
    <w:next w:val="a0"/>
    <w:pPr>
      <w:keepNext/>
      <w:tabs>
        <w:tab w:val="left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c">
    <w:name w:val="Пункт_1"/>
    <w:basedOn w:val="a0"/>
    <w:qFormat/>
    <w:pPr>
      <w:keepNext/>
      <w:tabs>
        <w:tab w:val="left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a">
    <w:name w:val="Пункт_2"/>
    <w:basedOn w:val="a0"/>
    <w:qFormat/>
    <w:pPr>
      <w:tabs>
        <w:tab w:val="left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2">
    <w:name w:val="пункт-6"/>
    <w:basedOn w:val="a0"/>
    <w:qFormat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qFormat/>
    <w:pPr>
      <w:tabs>
        <w:tab w:val="left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f7">
    <w:name w:val="Пункт_б/н"/>
    <w:basedOn w:val="a0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f8">
    <w:name w:val="Примечание Знак"/>
    <w:link w:val="afff9"/>
    <w:qFormat/>
    <w:rPr>
      <w:rFonts w:ascii="Times New Roman" w:hAnsi="Times New Roman"/>
      <w:spacing w:val="20"/>
      <w:sz w:val="24"/>
    </w:rPr>
  </w:style>
  <w:style w:type="paragraph" w:customStyle="1" w:styleId="afff9">
    <w:name w:val="Примечание"/>
    <w:basedOn w:val="a0"/>
    <w:link w:val="afff8"/>
    <w:qFormat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5">
    <w:name w:val="Пункт_3_заглав"/>
    <w:basedOn w:val="34"/>
    <w:qFormat/>
    <w:pPr>
      <w:keepNext/>
      <w:tabs>
        <w:tab w:val="clear" w:pos="1134"/>
        <w:tab w:val="left" w:pos="720"/>
        <w:tab w:val="left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4">
    <w:name w:val="Пункт_4"/>
    <w:basedOn w:val="34"/>
    <w:qFormat/>
    <w:pPr>
      <w:tabs>
        <w:tab w:val="left" w:pos="720"/>
        <w:tab w:val="left" w:pos="864"/>
        <w:tab w:val="left" w:pos="2269"/>
      </w:tabs>
      <w:ind w:left="2269" w:hanging="1134"/>
    </w:p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088095CB421E4E02BDC9682AFEE1723A">
    <w:name w:val="088095CB421E4E02BDC9682AFEE1723A"/>
    <w:pPr>
      <w:spacing w:after="200" w:line="276" w:lineRule="auto"/>
    </w:pPr>
    <w:rPr>
      <w:rFonts w:cs="Calibri"/>
      <w:sz w:val="22"/>
      <w:szCs w:val="22"/>
    </w:rPr>
  </w:style>
  <w:style w:type="paragraph" w:customStyle="1" w:styleId="Oaeno">
    <w:name w:val="Oaeno"/>
    <w:basedOn w:val="a0"/>
    <w:qFormat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2">
    <w:name w:val="Пункт-3"/>
    <w:basedOn w:val="a0"/>
    <w:qFormat/>
    <w:pPr>
      <w:tabs>
        <w:tab w:val="left" w:pos="1701"/>
        <w:tab w:val="left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2">
    <w:name w:val="Пункт-4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2">
    <w:name w:val="Пункт-5"/>
    <w:basedOn w:val="a0"/>
    <w:qFormat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3">
    <w:name w:val="Пункт-6"/>
    <w:basedOn w:val="a0"/>
    <w:qFormat/>
    <w:pPr>
      <w:tabs>
        <w:tab w:val="left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2">
    <w:name w:val="Пункт-7"/>
    <w:basedOn w:val="a0"/>
    <w:pPr>
      <w:tabs>
        <w:tab w:val="left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a">
    <w:name w:val="Главы"/>
    <w:basedOn w:val="a0"/>
    <w:next w:val="a0"/>
    <w:pPr>
      <w:pageBreakBefore/>
      <w:numPr>
        <w:numId w:val="1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b">
    <w:name w:val="Пункт2"/>
    <w:basedOn w:val="afff2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character" w:customStyle="1" w:styleId="afffa">
    <w:name w:val="Основной шрифт"/>
    <w:semiHidden/>
  </w:style>
  <w:style w:type="paragraph" w:customStyle="1" w:styleId="afffb">
    <w:name w:val="Служебный"/>
    <w:basedOn w:val="a"/>
  </w:style>
  <w:style w:type="paragraph" w:customStyle="1" w:styleId="2c">
    <w:name w:val="Знак Знак Знак2 Знак"/>
    <w:basedOn w:val="a0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ff9">
    <w:name w:val="Заголовок Знак"/>
    <w:link w:val="aff8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aff4">
    <w:name w:val="Основной текст Знак"/>
    <w:link w:val="aff3"/>
    <w:rPr>
      <w:rFonts w:ascii="Courier New" w:hAnsi="Courier New" w:cs="Courier New"/>
      <w:sz w:val="20"/>
      <w:szCs w:val="20"/>
    </w:rPr>
  </w:style>
  <w:style w:type="character" w:customStyle="1" w:styleId="24">
    <w:name w:val="Основной текст 2 Знак"/>
    <w:link w:val="23"/>
    <w:rPr>
      <w:rFonts w:ascii="Courier New" w:hAnsi="Courier New" w:cs="Courier New"/>
      <w:sz w:val="24"/>
      <w:szCs w:val="24"/>
    </w:rPr>
  </w:style>
  <w:style w:type="table" w:customStyle="1" w:styleId="1d">
    <w:name w:val="Сетка таблицы1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e">
    <w:name w:val="Абзац списка1"/>
    <w:basedOn w:val="a0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customStyle="1" w:styleId="36">
    <w:name w:val="Знак Знак3"/>
    <w:qFormat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">
    <w:name w:val="Знак Знак1"/>
    <w:qFormat/>
    <w:rPr>
      <w:rFonts w:ascii="Courier New" w:hAnsi="Courier New"/>
    </w:rPr>
  </w:style>
  <w:style w:type="paragraph" w:styleId="afffc">
    <w:name w:val="No Spacing"/>
    <w:link w:val="afffd"/>
    <w:uiPriority w:val="99"/>
    <w:qFormat/>
    <w:rPr>
      <w:rFonts w:cs="Calibri"/>
      <w:sz w:val="22"/>
      <w:szCs w:val="22"/>
    </w:rPr>
  </w:style>
  <w:style w:type="paragraph" w:customStyle="1" w:styleId="212">
    <w:name w:val="Основной текст 21"/>
    <w:basedOn w:val="a0"/>
    <w:qFormat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qFormat/>
    <w:pPr>
      <w:numPr>
        <w:ilvl w:val="1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qFormat/>
    <w:pPr>
      <w:keepNext/>
      <w:numPr>
        <w:numId w:val="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qFormat/>
    <w:pPr>
      <w:numPr>
        <w:ilvl w:val="2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pPr>
      <w:numPr>
        <w:ilvl w:val="3"/>
        <w:numId w:val="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pPr>
      <w:spacing w:after="240" w:line="240" w:lineRule="auto"/>
    </w:pPr>
    <w:rPr>
      <w:sz w:val="24"/>
      <w:szCs w:val="24"/>
      <w:lang w:val="en-US" w:eastAsia="en-US"/>
    </w:rPr>
  </w:style>
  <w:style w:type="character" w:customStyle="1" w:styleId="af9">
    <w:name w:val="Текст Знак"/>
    <w:link w:val="af8"/>
    <w:rPr>
      <w:rFonts w:ascii="Consolas" w:hAnsi="Consolas" w:cs="Consolas"/>
      <w:sz w:val="21"/>
      <w:szCs w:val="21"/>
      <w:lang w:val="ru-RU" w:eastAsia="en-US" w:bidi="ar-SA"/>
    </w:rPr>
  </w:style>
  <w:style w:type="character" w:customStyle="1" w:styleId="aff7">
    <w:name w:val="Основной текст с отступом Знак"/>
    <w:link w:val="aff6"/>
    <w:semiHidden/>
    <w:qFormat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d">
    <w:name w:val="Без интервала Знак"/>
    <w:link w:val="afffc"/>
    <w:uiPriority w:val="99"/>
    <w:qFormat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f0">
    <w:name w:val="Без интервала1"/>
    <w:qFormat/>
    <w:rPr>
      <w:rFonts w:cs="Calibri"/>
      <w:sz w:val="24"/>
      <w:szCs w:val="24"/>
      <w:lang w:eastAsia="zh-CN"/>
    </w:rPr>
  </w:style>
  <w:style w:type="paragraph" w:customStyle="1" w:styleId="point">
    <w:name w:val="point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qFormat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ocdata">
    <w:name w:val="docdata"/>
    <w:aliases w:val="2817,bqiaagaaeyqcaaagiaiaaanocgaabxykaaaaaaaaaaaaaaaaaaaaaaaaaaaaaaaaaaaaaaaaaaaaaaaaaaaaaaaaaaaaaaaaaaaaaaaaaaaaaaaaaaaaaaaaaaaaaaaaaaaaaaaaaaaaaaaaaaaaaaaaaaaaaaaaaaaaaaaaaaaaaaaaaaaaaaaaaaaaaaaaaaaaaaaaaaaaaaaaaaaaaaaaaaaaaaaaaaaaaaaa,1485"/>
    <w:basedOn w:val="a0"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y">
    <w:name w:val="docy"/>
    <w:aliases w:val="v5,2577,bqiaagaaeyqcaaagiaiaaan4cqaabyyjaaaaaaaaaaaaaaaaaaaaaaaaaaaaaaaaaaaaaaaaaaaaaaaaaaaaaaaaaaaaaaaaaaaaaaaaaaaaaaaaaaaaaaaaaaaaaaaaaaaaaaaaaaaaaaaaaaaaaaaaaaaaaaaaaaaaaaaaaaaaaaaaaaaaaaaaaaaaaaaaaaaaaaaaaaaaaaaaaaaaaaaaaaaaaaaaaaaaaaaa,1229"/>
    <w:basedOn w:val="a1"/>
    <w:rsid w:val="00C16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1313</Words>
  <Characters>7486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DOC-MARKER-99tnl4mtYJra08E1hmPUrw</dc:description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creator>marina</dc:creator>
  <cp:lastModifiedBy>Искандер Мухтаров Равилевич</cp:lastModifiedBy>
  <cp:revision>5</cp:revision>
  <dcterms:created xsi:type="dcterms:W3CDTF">2026-05-22T09:48:00Z</dcterms:created>
  <dcterms:modified xsi:type="dcterms:W3CDTF">2026-05-22T10:28:00Z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909467D6763B4242B13611A41B802BB8_12</vt:lpwstr>
  </property>
</Properties>
</file>