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4ADD3" w14:textId="77777777" w:rsidR="00FE68DB" w:rsidRPr="00FE68DB" w:rsidRDefault="00FE68DB" w:rsidP="00DF29CB">
      <w:pPr>
        <w:spacing w:after="0" w:line="240" w:lineRule="auto"/>
        <w:jc w:val="center"/>
        <w:rPr>
          <w:b/>
          <w:sz w:val="22"/>
          <w:szCs w:val="22"/>
        </w:rPr>
      </w:pPr>
      <w:r w:rsidRPr="00FE68DB">
        <w:rPr>
          <w:b/>
          <w:sz w:val="22"/>
          <w:szCs w:val="22"/>
        </w:rPr>
        <w:t>Техническое задание</w:t>
      </w:r>
    </w:p>
    <w:p w14:paraId="0C5D547E" w14:textId="4625DD6B" w:rsidR="00FE68DB" w:rsidRPr="00FE68DB" w:rsidRDefault="00D355AA" w:rsidP="00DF29CB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оказание услуг по продлению</w:t>
      </w:r>
      <w:r w:rsidR="00FE68DB" w:rsidRPr="00FE68DB">
        <w:rPr>
          <w:b/>
          <w:sz w:val="22"/>
          <w:szCs w:val="22"/>
        </w:rPr>
        <w:t xml:space="preserve"> антивирусного программного обеспечения</w:t>
      </w:r>
    </w:p>
    <w:p w14:paraId="737F1B45" w14:textId="77777777" w:rsidR="00C83B56" w:rsidRPr="00FE68DB" w:rsidRDefault="00733A70" w:rsidP="00DF29CB">
      <w:pPr>
        <w:spacing w:after="0" w:line="240" w:lineRule="auto"/>
        <w:rPr>
          <w:sz w:val="22"/>
          <w:szCs w:val="22"/>
        </w:rPr>
      </w:pP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560"/>
        <w:gridCol w:w="1397"/>
        <w:gridCol w:w="1818"/>
        <w:gridCol w:w="2316"/>
        <w:gridCol w:w="1693"/>
        <w:gridCol w:w="1861"/>
      </w:tblGrid>
      <w:tr w:rsidR="00FE68DB" w:rsidRPr="00FE68DB" w14:paraId="1E6D1DD3" w14:textId="77777777" w:rsidTr="00FE68DB">
        <w:trPr>
          <w:trHeight w:val="345"/>
        </w:trPr>
        <w:tc>
          <w:tcPr>
            <w:tcW w:w="560" w:type="dxa"/>
            <w:vMerge w:val="restart"/>
            <w:hideMark/>
          </w:tcPr>
          <w:p w14:paraId="6E461A6D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97" w:type="dxa"/>
            <w:vMerge w:val="restart"/>
            <w:hideMark/>
          </w:tcPr>
          <w:p w14:paraId="1270CB40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  <w:r w:rsidRPr="00FE68DB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18" w:type="dxa"/>
            <w:vMerge w:val="restart"/>
            <w:hideMark/>
          </w:tcPr>
          <w:p w14:paraId="0C320F46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  <w:r w:rsidRPr="00FE68D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870" w:type="dxa"/>
            <w:gridSpan w:val="3"/>
            <w:hideMark/>
          </w:tcPr>
          <w:p w14:paraId="7780ACAB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  <w:r w:rsidRPr="00FE68DB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FE68DB" w:rsidRPr="00FE68DB" w14:paraId="516F5FD5" w14:textId="77777777" w:rsidTr="00FE68DB">
        <w:trPr>
          <w:trHeight w:val="345"/>
        </w:trPr>
        <w:tc>
          <w:tcPr>
            <w:tcW w:w="560" w:type="dxa"/>
            <w:vMerge/>
            <w:hideMark/>
          </w:tcPr>
          <w:p w14:paraId="5B1DEB50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hideMark/>
          </w:tcPr>
          <w:p w14:paraId="25D936BA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8" w:type="dxa"/>
            <w:vMerge/>
            <w:hideMark/>
          </w:tcPr>
          <w:p w14:paraId="19154F2C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hideMark/>
          </w:tcPr>
          <w:p w14:paraId="618AF70A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  <w:r w:rsidRPr="00FE68DB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2B343358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  <w:r w:rsidRPr="00FE68DB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0CA2825A" w14:textId="77777777" w:rsidR="00FE68DB" w:rsidRPr="00FE68DB" w:rsidRDefault="00FE68DB" w:rsidP="00DF29CB">
            <w:pPr>
              <w:jc w:val="both"/>
              <w:rPr>
                <w:b/>
                <w:bCs/>
                <w:sz w:val="22"/>
                <w:szCs w:val="22"/>
              </w:rPr>
            </w:pPr>
            <w:r w:rsidRPr="00FE68DB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FE68DB" w:rsidRPr="00FE68DB" w14:paraId="15643FA1" w14:textId="77777777" w:rsidTr="00FE68DB">
        <w:trPr>
          <w:trHeight w:val="945"/>
        </w:trPr>
        <w:tc>
          <w:tcPr>
            <w:tcW w:w="560" w:type="dxa"/>
            <w:hideMark/>
          </w:tcPr>
          <w:p w14:paraId="38BC3D81" w14:textId="77777777" w:rsidR="00FE68DB" w:rsidRPr="00FE68DB" w:rsidRDefault="00FE68DB" w:rsidP="00DF29CB">
            <w:pPr>
              <w:jc w:val="both"/>
              <w:rPr>
                <w:bCs/>
                <w:sz w:val="22"/>
                <w:szCs w:val="22"/>
              </w:rPr>
            </w:pPr>
            <w:r w:rsidRPr="00FE68D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97" w:type="dxa"/>
            <w:hideMark/>
          </w:tcPr>
          <w:p w14:paraId="28905083" w14:textId="77777777" w:rsidR="00FE68DB" w:rsidRPr="00FE68DB" w:rsidRDefault="00FE68DB" w:rsidP="00DF29CB">
            <w:pPr>
              <w:jc w:val="both"/>
              <w:rPr>
                <w:bCs/>
                <w:sz w:val="22"/>
                <w:szCs w:val="22"/>
              </w:rPr>
            </w:pPr>
            <w:r w:rsidRPr="00FE68DB">
              <w:rPr>
                <w:bCs/>
                <w:sz w:val="22"/>
                <w:szCs w:val="22"/>
              </w:rPr>
              <w:t>62.01.29.000</w:t>
            </w:r>
          </w:p>
        </w:tc>
        <w:tc>
          <w:tcPr>
            <w:tcW w:w="1818" w:type="dxa"/>
            <w:hideMark/>
          </w:tcPr>
          <w:p w14:paraId="436D727A" w14:textId="77777777" w:rsidR="00FE68DB" w:rsidRPr="00FE68DB" w:rsidRDefault="00FE68DB" w:rsidP="00DF29CB">
            <w:pPr>
              <w:jc w:val="both"/>
              <w:rPr>
                <w:bCs/>
                <w:sz w:val="22"/>
                <w:szCs w:val="22"/>
              </w:rPr>
            </w:pPr>
            <w:r w:rsidRPr="00FE68DB">
              <w:rPr>
                <w:bCs/>
                <w:sz w:val="22"/>
                <w:szCs w:val="22"/>
              </w:rPr>
              <w:t xml:space="preserve">Антивирусное программное обеспечение </w:t>
            </w:r>
            <w:proofErr w:type="spellStart"/>
            <w:r w:rsidRPr="00FE68DB">
              <w:rPr>
                <w:bCs/>
                <w:sz w:val="22"/>
                <w:szCs w:val="22"/>
              </w:rPr>
              <w:t>Kaspersky</w:t>
            </w:r>
            <w:proofErr w:type="spellEnd"/>
            <w:r w:rsidRPr="00FE68D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16" w:type="dxa"/>
            <w:hideMark/>
          </w:tcPr>
          <w:p w14:paraId="58CD97B2" w14:textId="77777777" w:rsidR="00FE68DB" w:rsidRPr="00FE68DB" w:rsidRDefault="00FE68DB" w:rsidP="00DF29CB">
            <w:pPr>
              <w:jc w:val="both"/>
              <w:rPr>
                <w:bCs/>
                <w:sz w:val="22"/>
                <w:szCs w:val="22"/>
              </w:rPr>
            </w:pPr>
            <w:r w:rsidRPr="00FE68DB">
              <w:rPr>
                <w:bCs/>
                <w:sz w:val="22"/>
                <w:szCs w:val="22"/>
              </w:rPr>
              <w:t>Применено</w:t>
            </w:r>
            <w:r w:rsidRPr="00FE68DB">
              <w:rPr>
                <w:bCs/>
                <w:sz w:val="22"/>
                <w:szCs w:val="22"/>
              </w:rPr>
              <w:br/>
              <w:t>поз. 146 - Программа для электронной вычислительной машины и (или) базы данных</w:t>
            </w:r>
          </w:p>
        </w:tc>
        <w:tc>
          <w:tcPr>
            <w:tcW w:w="1693" w:type="dxa"/>
            <w:hideMark/>
          </w:tcPr>
          <w:p w14:paraId="62417EA6" w14:textId="77777777" w:rsidR="00FE68DB" w:rsidRPr="00FE68DB" w:rsidRDefault="00FE68DB" w:rsidP="00DF29C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05A4913B" w14:textId="77777777" w:rsidR="00FE68DB" w:rsidRPr="00FE68DB" w:rsidRDefault="00FE68DB" w:rsidP="00DF29CB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1E9C9FF" w14:textId="77777777" w:rsidR="00FE68DB" w:rsidRDefault="00FE68DB" w:rsidP="00DF29CB">
      <w:pPr>
        <w:spacing w:after="0" w:line="240" w:lineRule="auto"/>
        <w:jc w:val="both"/>
        <w:rPr>
          <w:b/>
          <w:sz w:val="22"/>
          <w:szCs w:val="22"/>
        </w:rPr>
      </w:pPr>
    </w:p>
    <w:p w14:paraId="40F7128E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</w:rPr>
      </w:pPr>
      <w:r w:rsidRPr="00FE68DB">
        <w:rPr>
          <w:b/>
          <w:sz w:val="22"/>
          <w:szCs w:val="22"/>
        </w:rPr>
        <w:t>1. Объект закупки:</w:t>
      </w:r>
    </w:p>
    <w:tbl>
      <w:tblPr>
        <w:tblStyle w:val="a3"/>
        <w:tblW w:w="4972" w:type="pct"/>
        <w:jc w:val="center"/>
        <w:tblLook w:val="04A0" w:firstRow="1" w:lastRow="0" w:firstColumn="1" w:lastColumn="0" w:noHBand="0" w:noVBand="1"/>
      </w:tblPr>
      <w:tblGrid>
        <w:gridCol w:w="3752"/>
        <w:gridCol w:w="5174"/>
        <w:gridCol w:w="930"/>
      </w:tblGrid>
      <w:tr w:rsidR="00FE68DB" w:rsidRPr="00FE68DB" w14:paraId="6D701DE8" w14:textId="77777777" w:rsidTr="00DF29CB">
        <w:trPr>
          <w:jc w:val="center"/>
        </w:trPr>
        <w:tc>
          <w:tcPr>
            <w:tcW w:w="3752" w:type="dxa"/>
            <w:shd w:val="clear" w:color="auto" w:fill="auto"/>
          </w:tcPr>
          <w:p w14:paraId="618FA009" w14:textId="77777777" w:rsidR="00FE68DB" w:rsidRPr="00FE68DB" w:rsidRDefault="00FE68DB" w:rsidP="00DF29CB">
            <w:pPr>
              <w:jc w:val="center"/>
              <w:rPr>
                <w:b/>
                <w:sz w:val="22"/>
                <w:szCs w:val="22"/>
              </w:rPr>
            </w:pPr>
            <w:r w:rsidRPr="00FE68D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174" w:type="dxa"/>
          </w:tcPr>
          <w:p w14:paraId="5DFB59ED" w14:textId="77777777" w:rsidR="00FE68DB" w:rsidRPr="00FE68DB" w:rsidRDefault="00FE68DB" w:rsidP="00DF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Характеристики </w:t>
            </w:r>
          </w:p>
        </w:tc>
        <w:tc>
          <w:tcPr>
            <w:tcW w:w="930" w:type="dxa"/>
            <w:shd w:val="clear" w:color="auto" w:fill="auto"/>
          </w:tcPr>
          <w:p w14:paraId="0EB5BF14" w14:textId="77777777" w:rsidR="00FE68DB" w:rsidRPr="00FE68DB" w:rsidRDefault="00FE68DB" w:rsidP="00DF29CB">
            <w:pPr>
              <w:jc w:val="center"/>
              <w:rPr>
                <w:b/>
                <w:sz w:val="22"/>
                <w:szCs w:val="22"/>
              </w:rPr>
            </w:pPr>
            <w:r w:rsidRPr="00FE68DB">
              <w:rPr>
                <w:b/>
                <w:sz w:val="22"/>
                <w:szCs w:val="22"/>
              </w:rPr>
              <w:t>Кол-во</w:t>
            </w:r>
          </w:p>
        </w:tc>
      </w:tr>
      <w:tr w:rsidR="00FE68DB" w:rsidRPr="00FE68DB" w14:paraId="64A38B18" w14:textId="77777777" w:rsidTr="00DF29CB">
        <w:trPr>
          <w:trHeight w:val="479"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6"/>
            </w:tblGrid>
            <w:tr w:rsidR="00FE68DB" w14:paraId="659FFB35" w14:textId="77777777">
              <w:trPr>
                <w:trHeight w:val="523"/>
              </w:trPr>
              <w:tc>
                <w:tcPr>
                  <w:tcW w:w="0" w:type="auto"/>
                </w:tcPr>
                <w:p w14:paraId="01383D9A" w14:textId="77777777" w:rsidR="00FE68DB" w:rsidRDefault="00FE68DB" w:rsidP="00DF29C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Лицензия (неисключительное право) </w:t>
                  </w:r>
                  <w:proofErr w:type="spellStart"/>
                  <w:r>
                    <w:rPr>
                      <w:sz w:val="23"/>
                      <w:szCs w:val="23"/>
                    </w:rPr>
                    <w:t>Kaspersky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Endpoint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Security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для бизнеса – Стандартный </w:t>
                  </w:r>
                  <w:proofErr w:type="spellStart"/>
                  <w:r>
                    <w:rPr>
                      <w:sz w:val="23"/>
                      <w:szCs w:val="23"/>
                    </w:rPr>
                    <w:t>Russian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Edition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100-149 </w:t>
                  </w:r>
                  <w:proofErr w:type="spellStart"/>
                  <w:r>
                    <w:rPr>
                      <w:sz w:val="23"/>
                      <w:szCs w:val="23"/>
                    </w:rPr>
                    <w:t>Node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2 </w:t>
                  </w:r>
                  <w:proofErr w:type="spellStart"/>
                  <w:r>
                    <w:rPr>
                      <w:sz w:val="23"/>
                      <w:szCs w:val="23"/>
                    </w:rPr>
                    <w:t>year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Educational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Renewal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License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(KL4863RARDQ) </w:t>
                  </w:r>
                </w:p>
              </w:tc>
            </w:tr>
          </w:tbl>
          <w:p w14:paraId="45751E49" w14:textId="77777777" w:rsidR="00FE68DB" w:rsidRPr="00FE68DB" w:rsidRDefault="00FE68DB" w:rsidP="00DF29C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964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Защита от новейших угроз, в том числе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12A60">
              <w:rPr>
                <w:bCs/>
                <w:sz w:val="22"/>
                <w:szCs w:val="22"/>
              </w:rPr>
              <w:t xml:space="preserve">от </w:t>
            </w:r>
            <w:proofErr w:type="spellStart"/>
            <w:r w:rsidRPr="00812A60">
              <w:rPr>
                <w:bCs/>
                <w:sz w:val="22"/>
                <w:szCs w:val="22"/>
              </w:rPr>
              <w:t>бесфайловых</w:t>
            </w:r>
            <w:proofErr w:type="spellEnd"/>
            <w:r w:rsidRPr="00812A60">
              <w:rPr>
                <w:bCs/>
                <w:sz w:val="22"/>
                <w:szCs w:val="22"/>
              </w:rPr>
              <w:t xml:space="preserve"> вирусов</w:t>
            </w:r>
          </w:p>
          <w:p w14:paraId="5BCA371F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Укрепление безопасности рабочих мест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12A60">
              <w:rPr>
                <w:bCs/>
                <w:sz w:val="22"/>
                <w:szCs w:val="22"/>
              </w:rPr>
              <w:t>и снижение уязвимости к кибератакам</w:t>
            </w:r>
          </w:p>
          <w:p w14:paraId="77B17946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Защита серверов и рабочих мест без ущерба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12A60">
              <w:rPr>
                <w:bCs/>
                <w:sz w:val="22"/>
                <w:szCs w:val="22"/>
              </w:rPr>
              <w:t>для производительности</w:t>
            </w:r>
          </w:p>
          <w:p w14:paraId="6E866A8A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 xml:space="preserve">• Защита различных платформ – </w:t>
            </w:r>
            <w:proofErr w:type="spellStart"/>
            <w:r w:rsidRPr="00812A60">
              <w:rPr>
                <w:bCs/>
                <w:sz w:val="22"/>
                <w:szCs w:val="22"/>
              </w:rPr>
              <w:t>Windows</w:t>
            </w:r>
            <w:proofErr w:type="spellEnd"/>
            <w:r w:rsidRPr="00812A6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12A60">
              <w:rPr>
                <w:bCs/>
                <w:sz w:val="22"/>
                <w:szCs w:val="22"/>
              </w:rPr>
              <w:t>Mac</w:t>
            </w:r>
            <w:proofErr w:type="spellEnd"/>
            <w:r w:rsidRPr="00812A6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12A60">
              <w:rPr>
                <w:bCs/>
                <w:sz w:val="22"/>
                <w:szCs w:val="22"/>
              </w:rPr>
              <w:t>Linux</w:t>
            </w:r>
            <w:proofErr w:type="spellEnd"/>
          </w:p>
          <w:p w14:paraId="35B21091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Простое управление безопасностью из единой</w:t>
            </w:r>
          </w:p>
          <w:p w14:paraId="0B325BD4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консоли</w:t>
            </w:r>
          </w:p>
          <w:p w14:paraId="25F97CA1" w14:textId="77777777" w:rsidR="00FE68DB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Инструменты контроля</w:t>
            </w:r>
          </w:p>
          <w:p w14:paraId="6F2EF132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Защита от массовых угроз (</w:t>
            </w:r>
            <w:r>
              <w:rPr>
                <w:bCs/>
                <w:sz w:val="22"/>
                <w:szCs w:val="22"/>
              </w:rPr>
              <w:t xml:space="preserve">не менее </w:t>
            </w:r>
            <w:r w:rsidRPr="00812A60">
              <w:rPr>
                <w:bCs/>
                <w:sz w:val="22"/>
                <w:szCs w:val="22"/>
              </w:rPr>
              <w:t>90% всех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12A60">
              <w:rPr>
                <w:bCs/>
                <w:sz w:val="22"/>
                <w:szCs w:val="22"/>
              </w:rPr>
              <w:t>киберугроз</w:t>
            </w:r>
            <w:proofErr w:type="spellEnd"/>
            <w:r w:rsidRPr="00812A60">
              <w:rPr>
                <w:bCs/>
                <w:sz w:val="22"/>
                <w:szCs w:val="22"/>
              </w:rPr>
              <w:t>)</w:t>
            </w:r>
          </w:p>
          <w:p w14:paraId="76E7FAA8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Единая консоль</w:t>
            </w:r>
          </w:p>
          <w:p w14:paraId="3C87E3A9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Одна лицензия на все приложения</w:t>
            </w:r>
          </w:p>
          <w:p w14:paraId="4435A223" w14:textId="77777777" w:rsidR="00812A60" w:rsidRPr="00812A60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Простое масштабирование и переход на новые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12A60">
              <w:rPr>
                <w:bCs/>
                <w:sz w:val="22"/>
                <w:szCs w:val="22"/>
              </w:rPr>
              <w:t>уровни</w:t>
            </w:r>
          </w:p>
          <w:p w14:paraId="5899E717" w14:textId="77777777" w:rsidR="00812A60" w:rsidRPr="00FE68DB" w:rsidRDefault="00812A60" w:rsidP="00DF29CB">
            <w:pPr>
              <w:rPr>
                <w:bCs/>
                <w:sz w:val="22"/>
                <w:szCs w:val="22"/>
              </w:rPr>
            </w:pPr>
            <w:r w:rsidRPr="00812A60">
              <w:rPr>
                <w:bCs/>
                <w:sz w:val="22"/>
                <w:szCs w:val="22"/>
              </w:rPr>
              <w:t>• Сертифицированное решение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370C" w14:textId="77777777" w:rsidR="00FE68DB" w:rsidRPr="00FE68DB" w:rsidRDefault="00FE68DB" w:rsidP="00DF29CB">
            <w:pPr>
              <w:jc w:val="center"/>
              <w:rPr>
                <w:bCs/>
                <w:sz w:val="22"/>
                <w:szCs w:val="22"/>
              </w:rPr>
            </w:pPr>
            <w:r w:rsidRPr="00FE68DB">
              <w:rPr>
                <w:bCs/>
                <w:sz w:val="22"/>
                <w:szCs w:val="22"/>
              </w:rPr>
              <w:t>114</w:t>
            </w:r>
          </w:p>
        </w:tc>
      </w:tr>
    </w:tbl>
    <w:p w14:paraId="711BF959" w14:textId="77777777" w:rsidR="00FE68DB" w:rsidRPr="00FE68DB" w:rsidRDefault="00FE68DB" w:rsidP="00DF29CB">
      <w:pPr>
        <w:spacing w:after="0" w:line="240" w:lineRule="auto"/>
        <w:jc w:val="both"/>
        <w:rPr>
          <w:bCs/>
          <w:sz w:val="22"/>
          <w:szCs w:val="22"/>
          <w14:ligatures w14:val="standardContextual"/>
        </w:rPr>
      </w:pPr>
      <w:r w:rsidRPr="00FE68DB">
        <w:rPr>
          <w:bCs/>
          <w:sz w:val="22"/>
          <w:szCs w:val="22"/>
          <w14:ligatures w14:val="standardContextual"/>
        </w:rPr>
        <w:t>Неисключительные права на использование программного обеспечения должны включать:</w:t>
      </w:r>
    </w:p>
    <w:p w14:paraId="5939BF2C" w14:textId="77777777" w:rsidR="00FE68DB" w:rsidRPr="00FE68DB" w:rsidRDefault="00FE68DB" w:rsidP="00DF29CB">
      <w:pPr>
        <w:spacing w:after="0" w:line="240" w:lineRule="auto"/>
        <w:jc w:val="both"/>
        <w:rPr>
          <w:bCs/>
          <w:sz w:val="22"/>
          <w:szCs w:val="22"/>
          <w14:ligatures w14:val="standardContextual"/>
        </w:rPr>
      </w:pPr>
      <w:r w:rsidRPr="00FE68DB">
        <w:rPr>
          <w:bCs/>
          <w:sz w:val="22"/>
          <w:szCs w:val="22"/>
          <w14:ligatures w14:val="standardContextual"/>
        </w:rPr>
        <w:t xml:space="preserve">- Простая (неисключительная) лицензия на право использования программного обеспечения на 114 рабочих мест, включая защиту и серверов, и рабочих станций сроком действия </w:t>
      </w:r>
      <w:r w:rsidRPr="00812A60">
        <w:rPr>
          <w:bCs/>
          <w:i/>
          <w:iCs/>
          <w:sz w:val="22"/>
          <w:szCs w:val="22"/>
          <w14:ligatures w14:val="standardContextual"/>
        </w:rPr>
        <w:t>не менее чем на 24 месяцев</w:t>
      </w:r>
      <w:r w:rsidRPr="00FE68DB">
        <w:rPr>
          <w:bCs/>
          <w:sz w:val="22"/>
          <w:szCs w:val="22"/>
          <w14:ligatures w14:val="standardContextual"/>
        </w:rPr>
        <w:t>.</w:t>
      </w:r>
    </w:p>
    <w:p w14:paraId="1767CDEF" w14:textId="77777777" w:rsidR="00FE68DB" w:rsidRPr="00FE68DB" w:rsidRDefault="00FE68DB" w:rsidP="00DF29CB">
      <w:pPr>
        <w:spacing w:after="0" w:line="240" w:lineRule="auto"/>
        <w:jc w:val="both"/>
        <w:rPr>
          <w:bCs/>
          <w:sz w:val="22"/>
          <w:szCs w:val="22"/>
          <w14:ligatures w14:val="standardContextual"/>
        </w:rPr>
      </w:pPr>
      <w:r w:rsidRPr="00FE68DB">
        <w:rPr>
          <w:bCs/>
          <w:sz w:val="22"/>
          <w:szCs w:val="22"/>
          <w14:ligatures w14:val="standardContextual"/>
        </w:rPr>
        <w:t>- Ключ для активации лицензии</w:t>
      </w:r>
    </w:p>
    <w:p w14:paraId="0454003A" w14:textId="77777777" w:rsidR="00FE68DB" w:rsidRPr="00FE68DB" w:rsidRDefault="00FE68DB" w:rsidP="00DF29CB">
      <w:pPr>
        <w:spacing w:after="0" w:line="240" w:lineRule="auto"/>
        <w:jc w:val="both"/>
        <w:rPr>
          <w:i/>
          <w:iCs/>
          <w:sz w:val="22"/>
          <w:szCs w:val="22"/>
        </w:rPr>
      </w:pPr>
      <w:r w:rsidRPr="00FE68DB">
        <w:rPr>
          <w:i/>
          <w:iCs/>
          <w:sz w:val="22"/>
          <w:szCs w:val="22"/>
          <w:highlight w:val="green"/>
        </w:rPr>
        <w:t>Поставка эквивалента не допустима в связи с необходимостью обеспечения взаимодействия данного программного обеспечения с ранее приобретенными и эксплуатируемыми у Заказчика средствами защиты информации</w:t>
      </w:r>
    </w:p>
    <w:p w14:paraId="25995F9A" w14:textId="77777777" w:rsidR="00FE68DB" w:rsidRPr="00FE68DB" w:rsidRDefault="00FE68DB" w:rsidP="00DF29CB">
      <w:pPr>
        <w:spacing w:after="0" w:line="240" w:lineRule="auto"/>
        <w:jc w:val="both"/>
        <w:rPr>
          <w:b/>
          <w:sz w:val="22"/>
          <w:szCs w:val="22"/>
          <w14:ligatures w14:val="standardContextual"/>
        </w:rPr>
      </w:pPr>
      <w:r w:rsidRPr="00FE68DB">
        <w:rPr>
          <w:b/>
          <w:sz w:val="22"/>
          <w:szCs w:val="22"/>
          <w14:ligatures w14:val="standardContextual"/>
        </w:rPr>
        <w:t>Техническая поддержка антивирусного программного обеспечения должна:</w:t>
      </w:r>
    </w:p>
    <w:p w14:paraId="07F56912" w14:textId="77777777" w:rsidR="00FE68DB" w:rsidRPr="00FE68DB" w:rsidRDefault="00FE68DB" w:rsidP="00DF29CB">
      <w:pPr>
        <w:spacing w:after="0" w:line="240" w:lineRule="auto"/>
        <w:jc w:val="both"/>
        <w:rPr>
          <w:bCs/>
          <w:sz w:val="22"/>
          <w:szCs w:val="22"/>
          <w14:ligatures w14:val="standardContextual"/>
        </w:rPr>
      </w:pPr>
      <w:r w:rsidRPr="00FE68DB">
        <w:rPr>
          <w:bCs/>
          <w:sz w:val="22"/>
          <w:szCs w:val="22"/>
          <w14:ligatures w14:val="standardContextual"/>
        </w:rPr>
        <w:t>•</w:t>
      </w:r>
      <w:r w:rsidRPr="00FE68DB">
        <w:rPr>
          <w:bCs/>
          <w:sz w:val="22"/>
          <w:szCs w:val="22"/>
          <w14:ligatures w14:val="standardContextual"/>
        </w:rPr>
        <w:tab/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Интернет.</w:t>
      </w:r>
    </w:p>
    <w:p w14:paraId="6CCC8E02" w14:textId="77777777" w:rsidR="00FE68DB" w:rsidRPr="00FE68DB" w:rsidRDefault="00FE68DB" w:rsidP="00DF29CB">
      <w:pPr>
        <w:spacing w:after="0" w:line="240" w:lineRule="auto"/>
        <w:jc w:val="both"/>
        <w:rPr>
          <w:bCs/>
          <w:sz w:val="22"/>
          <w:szCs w:val="22"/>
          <w14:ligatures w14:val="standardContextual"/>
        </w:rPr>
      </w:pPr>
      <w:r w:rsidRPr="00FE68DB">
        <w:rPr>
          <w:bCs/>
          <w:sz w:val="22"/>
          <w:szCs w:val="22"/>
          <w14:ligatures w14:val="standardContextual"/>
        </w:rPr>
        <w:t>•</w:t>
      </w:r>
      <w:r w:rsidRPr="00FE68DB">
        <w:rPr>
          <w:bCs/>
          <w:sz w:val="22"/>
          <w:szCs w:val="22"/>
          <w14:ligatures w14:val="standardContextual"/>
        </w:rPr>
        <w:tab/>
      </w:r>
      <w:proofErr w:type="spellStart"/>
      <w:r w:rsidRPr="00FE68DB">
        <w:rPr>
          <w:bCs/>
          <w:sz w:val="22"/>
          <w:szCs w:val="22"/>
          <w14:ligatures w14:val="standardContextual"/>
        </w:rPr>
        <w:t>Web</w:t>
      </w:r>
      <w:proofErr w:type="spellEnd"/>
      <w:r w:rsidRPr="00FE68DB">
        <w:rPr>
          <w:bCs/>
          <w:sz w:val="22"/>
          <w:szCs w:val="22"/>
          <w14:ligatures w14:val="standardContextual"/>
        </w:rPr>
        <w:t>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14:paraId="7E70E4F3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</w:rPr>
      </w:pPr>
      <w:r w:rsidRPr="00FE68DB">
        <w:rPr>
          <w:b/>
          <w:bCs/>
          <w:sz w:val="22"/>
          <w:szCs w:val="22"/>
          <w:highlight w:val="yellow"/>
        </w:rPr>
        <w:t xml:space="preserve">2. Срок и условия предоставления лицензионной программы: </w:t>
      </w:r>
      <w:r w:rsidRPr="00FE68DB">
        <w:rPr>
          <w:sz w:val="22"/>
          <w:szCs w:val="22"/>
          <w:highlight w:val="yellow"/>
        </w:rPr>
        <w:t>с момента подписания договора до 30 июня 2026 года.</w:t>
      </w:r>
    </w:p>
    <w:p w14:paraId="4C0C32CA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</w:rPr>
      </w:pPr>
      <w:r w:rsidRPr="00FE68DB">
        <w:rPr>
          <w:sz w:val="22"/>
          <w:szCs w:val="22"/>
          <w:highlight w:val="yellow"/>
        </w:rPr>
        <w:t>Передача прав использования программного обеспечения осуществляется Исполнителем на адрес: 628680 Россия, Ханты-Мансийский автономный округ-Югра, город Мегион, ул. Проспект Победы, д.6.</w:t>
      </w:r>
    </w:p>
    <w:p w14:paraId="0B055A9C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  <w:lang w:eastAsia="ru-RU"/>
        </w:rPr>
      </w:pPr>
      <w:r w:rsidRPr="00FE68DB">
        <w:rPr>
          <w:b/>
          <w:bCs/>
          <w:color w:val="000000"/>
          <w:sz w:val="22"/>
          <w:szCs w:val="22"/>
          <w:lang w:eastAsia="ru-RU"/>
        </w:rPr>
        <w:t>3. Требования к качеству, безопасности, сроку и (или) объему предоставления гарантий качества ПО:</w:t>
      </w:r>
    </w:p>
    <w:p w14:paraId="6771C360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 xml:space="preserve">3.1. </w:t>
      </w:r>
      <w:r w:rsidRPr="00FE68DB">
        <w:rPr>
          <w:sz w:val="22"/>
          <w:szCs w:val="22"/>
        </w:rPr>
        <w:t xml:space="preserve">Программное обеспечение </w:t>
      </w:r>
      <w:r w:rsidRPr="00FE68DB">
        <w:rPr>
          <w:color w:val="000000"/>
          <w:sz w:val="22"/>
          <w:szCs w:val="22"/>
          <w:lang w:eastAsia="ru-RU"/>
        </w:rPr>
        <w:t xml:space="preserve">должно соответствовать заданным функциональным и качественным характеристикам; </w:t>
      </w:r>
    </w:p>
    <w:p w14:paraId="12611644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lastRenderedPageBreak/>
        <w:t>3.2. Использование Заказчиком программного обеспечения допускается на всей территории Российской Федерации и должно быть разрешено к использованию на территории Российской Федерации, качество полностью соответствует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ПО);</w:t>
      </w:r>
    </w:p>
    <w:p w14:paraId="319FE0C2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>3.3. Передаваемое право на использование программного обеспечения должно быть свободным от любых прав третьих лиц, данные права не заложены, не арестованы, не являются предметом исков третьих лиц, и являются лицензионным продуктом;</w:t>
      </w:r>
    </w:p>
    <w:p w14:paraId="5D7E32D7" w14:textId="77777777" w:rsidR="00FE68DB" w:rsidRPr="00FE68DB" w:rsidRDefault="00FE68DB" w:rsidP="00DF29CB">
      <w:pPr>
        <w:spacing w:after="0" w:line="240" w:lineRule="auto"/>
        <w:jc w:val="both"/>
        <w:rPr>
          <w:color w:val="000000"/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>3.4. Предоставляемое право предусматривает право использования программного обеспечения и включает в себя право на воспроизведение, инсталляцию (установку и размещение), копирование и запуск (выполнение программного кода программного обеспечения) и использование программного обеспечения в соответствии с его функциональным назначением;</w:t>
      </w:r>
    </w:p>
    <w:p w14:paraId="4D713D11" w14:textId="77777777" w:rsidR="00FE68DB" w:rsidRPr="00FE68DB" w:rsidRDefault="00FE68DB" w:rsidP="00DF29CB">
      <w:pPr>
        <w:spacing w:after="0" w:line="240" w:lineRule="auto"/>
        <w:jc w:val="both"/>
        <w:rPr>
          <w:color w:val="000000"/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>3.5. Исполнитель осуществляет передачу неисключительных прав на использование программного обеспечения, лицензионной документации и серийного ключа Заказчику в электронном виде;</w:t>
      </w:r>
    </w:p>
    <w:p w14:paraId="0C40A2A6" w14:textId="77777777" w:rsidR="00FE68DB" w:rsidRPr="00FE68DB" w:rsidRDefault="00FE68DB" w:rsidP="00DF29CB">
      <w:pPr>
        <w:spacing w:after="0" w:line="240" w:lineRule="auto"/>
        <w:jc w:val="both"/>
        <w:rPr>
          <w:color w:val="000000"/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>3.6. Дополнительно обеспечивается предоставление безвозмездного доступа Заказчика к Интернет-порталу, включающему сервисы активации, консультационной и технической поддержки, в случае наличия такового портала у обладателя исключительных прав на программное обеспечение;</w:t>
      </w:r>
    </w:p>
    <w:p w14:paraId="26AC7C3E" w14:textId="77777777" w:rsidR="00FE68DB" w:rsidRPr="00FE68DB" w:rsidRDefault="00FE68DB" w:rsidP="00DF29CB">
      <w:pPr>
        <w:spacing w:after="0" w:line="240" w:lineRule="auto"/>
        <w:jc w:val="both"/>
        <w:rPr>
          <w:color w:val="000000"/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>3.7. Лицензионное Соглашение с конечным пользователем должно обеспечивать Заказчику следующие возможности:</w:t>
      </w:r>
    </w:p>
    <w:p w14:paraId="42272A5E" w14:textId="77777777" w:rsidR="00FE68DB" w:rsidRPr="00FE68DB" w:rsidRDefault="00FE68DB" w:rsidP="00DF29CB">
      <w:pPr>
        <w:spacing w:after="0" w:line="240" w:lineRule="auto"/>
        <w:jc w:val="both"/>
        <w:rPr>
          <w:color w:val="000000"/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>– используемые лицензионные версии программного продукта должны обеспечиваться всем стандартным комплексом услуг от фирмы-производителя лицензионного программного обеспечения, осуществляемых ею на территории Российской Федерации;</w:t>
      </w:r>
    </w:p>
    <w:p w14:paraId="73913BCD" w14:textId="77777777" w:rsidR="00FE68DB" w:rsidRPr="00FE68DB" w:rsidRDefault="00FE68DB" w:rsidP="00DF29CB">
      <w:pPr>
        <w:spacing w:after="0" w:line="240" w:lineRule="auto"/>
        <w:jc w:val="both"/>
        <w:rPr>
          <w:color w:val="000000"/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 xml:space="preserve">- предоставить документацию производителя на русском языке в электронном виде на ресурсе разработчика. </w:t>
      </w:r>
    </w:p>
    <w:p w14:paraId="25B017A4" w14:textId="77777777" w:rsidR="00FE68DB" w:rsidRPr="00FE68DB" w:rsidRDefault="00FE68DB" w:rsidP="00DF29CB">
      <w:pPr>
        <w:spacing w:after="0" w:line="240" w:lineRule="auto"/>
        <w:jc w:val="both"/>
        <w:rPr>
          <w:color w:val="000000"/>
          <w:sz w:val="22"/>
          <w:szCs w:val="22"/>
          <w:lang w:eastAsia="ru-RU"/>
        </w:rPr>
      </w:pPr>
      <w:r w:rsidRPr="00FE68DB">
        <w:rPr>
          <w:color w:val="000000"/>
          <w:sz w:val="22"/>
          <w:szCs w:val="22"/>
          <w:lang w:eastAsia="ru-RU"/>
        </w:rPr>
        <w:t>3.8. Гарантийные обязательства распространяется с момента приемки ПО Заказчиком. Гарантийный срок составляет не менее срока годности, установленного изготовителем (производителем). В течение гарантийного срока обнаруженные недостатки подлежат устранению силами и средствами Исполнителя.</w:t>
      </w:r>
    </w:p>
    <w:p w14:paraId="6F87C545" w14:textId="77777777" w:rsidR="00FE68DB" w:rsidRPr="00FE68DB" w:rsidRDefault="00FE68DB" w:rsidP="00DF29CB">
      <w:pPr>
        <w:spacing w:after="0" w:line="240" w:lineRule="auto"/>
        <w:rPr>
          <w:b/>
          <w:bCs/>
          <w:sz w:val="22"/>
          <w:szCs w:val="22"/>
        </w:rPr>
      </w:pPr>
      <w:r w:rsidRPr="00FE68DB">
        <w:rPr>
          <w:sz w:val="22"/>
          <w:szCs w:val="22"/>
        </w:rPr>
        <w:t xml:space="preserve">4. </w:t>
      </w:r>
      <w:r w:rsidRPr="00FE68DB">
        <w:rPr>
          <w:b/>
          <w:bCs/>
          <w:sz w:val="22"/>
          <w:szCs w:val="22"/>
        </w:rPr>
        <w:t>Общие требования к поставке и безопасности Программы для ЭВМ</w:t>
      </w:r>
    </w:p>
    <w:p w14:paraId="46A7C7F9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</w:rPr>
      </w:pPr>
      <w:r w:rsidRPr="00FE68DB">
        <w:rPr>
          <w:sz w:val="22"/>
          <w:szCs w:val="22"/>
        </w:rPr>
        <w:t>4.1. Качество переданной программе для ЭВМ должно соответствовать требованиям настоящего ТЗ и требованиям, предъявленным к качеству данного вида лицензии.</w:t>
      </w:r>
    </w:p>
    <w:p w14:paraId="2DAF887B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</w:rPr>
      </w:pPr>
      <w:r w:rsidRPr="00FE68DB">
        <w:rPr>
          <w:sz w:val="22"/>
          <w:szCs w:val="22"/>
        </w:rPr>
        <w:t>4.2. В процессе исполнения обязательств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 г. № 152-ФЗ «О персональных данных»;</w:t>
      </w:r>
    </w:p>
    <w:p w14:paraId="4213952D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</w:rPr>
      </w:pPr>
      <w:r w:rsidRPr="00FE68DB">
        <w:rPr>
          <w:sz w:val="22"/>
          <w:szCs w:val="22"/>
        </w:rPr>
        <w:t>- Федеральный закон от 27 июля 2006 года № 149-ФЗ «Об информации, информационных технологиях и о защите информации»;</w:t>
      </w:r>
    </w:p>
    <w:p w14:paraId="044EA58F" w14:textId="77777777" w:rsidR="00FE68DB" w:rsidRPr="00FE68DB" w:rsidRDefault="00FE68DB" w:rsidP="00DF29CB">
      <w:pPr>
        <w:spacing w:after="0" w:line="240" w:lineRule="auto"/>
        <w:jc w:val="both"/>
        <w:rPr>
          <w:sz w:val="22"/>
          <w:szCs w:val="22"/>
        </w:rPr>
      </w:pPr>
      <w:r w:rsidRPr="00FE68DB">
        <w:rPr>
          <w:sz w:val="22"/>
          <w:szCs w:val="22"/>
        </w:rPr>
        <w:t>- Постановление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данных».</w:t>
      </w:r>
    </w:p>
    <w:sectPr w:rsidR="00FE68DB" w:rsidRPr="00FE68DB" w:rsidSect="00DF29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DB"/>
    <w:rsid w:val="00733A70"/>
    <w:rsid w:val="00812A60"/>
    <w:rsid w:val="009E0CD6"/>
    <w:rsid w:val="00D355AA"/>
    <w:rsid w:val="00DF29CB"/>
    <w:rsid w:val="00F72B4A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0436"/>
  <w15:chartTrackingRefBased/>
  <w15:docId w15:val="{B390EF60-ABAF-464E-9A24-91DA3CFD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D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8D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E6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/>
  <cp:lastModifiedBy>Личманова Оксана Юрьевна</cp:lastModifiedBy>
  <cp:revision>2</cp:revision>
  <dcterms:created xsi:type="dcterms:W3CDTF">2026-05-19T09:37:00Z</dcterms:created>
  <dcterms:modified xsi:type="dcterms:W3CDTF">2026-05-20T05:13:00Z</dcterms:modified>
</cp:coreProperties>
</file>