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УТВЕ‍⁠​‍﻿‌‌﻿‌‌‍﻿​﻿﻿​‍⁠⁠﻿‍‍﻿⁠﻿​‍‍​‌‌⁠​‌﻿﻿​‍﻿‍﻿⁠﻿﻿‍⁠⁠‌‍​​﻿‍​⁠​​⁠⁠﻿‌‌​‍‍﻿​⁠​​​‌​‍‌​⁠‍​​‍⁠‍​‌​​﻿⁠﻿﻿﻿‌‍​‌‌‍⁠​‌﻿​‍​​​⁠‌﻿​‍﻿​‍‍‍‌﻿‌​‌‍﻿‌﻿‍‌⁠‌‌﻿РЖДАЮ</w:t>
      </w:r>
    </w:p>
    <w:p w:rsidR="00CF5DBD" w:rsidRPr="00CF5DB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Директор ‌‌﻿﻿‍‍‍﻿﻿﻿﻿‌﻿​‌﻿‌﻿⁠‌​​﻿‌‌​⁠‌‍⁠﻿​﻿‍⁠‍‍‍﻿​​﻿‍‍МАОУ ОСОШ №1</w:t>
      </w:r>
    </w:p>
    <w:p w:rsidR="00B935D1"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_________________ / Е.В. Казаринова</w:t>
      </w:r>
    </w:p>
    <w:p w:rsidR="00CF5DBD" w:rsidRPr="00F02ACD" w:rsidRDefault="00CF5DBD" w:rsidP="00CF5DB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93B5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28.05.2026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CF5DBD" w:rsidRDefault="0054310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ИЗВЕЩЕНИЕ</w:t>
      </w:r>
      <w:r w:rsidR="00CD6114" w:rsidRPr="00CF5DBD">
        <w:rPr>
          <w:rStyle w:val="aff0"/>
          <w:rFonts w:ascii="Times New Roman" w:eastAsia="Times New Roman" w:hAnsi="Times New Roman" w:cs="Times New Roman"/>
          <w:b/>
          <w:bCs/>
          <w:lang w:eastAsia="ru-RU"/>
        </w:rPr>
        <w:footnoteReference w:id="1"/>
      </w:r>
      <w:r w:rsidRPr="00CF5DBD">
        <w:rPr>
          <w:rFonts w:ascii="Times New Roman" w:eastAsia="Times New Roman" w:hAnsi="Times New Roman" w:cs="Times New Roman"/>
          <w:b/>
          <w:bCs/>
          <w:lang w:eastAsia="ru-RU"/>
        </w:rPr>
        <w:t xml:space="preserve"> </w:t>
      </w:r>
      <w:r w:rsidR="00653E09" w:rsidRPr="00CF5DBD">
        <w:rPr>
          <w:rFonts w:ascii="Times New Roman" w:eastAsia="Times New Roman" w:hAnsi="Times New Roman" w:cs="Times New Roman"/>
          <w:b/>
          <w:bCs/>
          <w:lang w:eastAsia="ru-RU"/>
        </w:rPr>
        <w:t>О</w:t>
      </w:r>
      <w:r w:rsidR="00EE7A23" w:rsidRPr="00CF5DBD">
        <w:rPr>
          <w:rFonts w:ascii="Times New Roman" w:eastAsia="Times New Roman" w:hAnsi="Times New Roman" w:cs="Times New Roman"/>
          <w:b/>
          <w:bCs/>
          <w:lang w:eastAsia="ru-RU"/>
        </w:rPr>
        <w:t xml:space="preserve"> ПРОВЕДЕНИИ </w:t>
      </w:r>
    </w:p>
    <w:p w:rsidR="00B935D1" w:rsidRPr="00CF5DBD" w:rsidRDefault="00E77E5E" w:rsidP="00CD6114">
      <w:pPr>
        <w:widowControl w:val="0"/>
        <w:spacing w:after="0" w:line="240" w:lineRule="auto"/>
        <w:jc w:val="center"/>
        <w:rPr>
          <w:rFonts w:ascii="Times New Roman" w:eastAsia="Times New Roman" w:hAnsi="Times New Roman" w:cs="Times New Roman"/>
          <w:b/>
          <w:bCs/>
          <w:lang w:eastAsia="ru-RU"/>
        </w:rPr>
      </w:pPr>
      <w:r w:rsidRPr="00CF5DBD">
        <w:rPr>
          <w:rFonts w:ascii="Times New Roman" w:eastAsia="Times New Roman" w:hAnsi="Times New Roman" w:cs="Times New Roman"/>
          <w:b/>
          <w:bCs/>
          <w:lang w:eastAsia="ru-RU"/>
        </w:rPr>
        <w:t>ЗАПРОСА КОТИРОВОК</w:t>
      </w:r>
      <w:r w:rsidR="00653E09" w:rsidRPr="00CF5DBD">
        <w:rPr>
          <w:rFonts w:ascii="Times New Roman" w:eastAsia="Times New Roman" w:hAnsi="Times New Roman" w:cs="Times New Roman"/>
          <w:b/>
          <w:bCs/>
          <w:lang w:eastAsia="ru-RU"/>
        </w:rPr>
        <w:t xml:space="preserve"> В ЭЛЕКТРОННОЙ ФОРМЕ</w:t>
      </w:r>
    </w:p>
    <w:p w:rsidR="00B935D1" w:rsidRPr="00B93B57" w:rsidRDefault="00B23783" w:rsidP="00B93B57">
      <w:pPr>
        <w:widowControl w:val="0"/>
        <w:spacing w:after="0" w:line="240" w:lineRule="auto"/>
        <w:jc w:val="center"/>
        <w:rPr>
          <w:rFonts w:ascii="Times New Roman" w:eastAsia="Calibri" w:hAnsi="Times New Roman" w:cs="Times New Roman"/>
          <w:b/>
          <w:color w:val="000000"/>
        </w:rPr>
      </w:pPr>
      <w:r w:rsidRPr="00CF5DBD">
        <w:rPr>
          <w:rFonts w:ascii="Times New Roman" w:eastAsia="Calibri" w:hAnsi="Times New Roman" w:cs="Times New Roman"/>
          <w:b/>
          <w:color w:val="000000"/>
        </w:rPr>
        <w:t xml:space="preserve">на право заключения договора на </w:t>
      </w:r>
      <w:r w:rsidR="00B93B57" w:rsidRPr="00B93B57">
        <w:rPr>
          <w:rFonts w:ascii="Times New Roman" w:eastAsia="Calibri" w:hAnsi="Times New Roman" w:cs="Times New Roman"/>
          <w:b/>
          <w:color w:val="000000"/>
        </w:rPr>
        <w:t>оказание услуг по осуществлению контрольно-пропускного режима и охране здания</w:t>
      </w:r>
    </w:p>
    <w:p w:rsidR="00B935D1" w:rsidRPr="00B93B57" w:rsidRDefault="00B935D1" w:rsidP="00CD6114">
      <w:pPr>
        <w:widowControl w:val="0"/>
        <w:spacing w:after="0" w:line="240" w:lineRule="auto"/>
        <w:jc w:val="both"/>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Муниципальное автономное общеобразовательное учреждение Омутинская средняя общеобразовательная школа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(МАОУ ОСОШ №1)</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627070, Тюменская область, Омутинский район, село Омутинское, улица Лермонтова, 2</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maou.ososh1@yandex.ru</w:t>
            </w:r>
          </w:p>
          <w:p w:rsidR="00CF5DBD" w:rsidRPr="00CF5DBD" w:rsidRDefault="00CF5DBD" w:rsidP="00CF5DBD">
            <w:pPr>
              <w:widowControl w:val="0"/>
              <w:contextualSpacing/>
              <w:jc w:val="both"/>
              <w:rPr>
                <w:rFonts w:ascii="Times New Roman" w:eastAsia="Times New Roman" w:hAnsi="Times New Roman"/>
                <w:bCs/>
              </w:rPr>
            </w:pPr>
            <w:r w:rsidRPr="00CF5DBD">
              <w:rPr>
                <w:rFonts w:ascii="Times New Roman" w:eastAsia="Times New Roman" w:hAnsi="Times New Roman"/>
                <w:bCs/>
              </w:rPr>
              <w:t>Номер контактного телефона: 8-</w:t>
            </w:r>
            <w:r w:rsidR="0055253E">
              <w:rPr>
                <w:rFonts w:ascii="Times New Roman" w:eastAsia="Times New Roman" w:hAnsi="Times New Roman"/>
                <w:bCs/>
              </w:rPr>
              <w:t>902-850-19-31</w:t>
            </w:r>
          </w:p>
          <w:p w:rsidR="00CF5DBD" w:rsidRPr="000306BD" w:rsidRDefault="00CF5DBD" w:rsidP="0055253E">
            <w:pPr>
              <w:widowControl w:val="0"/>
              <w:contextualSpacing/>
              <w:jc w:val="both"/>
              <w:rPr>
                <w:rFonts w:ascii="Times New Roman" w:eastAsia="Times New Roman" w:hAnsi="Times New Roman"/>
                <w:iCs/>
                <w:highlight w:val="yellow"/>
              </w:rPr>
            </w:pPr>
            <w:r w:rsidRPr="00CF5DBD">
              <w:rPr>
                <w:rFonts w:ascii="Times New Roman" w:eastAsia="Times New Roman" w:hAnsi="Times New Roman"/>
                <w:bCs/>
              </w:rPr>
              <w:t xml:space="preserve">Контактное лицо: </w:t>
            </w:r>
            <w:proofErr w:type="spellStart"/>
            <w:r w:rsidR="0055253E">
              <w:rPr>
                <w:rFonts w:ascii="Times New Roman" w:eastAsia="Times New Roman" w:hAnsi="Times New Roman"/>
                <w:bCs/>
              </w:rPr>
              <w:t>Калашницина</w:t>
            </w:r>
            <w:proofErr w:type="spellEnd"/>
            <w:r w:rsidR="0055253E">
              <w:rPr>
                <w:rFonts w:ascii="Times New Roman" w:eastAsia="Times New Roman" w:hAnsi="Times New Roman"/>
                <w:bCs/>
              </w:rPr>
              <w:t xml:space="preserve"> Юлия</w:t>
            </w:r>
            <w:r w:rsidRPr="00CF5DBD">
              <w:rPr>
                <w:rFonts w:ascii="Times New Roman" w:eastAsia="Times New Roman" w:hAnsi="Times New Roman"/>
                <w:bCs/>
              </w:rPr>
              <w:t xml:space="preserve"> Андреевна</w:t>
            </w: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b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r w:rsidR="00CF5DBD" w:rsidTr="00CF5DBD">
        <w:tc>
          <w:tcPr>
            <w:tcW w:w="4280" w:type="dxa"/>
            <w:shd w:val="clear" w:color="auto" w:fill="D9E2F3" w:themeFill="accent1" w:themeFillTint="33"/>
          </w:tcPr>
          <w:p w:rsidR="00CF5DBD" w:rsidRPr="00BC6C35" w:rsidRDefault="00CF5DB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CF5DBD" w:rsidRPr="000306BD" w:rsidRDefault="00CF5DBD"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8254AC" w:rsidRPr="00B93B57" w:rsidRDefault="00B93B57" w:rsidP="00D407F7">
            <w:pPr>
              <w:widowControl w:val="0"/>
              <w:jc w:val="both"/>
              <w:rPr>
                <w:rStyle w:val="1f4"/>
              </w:rPr>
            </w:pPr>
            <w:r w:rsidRPr="00B93B57">
              <w:rPr>
                <w:rStyle w:val="a6"/>
                <w:rFonts w:ascii="Times New Roman" w:eastAsia="Times New Roman" w:hAnsi="Times New Roman"/>
                <w:iCs/>
                <w:u w:val="none"/>
              </w:rPr>
              <w:t>28.05.20226г.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93B57" w:rsidP="00D407F7">
                <w:pPr>
                  <w:widowControl w:val="0"/>
                  <w:tabs>
                    <w:tab w:val="left" w:pos="247"/>
                    <w:tab w:val="left" w:pos="1130"/>
                  </w:tabs>
                  <w:ind w:left="33"/>
                  <w:contextualSpacing/>
                  <w:jc w:val="both"/>
                  <w:rPr>
                    <w:rStyle w:val="1f4"/>
                  </w:rPr>
                </w:pPr>
                <w:r>
                  <w:rPr>
                    <w:rStyle w:val="1f4"/>
                    <w:b/>
                  </w:rPr>
                  <w:t>05.06.2026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F5DBD">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93B57" w:rsidP="00D407F7">
                <w:pPr>
                  <w:widowControl w:val="0"/>
                  <w:tabs>
                    <w:tab w:val="left" w:pos="247"/>
                    <w:tab w:val="left" w:pos="1130"/>
                  </w:tabs>
                  <w:ind w:left="33"/>
                  <w:contextualSpacing/>
                  <w:jc w:val="both"/>
                  <w:rPr>
                    <w:rStyle w:val="1f4"/>
                  </w:rPr>
                </w:pPr>
                <w:r>
                  <w:rPr>
                    <w:rStyle w:val="1f4"/>
                    <w:b/>
                  </w:rPr>
                  <w:t>05.06.2026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93B57" w:rsidP="00D407F7">
                <w:pPr>
                  <w:widowControl w:val="0"/>
                  <w:tabs>
                    <w:tab w:val="left" w:pos="247"/>
                    <w:tab w:val="left" w:pos="1130"/>
                  </w:tabs>
                  <w:ind w:left="33"/>
                  <w:contextualSpacing/>
                  <w:jc w:val="both"/>
                  <w:rPr>
                    <w:rStyle w:val="1f4"/>
                  </w:rPr>
                </w:pPr>
                <w:r>
                  <w:rPr>
                    <w:rStyle w:val="1f4"/>
                    <w:b/>
                  </w:rPr>
                  <w:t>05.06.2026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26FCD">
              <w:rPr>
                <w:rFonts w:ascii="Times New Roman" w:eastAsia="Times New Roman" w:hAnsi="Times New Roman"/>
                <w:iCs/>
              </w:rPr>
              <w:t>09</w:t>
            </w:r>
            <w:r w:rsidR="00CF5DBD">
              <w:rPr>
                <w:rFonts w:ascii="Times New Roman" w:eastAsia="Times New Roman" w:hAnsi="Times New Roman"/>
                <w:iCs/>
              </w:rPr>
              <w:t>:</w:t>
            </w:r>
            <w:r w:rsidR="00526FC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CF5DBD" w:rsidRDefault="00CF5DBD" w:rsidP="00D407F7">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CF5DBD" w:rsidRDefault="00D407F7" w:rsidP="00D407F7">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5</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6</w:t>
            </w:r>
            <w:r w:rsidRPr="00CF5DBD">
              <w:rPr>
                <w:rFonts w:ascii="Times New Roman" w:eastAsia="Times New Roman" w:hAnsi="Times New Roman"/>
                <w:iCs/>
              </w:rPr>
              <w:t xml:space="preserve"> извещения о закупке</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bCs/>
              </w:rPr>
              <w:t xml:space="preserve">Не установлено </w:t>
            </w:r>
          </w:p>
        </w:tc>
      </w:tr>
      <w:tr w:rsidR="00CF5DBD" w:rsidRPr="00BF5CF1" w:rsidTr="000306BD">
        <w:tc>
          <w:tcPr>
            <w:tcW w:w="2022" w:type="pct"/>
            <w:shd w:val="clear" w:color="auto" w:fill="D9E2F3" w:themeFill="accent1" w:themeFillTint="33"/>
            <w:vAlign w:val="center"/>
          </w:tcPr>
          <w:p w:rsidR="00CF5DBD" w:rsidRPr="00BF5CF1" w:rsidRDefault="00CF5DBD" w:rsidP="00CF5DBD">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CF5DBD" w:rsidRPr="00CF5DBD" w:rsidRDefault="00CF5DBD" w:rsidP="00CF5DBD">
            <w:pPr>
              <w:widowControl w:val="0"/>
              <w:jc w:val="both"/>
              <w:rPr>
                <w:rFonts w:ascii="Times New Roman" w:eastAsia="Times New Roman" w:hAnsi="Times New Roman"/>
                <w:iCs/>
              </w:rPr>
            </w:pPr>
            <w:r w:rsidRPr="00CF5DBD">
              <w:rPr>
                <w:rFonts w:ascii="Times New Roman" w:eastAsia="Times New Roman" w:hAnsi="Times New Roman"/>
                <w:iCs/>
              </w:rPr>
              <w:t>В соответствии с пунктом 1</w:t>
            </w:r>
            <w:r w:rsidR="001A7C3D">
              <w:rPr>
                <w:rFonts w:ascii="Times New Roman" w:eastAsia="Times New Roman" w:hAnsi="Times New Roman"/>
                <w:iCs/>
              </w:rPr>
              <w:t>7</w:t>
            </w:r>
            <w:r w:rsidRPr="00CF5DBD">
              <w:rPr>
                <w:rFonts w:ascii="Times New Roman" w:eastAsia="Times New Roman" w:hAnsi="Times New Roman"/>
                <w:iCs/>
              </w:rPr>
              <w:t xml:space="preserve"> извещения о закупке</w:t>
            </w:r>
          </w:p>
        </w:tc>
      </w:tr>
      <w:tr w:rsidR="00CF5DBD" w:rsidRPr="00BF5CF1" w:rsidTr="001C1D68">
        <w:tc>
          <w:tcPr>
            <w:tcW w:w="2022" w:type="pct"/>
            <w:shd w:val="clear" w:color="auto" w:fill="D9E2F3" w:themeFill="accent1" w:themeFillTint="33"/>
          </w:tcPr>
          <w:p w:rsidR="00CF5DBD" w:rsidRPr="00BF5CF1" w:rsidRDefault="00CF5DBD" w:rsidP="00CF5DB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CF5DBD" w:rsidRPr="00924333"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CF5DBD" w:rsidRPr="00BF5CF1" w:rsidRDefault="00CF5DBD" w:rsidP="00CF5DB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C45D6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C45D6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CF5DB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8254AC" w:rsidRDefault="00B93B5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О</w:t>
            </w:r>
            <w:r w:rsidRPr="00B93B57">
              <w:rPr>
                <w:rFonts w:ascii="Times New Roman" w:eastAsia="Times New Roman" w:hAnsi="Times New Roman" w:cs="Times New Roman"/>
                <w:b/>
                <w:sz w:val="20"/>
                <w:szCs w:val="20"/>
                <w:lang w:eastAsia="ru-RU"/>
              </w:rPr>
              <w:t>казание услуг по осуществлению контрольно-пропускного режима и охране здания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Описание предмета договора</w:t>
            </w:r>
          </w:p>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F5DB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p w:rsidR="0024495D" w:rsidRPr="00CF5DB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F5DBD">
              <w:rPr>
                <w:rFonts w:ascii="Times New Roman" w:eastAsia="Times New Roman" w:hAnsi="Times New Roman" w:cs="Times New Roman"/>
                <w:bCs/>
                <w:sz w:val="20"/>
                <w:szCs w:val="20"/>
                <w:lang w:eastAsia="ru-RU"/>
              </w:rPr>
              <w:t>прилагается отдельным файлом</w:t>
            </w:r>
            <w:r w:rsidRPr="00CF5DB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E4301" w:rsidRDefault="00AF1974" w:rsidP="009E4301">
            <w:pPr>
              <w:spacing w:after="0" w:line="240" w:lineRule="auto"/>
              <w:jc w:val="both"/>
              <w:rPr>
                <w:rFonts w:ascii="Times New Roman" w:hAnsi="Times New Roman" w:cs="Times New Roman"/>
                <w:b/>
                <w:bCs/>
                <w:sz w:val="20"/>
                <w:szCs w:val="20"/>
              </w:rPr>
            </w:pPr>
            <w:r w:rsidRPr="00AF1974">
              <w:rPr>
                <w:rFonts w:ascii="Times New Roman" w:hAnsi="Times New Roman" w:cs="Times New Roman"/>
                <w:b/>
                <w:bCs/>
                <w:sz w:val="20"/>
                <w:szCs w:val="20"/>
              </w:rPr>
              <w:t>1 766 400,00</w:t>
            </w:r>
            <w:r w:rsidR="00B93B57" w:rsidRPr="00AF1974">
              <w:rPr>
                <w:rFonts w:ascii="Times New Roman" w:hAnsi="Times New Roman" w:cs="Times New Roman"/>
                <w:b/>
                <w:bCs/>
                <w:sz w:val="20"/>
                <w:szCs w:val="20"/>
              </w:rPr>
              <w:t xml:space="preserve">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93B57" w:rsidRPr="00B93B57" w:rsidRDefault="0024495D" w:rsidP="00B93B57">
            <w:pPr>
              <w:spacing w:after="0" w:line="240" w:lineRule="auto"/>
              <w:ind w:firstLine="709"/>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B93B57">
              <w:rPr>
                <w:rFonts w:ascii="Times New Roman" w:eastAsia="Times New Roman" w:hAnsi="Times New Roman" w:cs="Times New Roman"/>
                <w:bCs/>
                <w:sz w:val="20"/>
                <w:szCs w:val="20"/>
                <w:lang w:eastAsia="ru-RU"/>
              </w:rPr>
              <w:t>прилагается отдельным файлом</w:t>
            </w:r>
            <w:r w:rsidRPr="00B93B57">
              <w:rPr>
                <w:rFonts w:ascii="Times New Roman" w:eastAsia="Times New Roman" w:hAnsi="Times New Roman" w:cs="Times New Roman"/>
                <w:bCs/>
                <w:sz w:val="20"/>
                <w:szCs w:val="20"/>
                <w:lang w:eastAsia="ru-RU"/>
              </w:rPr>
              <w:t>)</w:t>
            </w:r>
            <w:r w:rsidR="00B93B57" w:rsidRPr="00B93B57">
              <w:rPr>
                <w:rFonts w:ascii="Times New Roman" w:eastAsia="Times New Roman" w:hAnsi="Times New Roman" w:cs="Times New Roman"/>
                <w:bCs/>
                <w:sz w:val="20"/>
                <w:szCs w:val="20"/>
                <w:lang w:eastAsia="ru-RU"/>
              </w:rPr>
              <w:t xml:space="preserve"> и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rsidR="0024495D" w:rsidRPr="00B93B5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B93B57">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CF5DB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C5506"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C5506"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A94E6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6C5506" w:rsidP="00A94E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CF5DBD" w:rsidRPr="00A94E67" w:rsidRDefault="00A94E67" w:rsidP="00A94E6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00CF5DBD" w:rsidRPr="00A94E67">
              <w:rPr>
                <w:rFonts w:ascii="Times New Roman" w:eastAsia="Times New Roman" w:hAnsi="Times New Roman"/>
                <w:bCs/>
                <w:sz w:val="20"/>
                <w:szCs w:val="20"/>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93B57" w:rsidRPr="00B93B57" w:rsidRDefault="00B93B57" w:rsidP="00A94E67">
            <w:pPr>
              <w:widowControl w:val="0"/>
              <w:spacing w:after="0"/>
              <w:ind w:firstLine="749"/>
              <w:jc w:val="both"/>
              <w:rPr>
                <w:rFonts w:ascii="Times New Roman" w:eastAsia="Times New Roman" w:hAnsi="Times New Roman" w:cs="Times New Roman"/>
                <w:bCs/>
                <w:i/>
                <w:iCs/>
                <w:sz w:val="20"/>
                <w:szCs w:val="20"/>
                <w:lang w:eastAsia="ru-RU"/>
              </w:rPr>
            </w:pPr>
            <w:r w:rsidRPr="00B93B57">
              <w:rPr>
                <w:rFonts w:ascii="Times New Roman" w:eastAsia="Times New Roman" w:hAnsi="Times New Roman" w:cs="Times New Roman"/>
                <w:bCs/>
                <w:i/>
                <w:iCs/>
                <w:sz w:val="20"/>
                <w:szCs w:val="20"/>
                <w:lang w:eastAsia="ru-RU"/>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rsidR="00B93B57" w:rsidRPr="00B93B57" w:rsidRDefault="00B93B57" w:rsidP="00A94E67">
            <w:pPr>
              <w:widowControl w:val="0"/>
              <w:spacing w:after="0"/>
              <w:ind w:firstLine="749"/>
              <w:jc w:val="both"/>
              <w:rPr>
                <w:rFonts w:ascii="Times New Roman" w:eastAsia="Times New Roman" w:hAnsi="Times New Roman" w:cs="Times New Roman"/>
                <w:bCs/>
                <w:i/>
                <w:iCs/>
                <w:sz w:val="20"/>
                <w:szCs w:val="20"/>
                <w:lang w:eastAsia="ru-RU"/>
              </w:rPr>
            </w:pPr>
            <w:r w:rsidRPr="00B93B57">
              <w:rPr>
                <w:rFonts w:ascii="Times New Roman" w:eastAsia="Times New Roman" w:hAnsi="Times New Roman" w:cs="Times New Roman"/>
                <w:bCs/>
                <w:i/>
                <w:iCs/>
                <w:sz w:val="20"/>
                <w:szCs w:val="20"/>
                <w:lang w:eastAsia="ru-RU"/>
              </w:rPr>
              <w:t>а) защита жизни и здоровья граждан;</w:t>
            </w:r>
          </w:p>
          <w:p w:rsidR="00B93B57" w:rsidRPr="00B93B57" w:rsidRDefault="00B93B57" w:rsidP="00A94E67">
            <w:pPr>
              <w:widowControl w:val="0"/>
              <w:spacing w:after="0"/>
              <w:ind w:firstLine="749"/>
              <w:jc w:val="both"/>
              <w:rPr>
                <w:rFonts w:ascii="Times New Roman" w:eastAsia="Times New Roman" w:hAnsi="Times New Roman" w:cs="Times New Roman"/>
                <w:bCs/>
                <w:i/>
                <w:iCs/>
                <w:sz w:val="20"/>
                <w:szCs w:val="20"/>
                <w:lang w:eastAsia="ru-RU"/>
              </w:rPr>
            </w:pPr>
            <w:r w:rsidRPr="00B93B57">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офшорной компании в числе лиц, владеющих напрямую или косвенно (через юридическое лицо или через нескольких юридических лиц) более чем десятью </w:t>
            </w:r>
            <w:r w:rsidRPr="00CF5DBD">
              <w:rPr>
                <w:rFonts w:ascii="Times New Roman" w:eastAsia="Times New Roman" w:hAnsi="Times New Roman" w:cs="Times New Roman"/>
                <w:bCs/>
                <w:sz w:val="20"/>
                <w:szCs w:val="20"/>
                <w:lang w:eastAsia="ru-RU"/>
              </w:rPr>
              <w:lastRenderedPageBreak/>
              <w:t>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11.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00960262" w:rsidRPr="00CF5DBD">
              <w:rPr>
                <w:rFonts w:ascii="Times New Roman" w:eastAsia="Times New Roman" w:hAnsi="Times New Roman" w:cs="Times New Roman"/>
                <w:bCs/>
                <w:sz w:val="20"/>
                <w:szCs w:val="20"/>
                <w:lang w:eastAsia="ru-RU"/>
              </w:rPr>
              <w:t>законом №</w:t>
            </w:r>
            <w:r w:rsidRPr="00CF5DBD">
              <w:rPr>
                <w:rFonts w:ascii="Times New Roman" w:eastAsia="Times New Roman" w:hAnsi="Times New Roman" w:cs="Times New Roman"/>
                <w:bCs/>
                <w:sz w:val="20"/>
                <w:szCs w:val="20"/>
                <w:lang w:eastAsia="ru-RU"/>
              </w:rPr>
              <w:t xml:space="preserve"> 44-ФЗ;</w:t>
            </w:r>
          </w:p>
          <w:p w:rsidR="0024495D" w:rsidRPr="004D717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12. отсутствии аффилированности между участником закупки и Заказчиком.</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CF5DB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w:t>
            </w:r>
            <w:r w:rsidRPr="00CF5DBD">
              <w:rPr>
                <w:rFonts w:ascii="Times New Roman" w:eastAsia="Times New Roman" w:hAnsi="Times New Roman" w:cs="Times New Roman"/>
                <w:bCs/>
                <w:sz w:val="20"/>
                <w:szCs w:val="20"/>
                <w:lang w:eastAsia="ru-RU"/>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 декларация участника запроса котировок о соответствии участника закупки единым требованиям, установленным в извещении о закупке, установленным в соответствии с подпунктами 2-12 настоящего Извещения, и предъявляемым к участникам (в случае установления данных требований в </w:t>
            </w:r>
            <w:r w:rsidR="00B42AAF" w:rsidRPr="00CF5DBD">
              <w:rPr>
                <w:rFonts w:ascii="Times New Roman" w:eastAsia="Times New Roman" w:hAnsi="Times New Roman" w:cs="Times New Roman"/>
                <w:bCs/>
                <w:sz w:val="20"/>
                <w:szCs w:val="20"/>
                <w:lang w:eastAsia="ru-RU"/>
              </w:rPr>
              <w:t>извещении о</w:t>
            </w:r>
            <w:r w:rsidRPr="00CF5DBD">
              <w:rPr>
                <w:rFonts w:ascii="Times New Roman" w:eastAsia="Times New Roman" w:hAnsi="Times New Roman" w:cs="Times New Roman"/>
                <w:bCs/>
                <w:sz w:val="20"/>
                <w:szCs w:val="20"/>
                <w:lang w:eastAsia="ru-RU"/>
              </w:rPr>
              <w:t xml:space="preserve"> закупке);</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2)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3)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rsidR="00CF5DBD" w:rsidRPr="00CF5DBD" w:rsidRDefault="00CF5DBD" w:rsidP="00CF5DB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94E67" w:rsidRDefault="00CF5DBD" w:rsidP="00A94E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r w:rsidR="00F8208C">
              <w:rPr>
                <w:rFonts w:ascii="Times New Roman" w:eastAsia="Times New Roman" w:hAnsi="Times New Roman" w:cs="Times New Roman"/>
                <w:bCs/>
                <w:sz w:val="20"/>
                <w:szCs w:val="20"/>
                <w:lang w:eastAsia="ru-RU"/>
              </w:rPr>
              <w:t>:</w:t>
            </w:r>
          </w:p>
          <w:p w:rsidR="00A94E67" w:rsidRPr="00A94E67" w:rsidRDefault="00A94E67" w:rsidP="00A94E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A94E67">
              <w:rPr>
                <w:rFonts w:ascii="Times New Roman" w:eastAsia="Times New Roman" w:hAnsi="Times New Roman" w:cs="Times New Roman"/>
                <w:bCs/>
                <w:i/>
                <w:iCs/>
                <w:sz w:val="20"/>
                <w:szCs w:val="20"/>
                <w:lang w:eastAsia="ru-RU"/>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rsidR="00A94E67" w:rsidRPr="00A94E67" w:rsidRDefault="00A94E67" w:rsidP="00A94E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A94E67">
              <w:rPr>
                <w:rFonts w:ascii="Times New Roman" w:eastAsia="Times New Roman" w:hAnsi="Times New Roman" w:cs="Times New Roman"/>
                <w:bCs/>
                <w:i/>
                <w:iCs/>
                <w:sz w:val="20"/>
                <w:szCs w:val="20"/>
                <w:lang w:eastAsia="ru-RU"/>
              </w:rPr>
              <w:t>а) защита жизни и здоровья граждан;</w:t>
            </w:r>
          </w:p>
          <w:p w:rsidR="00A94E67" w:rsidRPr="00A94E67" w:rsidRDefault="00A94E67" w:rsidP="00A94E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A94E67">
              <w:rPr>
                <w:rFonts w:ascii="Times New Roman" w:eastAsia="Times New Roman" w:hAnsi="Times New Roman" w:cs="Times New Roman"/>
                <w:bCs/>
                <w:i/>
                <w:iCs/>
                <w:sz w:val="20"/>
                <w:szCs w:val="20"/>
                <w:lang w:eastAsia="ru-RU"/>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rsidR="00F8208C" w:rsidRPr="00A94E67" w:rsidRDefault="00F8208C" w:rsidP="006752F7">
            <w:pPr>
              <w:widowControl w:val="0"/>
              <w:spacing w:after="0"/>
              <w:ind w:firstLine="607"/>
              <w:jc w:val="both"/>
              <w:rPr>
                <w:rFonts w:ascii="Times New Roman" w:eastAsia="Times New Roman" w:hAnsi="Times New Roman" w:cs="Times New Roman"/>
                <w:bCs/>
                <w:sz w:val="20"/>
                <w:szCs w:val="20"/>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9E4301" w:rsidRDefault="00A94E67" w:rsidP="00E96A79">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F5DB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CF5DBD" w:rsidRDefault="00E96A79" w:rsidP="00E96A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CF5DBD" w:rsidRDefault="0024495D" w:rsidP="00E96A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F5DB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CF5DBD">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 xml:space="preserve">Порядок подачи заявки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1)</w:t>
            </w:r>
            <w:r w:rsidRPr="00CF5DBD">
              <w:rPr>
                <w:rFonts w:ascii="Times New Roman" w:eastAsia="Times New Roman" w:hAnsi="Times New Roman" w:cs="Times New Roman"/>
                <w:sz w:val="20"/>
                <w:szCs w:val="20"/>
                <w:lang w:eastAsia="ru-RU"/>
              </w:rPr>
              <w:tab/>
              <w:t xml:space="preserve">подать заявку на участие в </w:t>
            </w:r>
            <w:r w:rsidR="00436D85" w:rsidRPr="00CF5DBD">
              <w:rPr>
                <w:rFonts w:ascii="Times New Roman" w:eastAsia="Times New Roman" w:hAnsi="Times New Roman" w:cs="Times New Roman"/>
                <w:sz w:val="20"/>
                <w:szCs w:val="20"/>
                <w:lang w:eastAsia="ru-RU"/>
              </w:rPr>
              <w:t>закупке</w:t>
            </w:r>
            <w:r w:rsidRPr="00CF5DB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CF5DBD">
              <w:rPr>
                <w:rFonts w:ascii="Times New Roman" w:eastAsia="Times New Roman" w:hAnsi="Times New Roman" w:cs="Times New Roman"/>
                <w:sz w:val="20"/>
                <w:szCs w:val="20"/>
                <w:lang w:eastAsia="ru-RU"/>
              </w:rPr>
              <w:t>закупка</w:t>
            </w:r>
            <w:r w:rsidRPr="00CF5DBD">
              <w:rPr>
                <w:rFonts w:ascii="Times New Roman" w:eastAsia="Times New Roman" w:hAnsi="Times New Roman" w:cs="Times New Roman"/>
                <w:sz w:val="20"/>
                <w:szCs w:val="20"/>
                <w:lang w:eastAsia="ru-RU"/>
              </w:rPr>
              <w:t xml:space="preserve"> в электронной форме;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2)</w:t>
            </w:r>
            <w:r w:rsidRPr="00CF5DBD">
              <w:rPr>
                <w:rFonts w:ascii="Times New Roman" w:eastAsia="Times New Roman" w:hAnsi="Times New Roman" w:cs="Times New Roman"/>
                <w:sz w:val="20"/>
                <w:szCs w:val="20"/>
                <w:lang w:eastAsia="ru-RU"/>
              </w:rPr>
              <w:tab/>
              <w:t xml:space="preserve">участник </w:t>
            </w:r>
            <w:bookmarkStart w:id="2" w:name="OLE_LINK1"/>
            <w:r w:rsidR="00436D85" w:rsidRPr="00CF5DBD">
              <w:rPr>
                <w:rFonts w:ascii="Times New Roman" w:eastAsia="Times New Roman" w:hAnsi="Times New Roman" w:cs="Times New Roman"/>
                <w:sz w:val="20"/>
                <w:szCs w:val="20"/>
                <w:lang w:eastAsia="ru-RU"/>
              </w:rPr>
              <w:t>закупки</w:t>
            </w:r>
            <w:r w:rsidRPr="00CF5DBD">
              <w:rPr>
                <w:rFonts w:ascii="Times New Roman" w:eastAsia="Times New Roman" w:hAnsi="Times New Roman" w:cs="Times New Roman"/>
                <w:sz w:val="20"/>
                <w:szCs w:val="20"/>
                <w:lang w:eastAsia="ru-RU"/>
              </w:rPr>
              <w:t xml:space="preserve"> </w:t>
            </w:r>
            <w:bookmarkEnd w:id="2"/>
            <w:r w:rsidRPr="00CF5DB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CF5DBD">
              <w:rPr>
                <w:rFonts w:ascii="Times New Roman" w:eastAsia="Times New Roman" w:hAnsi="Times New Roman" w:cs="Times New Roman"/>
                <w:sz w:val="20"/>
                <w:szCs w:val="20"/>
                <w:lang w:eastAsia="ru-RU"/>
              </w:rPr>
              <w:t>извещении</w:t>
            </w:r>
            <w:r w:rsidRPr="00CF5DBD">
              <w:rPr>
                <w:rFonts w:ascii="Times New Roman" w:eastAsia="Times New Roman" w:hAnsi="Times New Roman" w:cs="Times New Roman"/>
                <w:sz w:val="20"/>
                <w:szCs w:val="20"/>
                <w:lang w:eastAsia="ru-RU"/>
              </w:rPr>
              <w:t xml:space="preserve"> о конкурентной закупке;</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3)</w:t>
            </w:r>
            <w:r w:rsidRPr="00CF5DB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CF5DBD">
              <w:rPr>
                <w:rFonts w:ascii="Times New Roman" w:eastAsia="Times New Roman" w:hAnsi="Times New Roman" w:cs="Times New Roman"/>
                <w:sz w:val="20"/>
                <w:szCs w:val="20"/>
                <w:lang w:eastAsia="ru-RU"/>
              </w:rPr>
              <w:t xml:space="preserve">извещении </w:t>
            </w:r>
            <w:r w:rsidRPr="00CF5DB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4)</w:t>
            </w:r>
            <w:r w:rsidRPr="00CF5DB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sz w:val="20"/>
                <w:szCs w:val="20"/>
                <w:lang w:eastAsia="ru-RU"/>
              </w:rPr>
              <w:t>5)</w:t>
            </w:r>
            <w:r w:rsidRPr="00CF5DB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CF5DBD">
              <w:rPr>
                <w:rFonts w:ascii="Times New Roman" w:eastAsia="Times New Roman" w:hAnsi="Times New Roman" w:cs="Times New Roman"/>
                <w:sz w:val="20"/>
                <w:szCs w:val="20"/>
                <w:lang w:eastAsia="ru-RU"/>
              </w:rPr>
              <w:t>ой</w:t>
            </w:r>
            <w:r w:rsidRPr="00CF5DBD">
              <w:rPr>
                <w:rFonts w:ascii="Times New Roman" w:eastAsia="Times New Roman" w:hAnsi="Times New Roman" w:cs="Times New Roman"/>
                <w:sz w:val="20"/>
                <w:szCs w:val="20"/>
                <w:lang w:eastAsia="ru-RU"/>
              </w:rPr>
              <w:t xml:space="preserve">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CF5DB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F5DBD">
              <w:rPr>
                <w:rFonts w:ascii="Times New Roman" w:eastAsia="Times New Roman" w:hAnsi="Times New Roman" w:cs="Times New Roman"/>
                <w:sz w:val="20"/>
                <w:szCs w:val="20"/>
                <w:lang w:eastAsia="ru-RU"/>
              </w:rPr>
              <w:t>6)</w:t>
            </w:r>
            <w:r w:rsidRPr="00CF5DBD">
              <w:rPr>
                <w:rFonts w:ascii="Times New Roman" w:eastAsia="Times New Roman" w:hAnsi="Times New Roman" w:cs="Times New Roman"/>
                <w:sz w:val="20"/>
                <w:szCs w:val="20"/>
                <w:lang w:eastAsia="ru-RU"/>
              </w:rPr>
              <w:tab/>
              <w:t xml:space="preserve">участник </w:t>
            </w:r>
            <w:r w:rsidR="00436D85" w:rsidRPr="00CF5DBD">
              <w:rPr>
                <w:rFonts w:ascii="Times New Roman" w:eastAsia="Times New Roman" w:hAnsi="Times New Roman" w:cs="Times New Roman"/>
                <w:sz w:val="20"/>
                <w:szCs w:val="20"/>
                <w:lang w:eastAsia="ru-RU"/>
              </w:rPr>
              <w:t xml:space="preserve">закупки </w:t>
            </w:r>
            <w:r w:rsidRPr="00CF5DB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rsidR="00237343" w:rsidRPr="00237343"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rsidR="00125726" w:rsidRPr="004D717D" w:rsidRDefault="00237343" w:rsidP="0023734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rsidR="008C1357" w:rsidRPr="008C1357"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по окончании срока подачи заявок на участие в запросе котировок в электронной форме не подано ни одной заявки или подана только одна заявка;</w:t>
            </w:r>
          </w:p>
          <w:p w:rsidR="00B41C71" w:rsidRDefault="008C1357" w:rsidP="008C13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6C5506" w:rsidRDefault="0024495D" w:rsidP="0013797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37977">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F5DB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9B5" w:rsidRDefault="00BB39B5">
      <w:pPr>
        <w:spacing w:after="0" w:line="240" w:lineRule="auto"/>
      </w:pPr>
      <w:r>
        <w:separator/>
      </w:r>
    </w:p>
  </w:endnote>
  <w:endnote w:type="continuationSeparator" w:id="0">
    <w:p w:rsidR="00BB39B5" w:rsidRDefault="00BB3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E80442">
      <w:fldChar w:fldCharType="begin"/>
    </w:r>
    <w:r>
      <w:instrText xml:space="preserve"> PAGE   \* MERGEFORMAT </w:instrText>
    </w:r>
    <w:r w:rsidR="00E80442">
      <w:fldChar w:fldCharType="separate"/>
    </w:r>
    <w:r w:rsidR="00AF1974">
      <w:rPr>
        <w:noProof/>
      </w:rPr>
      <w:t>6</w:t>
    </w:r>
    <w:r w:rsidR="00E80442">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9B5" w:rsidRDefault="00BB39B5">
      <w:pPr>
        <w:spacing w:after="0" w:line="240" w:lineRule="auto"/>
      </w:pPr>
      <w:r>
        <w:separator/>
      </w:r>
    </w:p>
  </w:footnote>
  <w:footnote w:type="continuationSeparator" w:id="0">
    <w:p w:rsidR="00BB39B5" w:rsidRDefault="00BB39B5">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6E6591A"/>
    <w:multiLevelType w:val="multilevel"/>
    <w:tmpl w:val="91E8114C"/>
    <w:lvl w:ilvl="0">
      <w:start w:val="20"/>
      <w:numFmt w:val="decimal"/>
      <w:lvlText w:val="%1"/>
      <w:lvlJc w:val="left"/>
      <w:pPr>
        <w:ind w:left="566" w:hanging="585"/>
      </w:pPr>
      <w:rPr>
        <w:lang w:val="ru-RU" w:eastAsia="en-US" w:bidi="ar-SA"/>
      </w:rPr>
    </w:lvl>
    <w:lvl w:ilvl="1">
      <w:start w:val="1"/>
      <w:numFmt w:val="decimal"/>
      <w:lvlText w:val="%1.%2."/>
      <w:lvlJc w:val="left"/>
      <w:pPr>
        <w:ind w:left="566" w:hanging="5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6" w:hanging="921"/>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8" w:hanging="144"/>
      </w:pPr>
      <w:rPr>
        <w:lang w:val="ru-RU" w:eastAsia="en-US" w:bidi="ar-SA"/>
      </w:rPr>
    </w:lvl>
    <w:lvl w:ilvl="5">
      <w:numFmt w:val="bullet"/>
      <w:lvlText w:val="•"/>
      <w:lvlJc w:val="left"/>
      <w:pPr>
        <w:ind w:left="5382" w:hanging="144"/>
      </w:pPr>
      <w:rPr>
        <w:lang w:val="ru-RU" w:eastAsia="en-US" w:bidi="ar-SA"/>
      </w:rPr>
    </w:lvl>
    <w:lvl w:ilvl="6">
      <w:numFmt w:val="bullet"/>
      <w:lvlText w:val="•"/>
      <w:lvlJc w:val="left"/>
      <w:pPr>
        <w:ind w:left="6347" w:hanging="144"/>
      </w:pPr>
      <w:rPr>
        <w:lang w:val="ru-RU" w:eastAsia="en-US" w:bidi="ar-SA"/>
      </w:rPr>
    </w:lvl>
    <w:lvl w:ilvl="7">
      <w:numFmt w:val="bullet"/>
      <w:lvlText w:val="•"/>
      <w:lvlJc w:val="left"/>
      <w:pPr>
        <w:ind w:left="7311" w:hanging="144"/>
      </w:pPr>
      <w:rPr>
        <w:lang w:val="ru-RU" w:eastAsia="en-US" w:bidi="ar-SA"/>
      </w:rPr>
    </w:lvl>
    <w:lvl w:ilvl="8">
      <w:numFmt w:val="bullet"/>
      <w:lvlText w:val="•"/>
      <w:lvlJc w:val="left"/>
      <w:pPr>
        <w:ind w:left="8276" w:hanging="144"/>
      </w:pPr>
      <w:rPr>
        <w:lang w:val="ru-RU" w:eastAsia="en-US" w:bidi="ar-SA"/>
      </w:r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27F1C4F"/>
    <w:multiLevelType w:val="multilevel"/>
    <w:tmpl w:val="AD70459C"/>
    <w:lvl w:ilvl="0">
      <w:start w:val="20"/>
      <w:numFmt w:val="decimal"/>
      <w:lvlText w:val="%1"/>
      <w:lvlJc w:val="left"/>
      <w:pPr>
        <w:ind w:left="1833" w:hanging="724"/>
      </w:pPr>
      <w:rPr>
        <w:lang w:val="ru-RU" w:eastAsia="en-US" w:bidi="ar-SA"/>
      </w:rPr>
    </w:lvl>
    <w:lvl w:ilvl="1">
      <w:start w:val="7"/>
      <w:numFmt w:val="decimal"/>
      <w:lvlText w:val="%1.%2"/>
      <w:lvlJc w:val="left"/>
      <w:pPr>
        <w:ind w:left="1833" w:hanging="724"/>
      </w:pPr>
      <w:rPr>
        <w:lang w:val="ru-RU" w:eastAsia="en-US" w:bidi="ar-SA"/>
      </w:rPr>
    </w:lvl>
    <w:lvl w:ilvl="2">
      <w:start w:val="3"/>
      <w:numFmt w:val="decimal"/>
      <w:lvlText w:val="%1.%2.%3."/>
      <w:lvlJc w:val="left"/>
      <w:pPr>
        <w:ind w:left="1833" w:hanging="72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56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8" w:hanging="240"/>
      </w:pPr>
      <w:rPr>
        <w:lang w:val="ru-RU" w:eastAsia="en-US" w:bidi="ar-SA"/>
      </w:rPr>
    </w:lvl>
    <w:lvl w:ilvl="5">
      <w:numFmt w:val="bullet"/>
      <w:lvlText w:val="•"/>
      <w:lvlJc w:val="left"/>
      <w:pPr>
        <w:ind w:left="5557" w:hanging="240"/>
      </w:pPr>
      <w:rPr>
        <w:lang w:val="ru-RU" w:eastAsia="en-US" w:bidi="ar-SA"/>
      </w:rPr>
    </w:lvl>
    <w:lvl w:ilvl="6">
      <w:numFmt w:val="bullet"/>
      <w:lvlText w:val="•"/>
      <w:lvlJc w:val="left"/>
      <w:pPr>
        <w:ind w:left="6487" w:hanging="240"/>
      </w:pPr>
      <w:rPr>
        <w:lang w:val="ru-RU" w:eastAsia="en-US" w:bidi="ar-SA"/>
      </w:rPr>
    </w:lvl>
    <w:lvl w:ilvl="7">
      <w:numFmt w:val="bullet"/>
      <w:lvlText w:val="•"/>
      <w:lvlJc w:val="left"/>
      <w:pPr>
        <w:ind w:left="7416" w:hanging="240"/>
      </w:pPr>
      <w:rPr>
        <w:lang w:val="ru-RU" w:eastAsia="en-US" w:bidi="ar-SA"/>
      </w:rPr>
    </w:lvl>
    <w:lvl w:ilvl="8">
      <w:numFmt w:val="bullet"/>
      <w:lvlText w:val="•"/>
      <w:lvlJc w:val="left"/>
      <w:pPr>
        <w:ind w:left="8346" w:hanging="240"/>
      </w:pPr>
      <w:rPr>
        <w:lang w:val="ru-RU" w:eastAsia="en-US" w:bidi="ar-SA"/>
      </w:rPr>
    </w:lvl>
  </w:abstractNum>
  <w:abstractNum w:abstractNumId="14">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nsid w:val="46C41F10"/>
    <w:multiLevelType w:val="hybridMultilevel"/>
    <w:tmpl w:val="628ADAFE"/>
    <w:lvl w:ilvl="0" w:tplc="29727784">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2F37AA"/>
    <w:multiLevelType w:val="hybridMultilevel"/>
    <w:tmpl w:val="42A2A3FE"/>
    <w:lvl w:ilvl="0" w:tplc="C5609D70">
      <w:start w:val="1"/>
      <w:numFmt w:val="decimal"/>
      <w:lvlText w:val="%1)"/>
      <w:lvlJc w:val="left"/>
      <w:pPr>
        <w:ind w:left="566"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671E4EB0">
      <w:numFmt w:val="bullet"/>
      <w:lvlText w:val="•"/>
      <w:lvlJc w:val="left"/>
      <w:pPr>
        <w:ind w:left="1524" w:hanging="394"/>
      </w:pPr>
      <w:rPr>
        <w:lang w:val="ru-RU" w:eastAsia="en-US" w:bidi="ar-SA"/>
      </w:rPr>
    </w:lvl>
    <w:lvl w:ilvl="2" w:tplc="231AE1FA">
      <w:numFmt w:val="bullet"/>
      <w:lvlText w:val="•"/>
      <w:lvlJc w:val="left"/>
      <w:pPr>
        <w:ind w:left="2489" w:hanging="394"/>
      </w:pPr>
      <w:rPr>
        <w:lang w:val="ru-RU" w:eastAsia="en-US" w:bidi="ar-SA"/>
      </w:rPr>
    </w:lvl>
    <w:lvl w:ilvl="3" w:tplc="B2DAEBAE">
      <w:numFmt w:val="bullet"/>
      <w:lvlText w:val="•"/>
      <w:lvlJc w:val="left"/>
      <w:pPr>
        <w:ind w:left="3453" w:hanging="394"/>
      </w:pPr>
      <w:rPr>
        <w:lang w:val="ru-RU" w:eastAsia="en-US" w:bidi="ar-SA"/>
      </w:rPr>
    </w:lvl>
    <w:lvl w:ilvl="4" w:tplc="1D9642D6">
      <w:numFmt w:val="bullet"/>
      <w:lvlText w:val="•"/>
      <w:lvlJc w:val="left"/>
      <w:pPr>
        <w:ind w:left="4418" w:hanging="394"/>
      </w:pPr>
      <w:rPr>
        <w:lang w:val="ru-RU" w:eastAsia="en-US" w:bidi="ar-SA"/>
      </w:rPr>
    </w:lvl>
    <w:lvl w:ilvl="5" w:tplc="8424CA2A">
      <w:numFmt w:val="bullet"/>
      <w:lvlText w:val="•"/>
      <w:lvlJc w:val="left"/>
      <w:pPr>
        <w:ind w:left="5382" w:hanging="394"/>
      </w:pPr>
      <w:rPr>
        <w:lang w:val="ru-RU" w:eastAsia="en-US" w:bidi="ar-SA"/>
      </w:rPr>
    </w:lvl>
    <w:lvl w:ilvl="6" w:tplc="5F3AA870">
      <w:numFmt w:val="bullet"/>
      <w:lvlText w:val="•"/>
      <w:lvlJc w:val="left"/>
      <w:pPr>
        <w:ind w:left="6347" w:hanging="394"/>
      </w:pPr>
      <w:rPr>
        <w:lang w:val="ru-RU" w:eastAsia="en-US" w:bidi="ar-SA"/>
      </w:rPr>
    </w:lvl>
    <w:lvl w:ilvl="7" w:tplc="74986AF8">
      <w:numFmt w:val="bullet"/>
      <w:lvlText w:val="•"/>
      <w:lvlJc w:val="left"/>
      <w:pPr>
        <w:ind w:left="7311" w:hanging="394"/>
      </w:pPr>
      <w:rPr>
        <w:lang w:val="ru-RU" w:eastAsia="en-US" w:bidi="ar-SA"/>
      </w:rPr>
    </w:lvl>
    <w:lvl w:ilvl="8" w:tplc="1932D620">
      <w:numFmt w:val="bullet"/>
      <w:lvlText w:val="•"/>
      <w:lvlJc w:val="left"/>
      <w:pPr>
        <w:ind w:left="8276" w:hanging="394"/>
      </w:pPr>
      <w:rPr>
        <w:lang w:val="ru-RU" w:eastAsia="en-US" w:bidi="ar-SA"/>
      </w:rPr>
    </w:lvl>
  </w:abstractNum>
  <w:abstractNum w:abstractNumId="26">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9"/>
  </w:num>
  <w:num w:numId="5">
    <w:abstractNumId w:val="33"/>
  </w:num>
  <w:num w:numId="6">
    <w:abstractNumId w:val="27"/>
  </w:num>
  <w:num w:numId="7">
    <w:abstractNumId w:val="30"/>
  </w:num>
  <w:num w:numId="8">
    <w:abstractNumId w:val="16"/>
  </w:num>
  <w:num w:numId="9">
    <w:abstractNumId w:val="4"/>
  </w:num>
  <w:num w:numId="10">
    <w:abstractNumId w:val="28"/>
  </w:num>
  <w:num w:numId="11">
    <w:abstractNumId w:val="24"/>
  </w:num>
  <w:num w:numId="12">
    <w:abstractNumId w:val="6"/>
  </w:num>
  <w:num w:numId="13">
    <w:abstractNumId w:val="23"/>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1"/>
  </w:num>
  <w:num w:numId="19">
    <w:abstractNumId w:val="15"/>
  </w:num>
  <w:num w:numId="20">
    <w:abstractNumId w:val="0"/>
  </w:num>
  <w:num w:numId="21">
    <w:abstractNumId w:val="26"/>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3"/>
  </w:num>
  <w:num w:numId="26">
    <w:abstractNumId w:val="7"/>
  </w:num>
  <w:num w:numId="27">
    <w:abstractNumId w:val="9"/>
  </w:num>
  <w:num w:numId="28">
    <w:abstractNumId w:val="5"/>
  </w:num>
  <w:num w:numId="29">
    <w:abstractNumId w:val="22"/>
  </w:num>
  <w:num w:numId="30">
    <w:abstractNumId w:val="34"/>
  </w:num>
  <w:num w:numId="31">
    <w:abstractNumId w:val="14"/>
  </w:num>
  <w:num w:numId="32">
    <w:abstractNumId w:val="21"/>
  </w:num>
  <w:num w:numId="33">
    <w:abstractNumId w:val="13"/>
    <w:lvlOverride w:ilvl="0">
      <w:startOverride w:val="20"/>
    </w:lvlOverride>
    <w:lvlOverride w:ilvl="1">
      <w:startOverride w:val="7"/>
    </w:lvlOverride>
    <w:lvlOverride w:ilvl="2">
      <w:startOverride w:val="3"/>
    </w:lvlOverride>
    <w:lvlOverride w:ilvl="3"/>
    <w:lvlOverride w:ilvl="4"/>
    <w:lvlOverride w:ilvl="5"/>
    <w:lvlOverride w:ilvl="6"/>
    <w:lvlOverride w:ilvl="7"/>
    <w:lvlOverride w:ilvl="8"/>
  </w:num>
  <w:num w:numId="34">
    <w:abstractNumId w:val="2"/>
    <w:lvlOverride w:ilvl="0">
      <w:startOverride w:val="20"/>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35606"/>
    <w:rsid w:val="00070675"/>
    <w:rsid w:val="00075766"/>
    <w:rsid w:val="00076944"/>
    <w:rsid w:val="000900AC"/>
    <w:rsid w:val="00094692"/>
    <w:rsid w:val="000F1333"/>
    <w:rsid w:val="001077B4"/>
    <w:rsid w:val="00125726"/>
    <w:rsid w:val="00127D6D"/>
    <w:rsid w:val="00131388"/>
    <w:rsid w:val="00137977"/>
    <w:rsid w:val="0015530A"/>
    <w:rsid w:val="0015588A"/>
    <w:rsid w:val="00161FD5"/>
    <w:rsid w:val="00164454"/>
    <w:rsid w:val="00190446"/>
    <w:rsid w:val="001935A9"/>
    <w:rsid w:val="001945AD"/>
    <w:rsid w:val="001A1639"/>
    <w:rsid w:val="001A7C3D"/>
    <w:rsid w:val="001C1D68"/>
    <w:rsid w:val="001E5415"/>
    <w:rsid w:val="001F7182"/>
    <w:rsid w:val="00237343"/>
    <w:rsid w:val="0024495D"/>
    <w:rsid w:val="00252418"/>
    <w:rsid w:val="0025284C"/>
    <w:rsid w:val="00256C00"/>
    <w:rsid w:val="00257665"/>
    <w:rsid w:val="002C0075"/>
    <w:rsid w:val="00307248"/>
    <w:rsid w:val="003228DF"/>
    <w:rsid w:val="00327AD7"/>
    <w:rsid w:val="00331187"/>
    <w:rsid w:val="0033483E"/>
    <w:rsid w:val="00352E13"/>
    <w:rsid w:val="003602CB"/>
    <w:rsid w:val="00364BED"/>
    <w:rsid w:val="003725DA"/>
    <w:rsid w:val="00383738"/>
    <w:rsid w:val="0039096D"/>
    <w:rsid w:val="00390F7D"/>
    <w:rsid w:val="003B0C56"/>
    <w:rsid w:val="003C2B88"/>
    <w:rsid w:val="003C4574"/>
    <w:rsid w:val="003E056F"/>
    <w:rsid w:val="003E3E9E"/>
    <w:rsid w:val="00401090"/>
    <w:rsid w:val="0041705B"/>
    <w:rsid w:val="00436D85"/>
    <w:rsid w:val="00442C9E"/>
    <w:rsid w:val="00477588"/>
    <w:rsid w:val="00483B31"/>
    <w:rsid w:val="004D717D"/>
    <w:rsid w:val="004F40AA"/>
    <w:rsid w:val="005125C6"/>
    <w:rsid w:val="00526FCD"/>
    <w:rsid w:val="0054310E"/>
    <w:rsid w:val="005467B3"/>
    <w:rsid w:val="0055253E"/>
    <w:rsid w:val="005660A5"/>
    <w:rsid w:val="005A0C02"/>
    <w:rsid w:val="005B5933"/>
    <w:rsid w:val="005E1214"/>
    <w:rsid w:val="00612C81"/>
    <w:rsid w:val="0064252D"/>
    <w:rsid w:val="0064253C"/>
    <w:rsid w:val="00653E09"/>
    <w:rsid w:val="006711D1"/>
    <w:rsid w:val="006752F7"/>
    <w:rsid w:val="0069166F"/>
    <w:rsid w:val="00695C75"/>
    <w:rsid w:val="006A6602"/>
    <w:rsid w:val="006B11A4"/>
    <w:rsid w:val="006B3403"/>
    <w:rsid w:val="006C0C28"/>
    <w:rsid w:val="006C5506"/>
    <w:rsid w:val="006D1E38"/>
    <w:rsid w:val="007075FC"/>
    <w:rsid w:val="00731542"/>
    <w:rsid w:val="00731559"/>
    <w:rsid w:val="00733C73"/>
    <w:rsid w:val="007342CC"/>
    <w:rsid w:val="007B7712"/>
    <w:rsid w:val="007C3E28"/>
    <w:rsid w:val="007D331B"/>
    <w:rsid w:val="007E6159"/>
    <w:rsid w:val="007F32CF"/>
    <w:rsid w:val="008068DA"/>
    <w:rsid w:val="008254AC"/>
    <w:rsid w:val="00836FFF"/>
    <w:rsid w:val="00850314"/>
    <w:rsid w:val="00866D4A"/>
    <w:rsid w:val="00883093"/>
    <w:rsid w:val="00883C64"/>
    <w:rsid w:val="00894AA9"/>
    <w:rsid w:val="008C1357"/>
    <w:rsid w:val="008C549A"/>
    <w:rsid w:val="008D2D62"/>
    <w:rsid w:val="008E092F"/>
    <w:rsid w:val="008E42F2"/>
    <w:rsid w:val="00905540"/>
    <w:rsid w:val="00914A56"/>
    <w:rsid w:val="00960262"/>
    <w:rsid w:val="0098502E"/>
    <w:rsid w:val="00994EDB"/>
    <w:rsid w:val="009A2788"/>
    <w:rsid w:val="009A37F0"/>
    <w:rsid w:val="009E4301"/>
    <w:rsid w:val="00A21DCB"/>
    <w:rsid w:val="00A52EFB"/>
    <w:rsid w:val="00A53448"/>
    <w:rsid w:val="00A5475F"/>
    <w:rsid w:val="00A7401B"/>
    <w:rsid w:val="00A94E67"/>
    <w:rsid w:val="00AF1974"/>
    <w:rsid w:val="00B23783"/>
    <w:rsid w:val="00B41C71"/>
    <w:rsid w:val="00B42AAF"/>
    <w:rsid w:val="00B43A3B"/>
    <w:rsid w:val="00B935D1"/>
    <w:rsid w:val="00B93B57"/>
    <w:rsid w:val="00B96737"/>
    <w:rsid w:val="00BB0229"/>
    <w:rsid w:val="00BB39B5"/>
    <w:rsid w:val="00BC5E90"/>
    <w:rsid w:val="00BC6C35"/>
    <w:rsid w:val="00BE07E0"/>
    <w:rsid w:val="00BE3719"/>
    <w:rsid w:val="00BF5CF1"/>
    <w:rsid w:val="00C1140E"/>
    <w:rsid w:val="00C24106"/>
    <w:rsid w:val="00C4222B"/>
    <w:rsid w:val="00C45D6E"/>
    <w:rsid w:val="00C461E7"/>
    <w:rsid w:val="00C74129"/>
    <w:rsid w:val="00CB0FCC"/>
    <w:rsid w:val="00CB7DED"/>
    <w:rsid w:val="00CD6114"/>
    <w:rsid w:val="00CF5DBD"/>
    <w:rsid w:val="00D274C9"/>
    <w:rsid w:val="00D3328C"/>
    <w:rsid w:val="00D407F7"/>
    <w:rsid w:val="00D467F0"/>
    <w:rsid w:val="00D4767B"/>
    <w:rsid w:val="00D55FB8"/>
    <w:rsid w:val="00D6617E"/>
    <w:rsid w:val="00D720E3"/>
    <w:rsid w:val="00D72AA2"/>
    <w:rsid w:val="00D81F10"/>
    <w:rsid w:val="00D850BC"/>
    <w:rsid w:val="00D858EB"/>
    <w:rsid w:val="00DC63F9"/>
    <w:rsid w:val="00DD537F"/>
    <w:rsid w:val="00DF0802"/>
    <w:rsid w:val="00E02BB5"/>
    <w:rsid w:val="00E72B6B"/>
    <w:rsid w:val="00E73795"/>
    <w:rsid w:val="00E77E5E"/>
    <w:rsid w:val="00E80442"/>
    <w:rsid w:val="00E96A79"/>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65E7"/>
    <w:rsid w:val="00F406AD"/>
    <w:rsid w:val="00F52C6F"/>
    <w:rsid w:val="00F73068"/>
    <w:rsid w:val="00F809C0"/>
    <w:rsid w:val="00F8208C"/>
    <w:rsid w:val="00F94383"/>
    <w:rsid w:val="00FA480B"/>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1"/>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9984107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0667126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1287869">
      <w:bodyDiv w:val="1"/>
      <w:marLeft w:val="0"/>
      <w:marRight w:val="0"/>
      <w:marTop w:val="0"/>
      <w:marBottom w:val="0"/>
      <w:divBdr>
        <w:top w:val="none" w:sz="0" w:space="0" w:color="auto"/>
        <w:left w:val="none" w:sz="0" w:space="0" w:color="auto"/>
        <w:bottom w:val="none" w:sz="0" w:space="0" w:color="auto"/>
        <w:right w:val="none" w:sz="0" w:space="0" w:color="auto"/>
      </w:divBdr>
    </w:div>
    <w:div w:id="91096839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908844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9854513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85057650">
      <w:bodyDiv w:val="1"/>
      <w:marLeft w:val="0"/>
      <w:marRight w:val="0"/>
      <w:marTop w:val="0"/>
      <w:marBottom w:val="0"/>
      <w:divBdr>
        <w:top w:val="none" w:sz="0" w:space="0" w:color="auto"/>
        <w:left w:val="none" w:sz="0" w:space="0" w:color="auto"/>
        <w:bottom w:val="none" w:sz="0" w:space="0" w:color="auto"/>
        <w:right w:val="none" w:sz="0" w:space="0" w:color="auto"/>
      </w:divBdr>
    </w:div>
    <w:div w:id="21401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48B3"/>
    <w:rsid w:val="0015062D"/>
    <w:rsid w:val="001E07C6"/>
    <w:rsid w:val="00274A39"/>
    <w:rsid w:val="002D74EE"/>
    <w:rsid w:val="002E4821"/>
    <w:rsid w:val="003D5AC7"/>
    <w:rsid w:val="003F2A8D"/>
    <w:rsid w:val="00433C59"/>
    <w:rsid w:val="004513CA"/>
    <w:rsid w:val="0049486C"/>
    <w:rsid w:val="00520195"/>
    <w:rsid w:val="00535AB8"/>
    <w:rsid w:val="00723A1A"/>
    <w:rsid w:val="007E059C"/>
    <w:rsid w:val="0081692D"/>
    <w:rsid w:val="00851BFF"/>
    <w:rsid w:val="009A7E83"/>
    <w:rsid w:val="00A52EFB"/>
    <w:rsid w:val="00BF119F"/>
    <w:rsid w:val="00C03B6A"/>
    <w:rsid w:val="00C06FB2"/>
    <w:rsid w:val="00C37B34"/>
    <w:rsid w:val="00CB5E30"/>
    <w:rsid w:val="00CE4727"/>
    <w:rsid w:val="00D44466"/>
    <w:rsid w:val="00DF6E1F"/>
    <w:rsid w:val="00E4028D"/>
    <w:rsid w:val="00E50A9B"/>
    <w:rsid w:val="00F356BB"/>
    <w:rsid w:val="00F420F6"/>
    <w:rsid w:val="00F64115"/>
    <w:rsid w:val="00F87564"/>
    <w:rsid w:val="00F966FD"/>
    <w:rsid w:val="00FD7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D3060-26DA-45BD-ABDA-B15611F4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5342</Words>
  <Characters>30451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DOC-MARKER-kIrBDdTFKhUiVc7Yy-rYEw</dc:description>
  <cp:lastModifiedBy>uzer</cp:lastModifiedBy>
  <cp:revision>48</cp:revision>
  <cp:lastPrinted>2026-02-06T06:50:00Z</cp:lastPrinted>
  <dcterms:created xsi:type="dcterms:W3CDTF">2025-09-06T12:54:00Z</dcterms:created>
  <dcterms:modified xsi:type="dcterms:W3CDTF">2026-05-28T03:41:00Z</dcterms:modified>
</cp:coreProperties>
</file>