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wmf" ContentType="image/x-wmf"/>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footer5.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bottom w:val="single" w:sz="12" w:space="1" w:color="000000"/>
        </w:pBdr>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АКЦИОНЕРНОЕ ОБЩЕСТВО «РЕГИОНАЛЬНАЯ СЕТЕВАЯ КОМПАНИЯ»</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«УТВЕРЖДАЮ»</w:t>
      </w:r>
    </w:p>
    <w:p>
      <w:pPr>
        <w:pStyle w:val="Normal"/>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Генеральный директор АО «РCК»</w:t>
      </w:r>
    </w:p>
    <w:p>
      <w:pPr>
        <w:pStyle w:val="Normal"/>
        <w:spacing w:lineRule="auto" w:line="240" w:before="0" w:after="0"/>
        <w:jc w:val="right"/>
        <w:rPr/>
      </w:pPr>
      <w:r>
        <w:rPr>
          <w:rFonts w:cs="Times New Roman" w:ascii="Times New Roman" w:hAnsi="Times New Roman"/>
          <w:sz w:val="24"/>
          <w:szCs w:val="24"/>
          <w:u w:val="single"/>
        </w:rPr>
        <w:tab/>
        <w:tab/>
        <w:tab/>
        <w:tab/>
        <w:tab/>
        <w:t xml:space="preserve">  </w:t>
      </w:r>
      <w:r>
        <w:rPr>
          <w:rFonts w:cs="Times New Roman" w:ascii="Times New Roman" w:hAnsi="Times New Roman"/>
          <w:sz w:val="24"/>
          <w:szCs w:val="24"/>
        </w:rPr>
        <w:t xml:space="preserve"> А.С. Мирный</w:t>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4"/>
          <w:szCs w:val="24"/>
        </w:rPr>
        <w:t xml:space="preserve">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0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0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0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0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0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0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0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00" w:before="0" w:after="0"/>
        <w:jc w:val="center"/>
        <w:rPr>
          <w:rFonts w:ascii="Times New Roman" w:hAnsi="Times New Roman" w:eastAsia="Times New Roman" w:cs="Times New Roman"/>
          <w:b/>
          <w:bCs/>
          <w:sz w:val="28"/>
          <w:szCs w:val="28"/>
        </w:rPr>
      </w:pPr>
      <w:r>
        <w:rPr>
          <w:rFonts w:eastAsia="Times New Roman" w:cs="Times New Roman" w:ascii="Times New Roman" w:hAnsi="Times New Roman"/>
          <w:b/>
          <w:bCs/>
          <w:sz w:val="28"/>
          <w:szCs w:val="28"/>
        </w:rPr>
        <w:t>КОНКУРСНАЯ ДОКУМЕНТАЦИЯ</w:t>
      </w:r>
    </w:p>
    <w:p>
      <w:pPr>
        <w:pStyle w:val="Normal"/>
        <w:spacing w:lineRule="auto" w:line="300" w:before="0" w:after="0"/>
        <w:jc w:val="center"/>
        <w:rPr>
          <w:rFonts w:ascii="Times New Roman" w:hAnsi="Times New Roman" w:eastAsia="Times New Roman" w:cs="Times New Roman"/>
          <w:b/>
          <w:bCs/>
          <w:sz w:val="28"/>
          <w:szCs w:val="28"/>
        </w:rPr>
      </w:pPr>
      <w:r>
        <w:rPr>
          <w:rFonts w:eastAsia="Times New Roman" w:cs="Times New Roman" w:ascii="Times New Roman" w:hAnsi="Times New Roman"/>
          <w:b/>
          <w:bCs/>
          <w:sz w:val="28"/>
          <w:szCs w:val="28"/>
        </w:rPr>
        <w:t xml:space="preserve">на право заключения договора </w:t>
      </w:r>
    </w:p>
    <w:p>
      <w:pPr>
        <w:pStyle w:val="Normal"/>
        <w:keepLines/>
        <w:widowControl w:val="false"/>
        <w:tabs>
          <w:tab w:val="clear" w:pos="408"/>
          <w:tab w:val="left" w:pos="1134" w:leader="none"/>
        </w:tabs>
        <w:spacing w:lineRule="auto" w:line="240" w:before="0" w:after="0"/>
        <w:ind w:firstLine="709"/>
        <w:jc w:val="center"/>
        <w:textAlignment w:val="baseline"/>
        <w:rPr>
          <w:sz w:val="28"/>
          <w:szCs w:val="28"/>
        </w:rPr>
      </w:pPr>
      <w:r>
        <w:rPr>
          <w:rFonts w:cs="Times New Roman" w:ascii="Times New Roman" w:hAnsi="Times New Roman"/>
          <w:b/>
          <w:bCs/>
          <w:i/>
          <w:iCs/>
          <w:color w:val="000000"/>
          <w:sz w:val="28"/>
          <w:szCs w:val="28"/>
        </w:rPr>
        <w:t>«Выполнение  работ в электрических сетях 0,22 - 110 кВ на территории городов Свердловской области».</w:t>
      </w:r>
    </w:p>
    <w:p>
      <w:pPr>
        <w:pStyle w:val="Normal"/>
        <w:spacing w:lineRule="auto" w:line="240" w:before="0" w:after="0"/>
        <w:rPr>
          <w:rFonts w:ascii="Times New Roman" w:hAnsi="Times New Roman" w:eastAsia="Times New Roman" w:cs="Times New Roman"/>
          <w:b/>
          <w:bCs/>
          <w:color w:val="000000"/>
          <w:sz w:val="28"/>
          <w:szCs w:val="28"/>
        </w:rPr>
      </w:pPr>
      <w:r>
        <w:rPr>
          <w:rFonts w:eastAsia="Times New Roman" w:cs="Times New Roman" w:ascii="Times New Roman" w:hAnsi="Times New Roman"/>
          <w:b/>
          <w:bCs/>
          <w:color w:val="000000"/>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0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0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0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0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0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0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00" w:before="0" w:after="0"/>
        <w:rPr>
          <w:rFonts w:ascii="Times New Roman" w:hAnsi="Times New Roman" w:cs="Times New Roman"/>
          <w:sz w:val="16"/>
          <w:szCs w:val="16"/>
        </w:rPr>
      </w:pPr>
      <w:r>
        <w:rPr>
          <w:rFonts w:cs="Times New Roman" w:ascii="Times New Roman" w:hAnsi="Times New Roman"/>
          <w:sz w:val="16"/>
          <w:szCs w:val="16"/>
        </w:rPr>
      </w:r>
    </w:p>
    <w:p>
      <w:pPr>
        <w:pStyle w:val="Normal"/>
        <w:spacing w:lineRule="auto" w:line="300" w:before="0" w:after="0"/>
        <w:rPr>
          <w:rFonts w:ascii="Times New Roman" w:hAnsi="Times New Roman" w:cs="Times New Roman"/>
          <w:sz w:val="16"/>
          <w:szCs w:val="16"/>
        </w:rPr>
      </w:pPr>
      <w:r>
        <w:rPr>
          <w:rFonts w:cs="Times New Roman" w:ascii="Times New Roman" w:hAnsi="Times New Roman"/>
          <w:sz w:val="16"/>
          <w:szCs w:val="16"/>
        </w:rPr>
      </w:r>
    </w:p>
    <w:p>
      <w:pPr>
        <w:pStyle w:val="Normal"/>
        <w:spacing w:lineRule="auto" w:line="300" w:before="0" w:after="0"/>
        <w:rPr>
          <w:rFonts w:ascii="Times New Roman" w:hAnsi="Times New Roman" w:cs="Times New Roman"/>
          <w:sz w:val="16"/>
          <w:szCs w:val="16"/>
        </w:rPr>
      </w:pPr>
      <w:r>
        <w:rPr>
          <w:rFonts w:cs="Times New Roman" w:ascii="Times New Roman" w:hAnsi="Times New Roman"/>
          <w:sz w:val="16"/>
          <w:szCs w:val="16"/>
        </w:rPr>
      </w:r>
    </w:p>
    <w:p>
      <w:pPr>
        <w:pStyle w:val="Normal"/>
        <w:spacing w:lineRule="auto" w:line="300" w:before="0" w:after="0"/>
        <w:rPr>
          <w:rFonts w:ascii="Times New Roman" w:hAnsi="Times New Roman" w:cs="Times New Roman"/>
          <w:sz w:val="16"/>
          <w:szCs w:val="16"/>
        </w:rPr>
      </w:pPr>
      <w:r>
        <w:rPr>
          <w:rFonts w:cs="Times New Roman" w:ascii="Times New Roman" w:hAnsi="Times New Roman"/>
          <w:sz w:val="16"/>
          <w:szCs w:val="16"/>
        </w:rPr>
      </w:r>
    </w:p>
    <w:p>
      <w:pPr>
        <w:pStyle w:val="Normal"/>
        <w:spacing w:lineRule="auto" w:line="300" w:before="0" w:after="0"/>
        <w:rPr>
          <w:rFonts w:ascii="Times New Roman" w:hAnsi="Times New Roman" w:cs="Times New Roman"/>
          <w:sz w:val="16"/>
          <w:szCs w:val="16"/>
        </w:rPr>
      </w:pPr>
      <w:r>
        <w:rPr>
          <w:rFonts w:cs="Times New Roman" w:ascii="Times New Roman" w:hAnsi="Times New Roman"/>
          <w:sz w:val="16"/>
          <w:szCs w:val="16"/>
        </w:rPr>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г.  Екатеринбург</w:t>
      </w:r>
    </w:p>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2026 г.</w:t>
      </w:r>
    </w:p>
    <w:p>
      <w:pPr>
        <w:pStyle w:val="1"/>
        <w:spacing w:lineRule="auto" w:line="240" w:before="0" w:after="0"/>
        <w:jc w:val="center"/>
        <w:rPr>
          <w:rFonts w:ascii="Times New Roman" w:hAnsi="Times New Roman"/>
          <w:sz w:val="24"/>
          <w:szCs w:val="24"/>
        </w:rPr>
      </w:pPr>
      <w:bookmarkStart w:id="0" w:name="_Toc61614977"/>
      <w:r>
        <w:rPr>
          <w:rFonts w:eastAsia="Times New Roman" w:cs="Times New Roman" w:ascii="Times New Roman" w:hAnsi="Times New Roman"/>
          <w:b/>
          <w:bCs/>
          <w:color w:val="auto"/>
          <w:sz w:val="24"/>
          <w:szCs w:val="24"/>
        </w:rPr>
        <w:t>РАЗДЕЛ 1. ОБЩИЕ ПОЛОЖЕНИЯ</w:t>
      </w:r>
      <w:bookmarkEnd w:id="0"/>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p>
      <w:pPr>
        <w:pStyle w:val="1"/>
        <w:numPr>
          <w:ilvl w:val="1"/>
          <w:numId w:val="4"/>
        </w:numPr>
        <w:spacing w:lineRule="auto" w:line="240" w:before="0" w:after="0"/>
        <w:ind w:left="0" w:hanging="0"/>
        <w:jc w:val="center"/>
        <w:rPr>
          <w:rFonts w:ascii="Times New Roman" w:hAnsi="Times New Roman" w:eastAsia="Times New Roman" w:cs="Times New Roman"/>
          <w:b/>
          <w:bCs/>
          <w:color w:val="auto"/>
          <w:sz w:val="28"/>
          <w:szCs w:val="28"/>
        </w:rPr>
      </w:pPr>
      <w:bookmarkStart w:id="1" w:name="_Toc479233554"/>
      <w:bookmarkStart w:id="2" w:name="_Toc61614978"/>
      <w:r>
        <w:rPr>
          <w:rFonts w:eastAsia="Times New Roman" w:cs="Times New Roman" w:ascii="Times New Roman" w:hAnsi="Times New Roman"/>
          <w:b/>
          <w:bCs/>
          <w:color w:val="auto"/>
          <w:sz w:val="24"/>
          <w:szCs w:val="24"/>
        </w:rPr>
        <w:t>Законодательное регулирование</w:t>
      </w:r>
      <w:bookmarkEnd w:id="1"/>
      <w:bookmarkEnd w:id="2"/>
    </w:p>
    <w:p>
      <w:pPr>
        <w:pStyle w:val="ListParagraph"/>
        <w:numPr>
          <w:ilvl w:val="2"/>
          <w:numId w:val="4"/>
        </w:numPr>
        <w:spacing w:lineRule="auto" w:line="240"/>
        <w:ind w:left="0" w:hanging="0"/>
        <w:jc w:val="both"/>
        <w:rPr>
          <w:rFonts w:ascii="Times New Roman" w:hAnsi="Times New Roman"/>
          <w:sz w:val="24"/>
          <w:szCs w:val="24"/>
        </w:rPr>
      </w:pPr>
      <w:r>
        <w:rPr>
          <w:rFonts w:eastAsia="Times New Roman" w:cs="Times New Roman" w:ascii="Times New Roman" w:hAnsi="Times New Roman"/>
          <w:sz w:val="24"/>
          <w:szCs w:val="24"/>
        </w:rPr>
        <w:t>Настоящая документация об открытом конкурсе в электронной форме</w:t>
      </w:r>
      <w:r>
        <w:rPr>
          <w:rFonts w:eastAsia="Times New Roman" w:cs="Times New Roman" w:ascii="Times New Roman" w:hAnsi="Times New Roman"/>
          <w:b/>
          <w:i/>
          <w:sz w:val="24"/>
          <w:szCs w:val="24"/>
        </w:rPr>
        <w:t xml:space="preserve"> </w:t>
      </w:r>
      <w:r>
        <w:rPr>
          <w:rFonts w:eastAsia="Times New Roman" w:cs="Times New Roman" w:ascii="Times New Roman" w:hAnsi="Times New Roman"/>
          <w:sz w:val="24"/>
          <w:szCs w:val="24"/>
        </w:rPr>
        <w:t>(далее – документация) – подготовлена в соответствии с Федеральным законом от 18.07.2011 № 223-ФЗ «О закупках товаров, работ, услуг отдельными видами юридических лиц» (далее – Закон № 223-ФЗ), а также иными нормативными правовыми актами, регулирующими закупку товаров, работ, услуг отдельными видами юридических лиц в целях создания условий для своевременного и полного удовлетворения потребностей юридических лиц, указанных в части 2 статьи 1 Закона № 223-ФЗ, в товарах, работах, услугах с необходимыми показателями цены, качества и надежности, эффективное использование денежных средств, расширение возможностей участия юридических и физических лиц в закупке товаров, работ, услуг для нужд Заказчиков и стимулирование такого участия, развитие добросовестной конкуренции.</w:t>
      </w:r>
    </w:p>
    <w:p>
      <w:pPr>
        <w:pStyle w:val="ListParagraph"/>
        <w:numPr>
          <w:ilvl w:val="2"/>
          <w:numId w:val="4"/>
        </w:numPr>
        <w:spacing w:lineRule="auto" w:line="240"/>
        <w:ind w:left="0" w:hanging="0"/>
        <w:jc w:val="both"/>
        <w:rPr>
          <w:rFonts w:ascii="Times New Roman" w:hAnsi="Times New Roman"/>
          <w:sz w:val="24"/>
          <w:szCs w:val="24"/>
        </w:rPr>
      </w:pPr>
      <w:r>
        <w:rPr>
          <w:rFonts w:eastAsia="Times New Roman" w:cs="Times New Roman" w:ascii="Times New Roman" w:hAnsi="Times New Roman"/>
          <w:sz w:val="24"/>
          <w:szCs w:val="24"/>
        </w:rPr>
        <w:t xml:space="preserve">Понятийный аппарат </w:t>
      </w:r>
    </w:p>
    <w:p>
      <w:pPr>
        <w:pStyle w:val="ListParagraph"/>
        <w:numPr>
          <w:ilvl w:val="3"/>
          <w:numId w:val="4"/>
        </w:numPr>
        <w:spacing w:lineRule="auto" w:line="240"/>
        <w:ind w:left="0" w:hanging="0"/>
        <w:jc w:val="both"/>
        <w:rPr>
          <w:rFonts w:ascii="Times New Roman" w:hAnsi="Times New Roman"/>
          <w:sz w:val="24"/>
          <w:szCs w:val="24"/>
        </w:rPr>
      </w:pPr>
      <w:r>
        <w:rPr>
          <w:rFonts w:eastAsia="Times New Roman" w:cs="Times New Roman" w:ascii="Times New Roman" w:hAnsi="Times New Roman"/>
          <w:sz w:val="24"/>
          <w:szCs w:val="24"/>
        </w:rPr>
        <w:t xml:space="preserve">Заказчик – </w:t>
      </w:r>
      <w:r>
        <w:rPr>
          <w:rFonts w:cs="Times New Roman" w:ascii="Times New Roman" w:hAnsi="Times New Roman"/>
          <w:sz w:val="24"/>
          <w:szCs w:val="24"/>
        </w:rPr>
        <w:t>акционерное общество «Региональная сетевая компания»</w:t>
      </w:r>
      <w:r>
        <w:rPr>
          <w:rFonts w:eastAsia="Times New Roman" w:cs="Times New Roman" w:ascii="Times New Roman" w:hAnsi="Times New Roman"/>
          <w:sz w:val="24"/>
          <w:szCs w:val="24"/>
        </w:rPr>
        <w:t xml:space="preserve"> (далее – </w:t>
      </w:r>
      <w:r>
        <w:rPr>
          <w:rFonts w:cs="Times New Roman" w:ascii="Times New Roman" w:hAnsi="Times New Roman"/>
          <w:sz w:val="24"/>
          <w:szCs w:val="24"/>
        </w:rPr>
        <w:t>АО «РCК»</w:t>
      </w:r>
      <w:r>
        <w:rPr>
          <w:rFonts w:eastAsia="Times New Roman" w:cs="Times New Roman" w:ascii="Times New Roman" w:hAnsi="Times New Roman"/>
          <w:sz w:val="24"/>
          <w:szCs w:val="24"/>
        </w:rPr>
        <w:t xml:space="preserve">). </w:t>
      </w:r>
    </w:p>
    <w:p>
      <w:pPr>
        <w:pStyle w:val="ListParagraph"/>
        <w:numPr>
          <w:ilvl w:val="3"/>
          <w:numId w:val="4"/>
        </w:numPr>
        <w:spacing w:lineRule="auto" w:line="240"/>
        <w:ind w:left="0" w:hanging="0"/>
        <w:jc w:val="both"/>
        <w:rPr>
          <w:rFonts w:ascii="Times New Roman" w:hAnsi="Times New Roman"/>
          <w:sz w:val="24"/>
          <w:szCs w:val="24"/>
        </w:rPr>
      </w:pPr>
      <w:r>
        <w:rPr>
          <w:rFonts w:eastAsia="Times New Roman" w:cs="Times New Roman" w:ascii="Times New Roman" w:hAnsi="Times New Roman"/>
          <w:sz w:val="24"/>
          <w:szCs w:val="24"/>
        </w:rPr>
        <w:t xml:space="preserve">Официальный сайт Заказчика – сайт </w:t>
      </w:r>
      <w:r>
        <w:rPr>
          <w:rFonts w:cs="Times New Roman" w:ascii="Times New Roman" w:hAnsi="Times New Roman"/>
          <w:sz w:val="24"/>
          <w:szCs w:val="24"/>
        </w:rPr>
        <w:t>АО «РCК»</w:t>
      </w:r>
      <w:r>
        <w:rPr>
          <w:rFonts w:eastAsia="Times New Roman" w:cs="Times New Roman" w:ascii="Times New Roman" w:hAnsi="Times New Roman"/>
          <w:sz w:val="24"/>
          <w:szCs w:val="24"/>
        </w:rPr>
        <w:t xml:space="preserve"> в информационно-телекоммуникационной сети Интернет </w:t>
      </w:r>
      <w:hyperlink r:id="rId2">
        <w:r>
          <w:rPr>
            <w:rFonts w:eastAsia="Times New Roman" w:cs="Times New Roman" w:ascii="Times New Roman" w:hAnsi="Times New Roman"/>
            <w:sz w:val="24"/>
            <w:szCs w:val="24"/>
          </w:rPr>
          <w:t>https://www.sv-rsk.ru/</w:t>
        </w:r>
      </w:hyperlink>
      <w:r>
        <w:rPr>
          <w:rFonts w:eastAsia="Times New Roman" w:cs="Times New Roman" w:ascii="Times New Roman" w:hAnsi="Times New Roman"/>
          <w:sz w:val="24"/>
          <w:szCs w:val="24"/>
        </w:rPr>
        <w:t>.</w:t>
      </w:r>
    </w:p>
    <w:p>
      <w:pPr>
        <w:pStyle w:val="ListParagraph"/>
        <w:numPr>
          <w:ilvl w:val="3"/>
          <w:numId w:val="4"/>
        </w:numPr>
        <w:spacing w:lineRule="auto" w:line="240"/>
        <w:ind w:left="0" w:hanging="0"/>
        <w:jc w:val="both"/>
        <w:rPr>
          <w:rFonts w:ascii="Times New Roman" w:hAnsi="Times New Roman"/>
          <w:sz w:val="24"/>
          <w:szCs w:val="24"/>
        </w:rPr>
      </w:pPr>
      <w:r>
        <w:rPr>
          <w:rFonts w:eastAsia="Times New Roman" w:cs="Times New Roman" w:ascii="Times New Roman" w:hAnsi="Times New Roman"/>
          <w:sz w:val="24"/>
          <w:szCs w:val="24"/>
        </w:rPr>
        <w:t>Единая информационная система в сфере закупок товаров, работ, услуг (далее – Единая информационная система)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
    <w:p>
      <w:pPr>
        <w:pStyle w:val="ListParagraph"/>
        <w:numPr>
          <w:ilvl w:val="3"/>
          <w:numId w:val="4"/>
        </w:numPr>
        <w:spacing w:lineRule="auto" w:line="240"/>
        <w:ind w:left="0" w:hanging="0"/>
        <w:jc w:val="both"/>
        <w:rPr>
          <w:rFonts w:ascii="Times New Roman" w:hAnsi="Times New Roman"/>
          <w:sz w:val="24"/>
          <w:szCs w:val="24"/>
        </w:rPr>
      </w:pPr>
      <w:r>
        <w:rPr>
          <w:rFonts w:eastAsia="Times New Roman" w:cs="Times New Roman" w:ascii="Times New Roman" w:hAnsi="Times New Roman"/>
          <w:sz w:val="24"/>
          <w:szCs w:val="24"/>
        </w:rPr>
        <w:t>Открытый конкурс – способ закупки, победителем которой признается лицо, предложившее лучшие условия исполнения договора в соответствии с критериями и порядком оценки и сопоставления заявок, которые установлены в конкурсной документации.</w:t>
      </w:r>
    </w:p>
    <w:p>
      <w:pPr>
        <w:pStyle w:val="ListParagraph"/>
        <w:numPr>
          <w:ilvl w:val="3"/>
          <w:numId w:val="4"/>
        </w:numPr>
        <w:spacing w:lineRule="auto" w:line="240"/>
        <w:ind w:left="0" w:hanging="0"/>
        <w:jc w:val="both"/>
        <w:rPr>
          <w:rFonts w:ascii="Times New Roman" w:hAnsi="Times New Roman"/>
          <w:sz w:val="24"/>
          <w:szCs w:val="24"/>
        </w:rPr>
      </w:pPr>
      <w:r>
        <w:rPr>
          <w:rFonts w:eastAsia="Times New Roman" w:cs="Times New Roman" w:ascii="Times New Roman" w:hAnsi="Times New Roman"/>
          <w:sz w:val="24"/>
          <w:szCs w:val="24"/>
        </w:rPr>
        <w:t xml:space="preserve">Конкурсная документация – комплект документов, содержащий необходимую и достаточную информацию для участия в закупке, в том числе о предмете закупки, требованиях к участникам закупки, условиях участия и правилах проведения процедуры закупки, правилах подготовки, оформления и подачи заявок, правилах выбора победителя, а также об условиях договора, заключаемого по результатам процедуры закупки. </w:t>
      </w:r>
    </w:p>
    <w:p>
      <w:pPr>
        <w:pStyle w:val="ListParagraph"/>
        <w:numPr>
          <w:ilvl w:val="3"/>
          <w:numId w:val="4"/>
        </w:numPr>
        <w:spacing w:lineRule="auto" w:line="240"/>
        <w:ind w:left="0" w:hanging="0"/>
        <w:jc w:val="both"/>
        <w:rPr/>
      </w:pPr>
      <w:r>
        <w:rPr>
          <w:rFonts w:eastAsia="Times New Roman" w:cs="Times New Roman" w:ascii="Times New Roman" w:hAnsi="Times New Roman"/>
          <w:sz w:val="24"/>
          <w:szCs w:val="24"/>
        </w:rPr>
        <w:t xml:space="preserve">Электронная торговая площадка – сайт в информационно-телекоммуникационной сети Интернет, на котором проводятся закупки в электронной форме </w:t>
      </w:r>
      <w:r>
        <w:rPr>
          <w:rFonts w:cs="Times New Roman" w:ascii="Times New Roman" w:hAnsi="Times New Roman"/>
          <w:sz w:val="24"/>
          <w:szCs w:val="24"/>
        </w:rPr>
        <w:t>– ЭТП Регион</w:t>
      </w:r>
      <w:r>
        <w:rPr>
          <w:rFonts w:cs="Times New Roman" w:ascii="Times New Roman" w:hAnsi="Times New Roman"/>
          <w:b/>
          <w:bCs/>
          <w:sz w:val="24"/>
          <w:szCs w:val="24"/>
        </w:rPr>
        <w:t xml:space="preserve"> </w:t>
      </w:r>
      <w:hyperlink r:id="rId3">
        <w:r>
          <w:rPr>
            <w:rFonts w:cs="Times New Roman" w:ascii="Times New Roman" w:hAnsi="Times New Roman"/>
            <w:b/>
            <w:bCs/>
            <w:sz w:val="24"/>
            <w:szCs w:val="24"/>
          </w:rPr>
          <w:t>https://etp-region.ru</w:t>
        </w:r>
      </w:hyperlink>
      <w:r>
        <w:rPr>
          <w:rFonts w:cs="Times New Roman" w:ascii="Times New Roman" w:hAnsi="Times New Roman"/>
          <w:b/>
          <w:bCs/>
          <w:sz w:val="24"/>
          <w:szCs w:val="24"/>
        </w:rPr>
        <w:t>.</w:t>
      </w:r>
    </w:p>
    <w:p>
      <w:pPr>
        <w:pStyle w:val="ListParagraph"/>
        <w:numPr>
          <w:ilvl w:val="3"/>
          <w:numId w:val="4"/>
        </w:numPr>
        <w:spacing w:lineRule="auto" w:line="240"/>
        <w:ind w:lef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Участник закупки – </w:t>
      </w:r>
      <w:r>
        <w:rPr>
          <w:rFonts w:eastAsia="Times New Roman" w:cs="Times New Roman" w:ascii="Times New Roman" w:hAnsi="Times New Roman"/>
          <w:color w:val="000000"/>
          <w:sz w:val="24"/>
          <w:szCs w:val="24"/>
        </w:rPr>
        <w:t>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w:t>
      </w:r>
      <w:r>
        <w:rPr>
          <w:rFonts w:eastAsia="Times New Roman" w:cs="Times New Roman" w:ascii="Times New Roman" w:hAnsi="Times New Roman"/>
          <w:color w:val="000000"/>
          <w:sz w:val="24"/>
          <w:szCs w:val="24"/>
          <w:highlight w:val="white"/>
        </w:rPr>
        <w:t xml:space="preserve"> </w:t>
      </w:r>
      <w:r>
        <w:rPr>
          <w:rFonts w:eastAsia="Times New Roman" w:cs="Times New Roman" w:ascii="Times New Roman" w:hAnsi="Times New Roman"/>
          <w:color w:val="000000"/>
          <w:sz w:val="24"/>
          <w:szCs w:val="24"/>
        </w:rPr>
        <w:t>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w:t>
      </w:r>
      <w:r>
        <w:rPr>
          <w:rFonts w:eastAsia="Times New Roman" w:cs="Times New Roman" w:ascii="Times New Roman" w:hAnsi="Times New Roman"/>
          <w:color w:val="000000"/>
          <w:sz w:val="24"/>
          <w:szCs w:val="24"/>
          <w:highlight w:val="white"/>
        </w:rPr>
        <w:t xml:space="preserve"> законом </w:t>
      </w:r>
      <w:r>
        <w:rPr>
          <w:rFonts w:eastAsia="Times New Roman" w:cs="Times New Roman" w:ascii="Times New Roman" w:hAnsi="Times New Roman"/>
          <w:color w:val="000000"/>
          <w:sz w:val="24"/>
          <w:szCs w:val="24"/>
        </w:rPr>
        <w:t xml:space="preserve">от 14 июля 2022 года N 255-ФЗ "О контроле за деятельностью лиц, находящихся под иностранным влиянием". </w:t>
      </w:r>
    </w:p>
    <w:p>
      <w:pPr>
        <w:pStyle w:val="ListParagraph"/>
        <w:numPr>
          <w:ilvl w:val="3"/>
          <w:numId w:val="4"/>
        </w:numPr>
        <w:spacing w:lineRule="auto" w:line="240"/>
        <w:ind w:left="0" w:hanging="0"/>
        <w:jc w:val="both"/>
        <w:rPr>
          <w:rFonts w:ascii="Times New Roman" w:hAnsi="Times New Roman"/>
          <w:sz w:val="24"/>
          <w:szCs w:val="24"/>
        </w:rPr>
      </w:pPr>
      <w:r>
        <w:rPr>
          <w:rFonts w:eastAsia="Times New Roman" w:cs="Times New Roman" w:ascii="Times New Roman" w:hAnsi="Times New Roman"/>
          <w:sz w:val="24"/>
          <w:szCs w:val="24"/>
        </w:rPr>
        <w:t>Победитель закупки – участник закупки, который сделал лучшее предложение в соответствии с условиями документации о закупке.</w:t>
      </w:r>
    </w:p>
    <w:p>
      <w:pPr>
        <w:pStyle w:val="ListParagraph"/>
        <w:numPr>
          <w:ilvl w:val="3"/>
          <w:numId w:val="4"/>
        </w:numPr>
        <w:spacing w:lineRule="auto" w:line="240"/>
        <w:ind w:left="0" w:hanging="0"/>
        <w:jc w:val="both"/>
        <w:rPr>
          <w:rFonts w:ascii="Times New Roman" w:hAnsi="Times New Roman"/>
          <w:sz w:val="24"/>
          <w:szCs w:val="24"/>
        </w:rPr>
      </w:pPr>
      <w:r>
        <w:rPr>
          <w:rFonts w:eastAsia="Times New Roman" w:cs="Times New Roman" w:ascii="Times New Roman" w:hAnsi="Times New Roman"/>
          <w:sz w:val="24"/>
          <w:szCs w:val="24"/>
        </w:rPr>
        <w:t>Заявка на участие в закупке (заявка, предложение) – комплект документов, содержащий предложение участника закупки, направленное Заказчику по форме и в порядке, установленном документацией о закупке в форме электронного документа.</w:t>
      </w:r>
    </w:p>
    <w:p>
      <w:pPr>
        <w:pStyle w:val="ListParagraph"/>
        <w:numPr>
          <w:ilvl w:val="3"/>
          <w:numId w:val="4"/>
        </w:numPr>
        <w:spacing w:lineRule="auto" w:line="240"/>
        <w:ind w:left="0" w:hanging="0"/>
        <w:jc w:val="both"/>
        <w:rPr>
          <w:rFonts w:ascii="Times New Roman" w:hAnsi="Times New Roman"/>
          <w:sz w:val="24"/>
          <w:szCs w:val="24"/>
        </w:rPr>
      </w:pPr>
      <w:r>
        <w:rPr>
          <w:rFonts w:eastAsia="Times New Roman" w:cs="Times New Roman" w:ascii="Times New Roman" w:hAnsi="Times New Roman"/>
          <w:sz w:val="24"/>
          <w:szCs w:val="24"/>
        </w:rPr>
        <w:t>Комиссия по осуществлению закупок (далее – Комиссия) – коллегиальный орган, создаваемый Заказчиком для принятия решений в ходе проведения закупок и определения Победителя закупки.</w:t>
      </w:r>
    </w:p>
    <w:p>
      <w:pPr>
        <w:pStyle w:val="ListParagraph"/>
        <w:numPr>
          <w:ilvl w:val="3"/>
          <w:numId w:val="4"/>
        </w:numPr>
        <w:spacing w:lineRule="auto" w:line="240"/>
        <w:ind w:left="0" w:hanging="0"/>
        <w:jc w:val="both"/>
        <w:rPr>
          <w:rFonts w:ascii="Times New Roman" w:hAnsi="Times New Roman"/>
          <w:sz w:val="24"/>
          <w:szCs w:val="24"/>
        </w:rPr>
      </w:pPr>
      <w:r>
        <w:rPr>
          <w:rFonts w:eastAsia="Times New Roman" w:cs="Times New Roman" w:ascii="Times New Roman" w:hAnsi="Times New Roman"/>
          <w:sz w:val="24"/>
          <w:szCs w:val="24"/>
        </w:rPr>
        <w:t>Положение о закупке – документ, который регламентирует закупочную деятельность Заказчика и должен содержать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pPr>
        <w:pStyle w:val="ListParagraph"/>
        <w:numPr>
          <w:ilvl w:val="3"/>
          <w:numId w:val="4"/>
        </w:numPr>
        <w:spacing w:lineRule="auto" w:line="240"/>
        <w:ind w:left="0" w:hanging="0"/>
        <w:jc w:val="both"/>
        <w:rPr>
          <w:rFonts w:ascii="Times New Roman" w:hAnsi="Times New Roman"/>
          <w:sz w:val="24"/>
          <w:szCs w:val="24"/>
        </w:rPr>
      </w:pPr>
      <w:r>
        <w:rPr>
          <w:rFonts w:eastAsia="Times New Roman" w:cs="Times New Roman" w:ascii="Times New Roman" w:hAnsi="Times New Roman"/>
          <w:sz w:val="24"/>
          <w:szCs w:val="24"/>
        </w:rPr>
        <w:t>Электронный документ –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06.04.2011 № 63-ФЗ «Об электронной подписи» и принятыми в соответствии с ним иными нормативно-правовыми актами.</w:t>
      </w:r>
    </w:p>
    <w:p>
      <w:pPr>
        <w:pStyle w:val="ListParagraph"/>
        <w:numPr>
          <w:ilvl w:val="3"/>
          <w:numId w:val="4"/>
        </w:numPr>
        <w:spacing w:lineRule="auto" w:line="240"/>
        <w:ind w:left="0" w:hanging="0"/>
        <w:jc w:val="both"/>
        <w:rPr>
          <w:rFonts w:ascii="Times New Roman" w:hAnsi="Times New Roman"/>
          <w:sz w:val="24"/>
          <w:szCs w:val="24"/>
        </w:rPr>
      </w:pPr>
      <w:r>
        <w:rPr>
          <w:rFonts w:eastAsia="Times New Roman" w:cs="Times New Roman" w:ascii="Times New Roman" w:hAnsi="Times New Roman"/>
          <w:sz w:val="24"/>
          <w:szCs w:val="24"/>
        </w:rPr>
        <w:t>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pPr>
        <w:pStyle w:val="1"/>
        <w:numPr>
          <w:ilvl w:val="1"/>
          <w:numId w:val="4"/>
        </w:numPr>
        <w:spacing w:lineRule="auto" w:line="240" w:before="0" w:after="0"/>
        <w:ind w:left="0" w:hanging="0"/>
        <w:jc w:val="center"/>
        <w:rPr>
          <w:rFonts w:ascii="Times New Roman" w:hAnsi="Times New Roman" w:eastAsia="Times New Roman" w:cs="Times New Roman"/>
          <w:b/>
          <w:bCs/>
          <w:color w:val="auto"/>
          <w:sz w:val="28"/>
          <w:szCs w:val="28"/>
        </w:rPr>
      </w:pPr>
      <w:bookmarkStart w:id="3" w:name="_Toc61614979"/>
      <w:r>
        <w:rPr>
          <w:rFonts w:eastAsia="Times New Roman" w:cs="Times New Roman" w:ascii="Times New Roman" w:hAnsi="Times New Roman"/>
          <w:b/>
          <w:bCs/>
          <w:color w:val="auto"/>
          <w:sz w:val="24"/>
          <w:szCs w:val="24"/>
        </w:rPr>
        <w:t>Требования к участникам закупки</w:t>
      </w:r>
      <w:bookmarkEnd w:id="3"/>
    </w:p>
    <w:p>
      <w:pPr>
        <w:pStyle w:val="ListParagraph"/>
        <w:numPr>
          <w:ilvl w:val="2"/>
          <w:numId w:val="4"/>
        </w:numPr>
        <w:spacing w:lineRule="auto" w:line="240"/>
        <w:ind w:left="0" w:hanging="0"/>
        <w:jc w:val="both"/>
        <w:rPr>
          <w:rFonts w:ascii="Times New Roman" w:hAnsi="Times New Roman" w:cs="Times New Roman"/>
          <w:sz w:val="24"/>
          <w:szCs w:val="24"/>
        </w:rPr>
      </w:pPr>
      <w:r>
        <w:rPr>
          <w:rFonts w:cs="Times New Roman" w:ascii="Times New Roman" w:hAnsi="Times New Roman"/>
          <w:sz w:val="24"/>
          <w:szCs w:val="24"/>
        </w:rPr>
        <w:t>К участникам открытого конкурса в электронной форме устанавливаются следующие обязательные требования:</w:t>
      </w:r>
    </w:p>
    <w:p>
      <w:pPr>
        <w:pStyle w:val="ListParagraph"/>
        <w:spacing w:lineRule="auto" w:line="240"/>
        <w:ind w:left="0" w:hanging="0"/>
        <w:jc w:val="both"/>
        <w:rPr>
          <w:rFonts w:ascii="Times New Roman" w:hAnsi="Times New Roman" w:cs="Times New Roman"/>
          <w:sz w:val="24"/>
          <w:szCs w:val="24"/>
        </w:rPr>
      </w:pPr>
      <w:r>
        <w:rPr>
          <w:rFonts w:cs="Times New Roman" w:ascii="Times New Roman" w:hAnsi="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pPr>
        <w:pStyle w:val="ListParagraph"/>
        <w:spacing w:lineRule="auto" w:line="240"/>
        <w:ind w:left="0" w:hanging="0"/>
        <w:jc w:val="both"/>
        <w:rPr>
          <w:rFonts w:ascii="Times New Roman" w:hAnsi="Times New Roman" w:cs="Times New Roman"/>
          <w:sz w:val="24"/>
          <w:szCs w:val="24"/>
        </w:rPr>
      </w:pPr>
      <w:r>
        <w:rPr>
          <w:rFonts w:cs="Times New Roman" w:ascii="Times New Roman" w:hAnsi="Times New Roman"/>
          <w:sz w:val="24"/>
          <w:szCs w:val="24"/>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pPr>
        <w:pStyle w:val="ListParagraph"/>
        <w:spacing w:lineRule="auto" w:line="240"/>
        <w:ind w:left="0" w:hanging="0"/>
        <w:jc w:val="both"/>
        <w:rPr>
          <w:rFonts w:ascii="Times New Roman" w:hAnsi="Times New Roman" w:cs="Times New Roman"/>
          <w:sz w:val="24"/>
          <w:szCs w:val="24"/>
        </w:rPr>
      </w:pPr>
      <w:r>
        <w:rPr>
          <w:rFonts w:cs="Times New Roman" w:ascii="Times New Roman" w:hAnsi="Times New Roman"/>
          <w:sz w:val="24"/>
          <w:szCs w:val="24"/>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pPr>
        <w:pStyle w:val="ListParagraph"/>
        <w:spacing w:lineRule="auto" w:line="240"/>
        <w:ind w:left="0" w:hanging="0"/>
        <w:jc w:val="both"/>
        <w:rPr>
          <w:rFonts w:ascii="Times New Roman" w:hAnsi="Times New Roman" w:cs="Times New Roman"/>
          <w:sz w:val="24"/>
          <w:szCs w:val="24"/>
        </w:rPr>
      </w:pPr>
      <w:r>
        <w:rPr>
          <w:rFonts w:cs="Times New Roman" w:ascii="Times New Roman" w:hAnsi="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указанной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pPr>
        <w:pStyle w:val="ListParagraph"/>
        <w:spacing w:lineRule="auto" w:line="240"/>
        <w:ind w:left="0" w:hanging="0"/>
        <w:jc w:val="both"/>
        <w:rPr>
          <w:rFonts w:ascii="Times New Roman" w:hAnsi="Times New Roman" w:cs="Times New Roman"/>
          <w:sz w:val="24"/>
          <w:szCs w:val="24"/>
        </w:rPr>
      </w:pPr>
      <w:r>
        <w:rPr>
          <w:rFonts w:cs="Times New Roman" w:ascii="Times New Roman" w:hAnsi="Times New Roman"/>
          <w:sz w:val="24"/>
          <w:szCs w:val="24"/>
        </w:rPr>
        <w:t>5) отсутствие в предусмотренном федеральными законами № 223-ФЗ и № 44-ФЗ реестре недобросовестных поставщиков (подрядчиков, исполнителей) информации об участнике закупки;</w:t>
      </w:r>
    </w:p>
    <w:p>
      <w:pPr>
        <w:pStyle w:val="ListParagraph"/>
        <w:spacing w:lineRule="auto" w:line="240"/>
        <w:ind w:left="0" w:hanging="0"/>
        <w:jc w:val="both"/>
        <w:rPr>
          <w:rFonts w:ascii="Times New Roman" w:hAnsi="Times New Roman" w:cs="Times New Roman"/>
          <w:sz w:val="24"/>
          <w:szCs w:val="24"/>
        </w:rPr>
      </w:pPr>
      <w:r>
        <w:rPr>
          <w:rFonts w:cs="Times New Roman" w:ascii="Times New Roman" w:hAnsi="Times New Roman"/>
          <w:sz w:val="24"/>
          <w:szCs w:val="24"/>
        </w:rPr>
        <w:t>6) обладание участниками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pPr>
        <w:pStyle w:val="ListParagraph"/>
        <w:spacing w:lineRule="auto" w:line="240"/>
        <w:ind w:left="0" w:hanging="0"/>
        <w:jc w:val="both"/>
        <w:rPr>
          <w:rFonts w:ascii="Times New Roman" w:hAnsi="Times New Roman" w:cs="Times New Roman"/>
          <w:sz w:val="24"/>
          <w:szCs w:val="24"/>
        </w:rPr>
      </w:pPr>
      <w:r>
        <w:rPr>
          <w:rFonts w:cs="Times New Roman" w:ascii="Times New Roman" w:hAnsi="Times New Roman"/>
          <w:sz w:val="24"/>
          <w:szCs w:val="24"/>
        </w:rPr>
        <w:t>7)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pPr>
        <w:pStyle w:val="ListParagraph"/>
        <w:spacing w:lineRule="auto" w:line="240"/>
        <w:ind w:left="0" w:hanging="0"/>
        <w:jc w:val="both"/>
        <w:rPr>
          <w:rFonts w:ascii="Times New Roman" w:hAnsi="Times New Roman" w:cs="Times New Roman"/>
          <w:sz w:val="24"/>
          <w:szCs w:val="24"/>
        </w:rPr>
      </w:pPr>
      <w:r>
        <w:rPr>
          <w:rFonts w:cs="Times New Roman" w:ascii="Times New Roman" w:hAnsi="Times New Roman"/>
          <w:sz w:val="24"/>
          <w:szCs w:val="24"/>
        </w:rPr>
        <w:t>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pPr>
        <w:pStyle w:val="ListParagraph"/>
        <w:spacing w:lineRule="auto" w:line="240"/>
        <w:ind w:left="0" w:hanging="0"/>
        <w:jc w:val="both"/>
        <w:rPr>
          <w:rFonts w:ascii="Times New Roman" w:hAnsi="Times New Roman" w:cs="Times New Roman"/>
          <w:sz w:val="24"/>
          <w:szCs w:val="24"/>
        </w:rPr>
      </w:pPr>
      <w:r>
        <w:rPr>
          <w:rFonts w:cs="Times New Roman" w:ascii="Times New Roman" w:hAnsi="Times New Roman"/>
          <w:sz w:val="24"/>
          <w:szCs w:val="24"/>
        </w:rPr>
        <w:t>9) участник закупки не является офшорной компанией;</w:t>
      </w:r>
    </w:p>
    <w:p>
      <w:pPr>
        <w:pStyle w:val="ListParagraph"/>
        <w:spacing w:lineRule="auto" w:line="240"/>
        <w:ind w:left="0" w:hanging="0"/>
        <w:jc w:val="both"/>
        <w:rPr>
          <w:rFonts w:ascii="Times New Roman" w:hAnsi="Times New Roman" w:cs="Times New Roman"/>
          <w:sz w:val="24"/>
          <w:szCs w:val="24"/>
        </w:rPr>
      </w:pPr>
      <w:r>
        <w:rPr>
          <w:rFonts w:cs="Times New Roman" w:ascii="Times New Roman" w:hAnsi="Times New Roman"/>
          <w:sz w:val="24"/>
          <w:szCs w:val="24"/>
        </w:rPr>
        <w:t>10) отсутствие у участника закупки ограничений для участия в закупках, установленных законодательством Российской Федерации.</w:t>
      </w:r>
    </w:p>
    <w:p>
      <w:pPr>
        <w:pStyle w:val="ListParagraph"/>
        <w:numPr>
          <w:ilvl w:val="2"/>
          <w:numId w:val="4"/>
        </w:numPr>
        <w:spacing w:lineRule="auto" w:line="240"/>
        <w:ind w:left="0" w:hanging="0"/>
        <w:jc w:val="both"/>
        <w:rPr>
          <w:rFonts w:ascii="Times New Roman" w:hAnsi="Times New Roman" w:cs="Times New Roman"/>
          <w:sz w:val="24"/>
          <w:szCs w:val="24"/>
        </w:rPr>
      </w:pPr>
      <w:r>
        <w:rPr>
          <w:rFonts w:cs="Times New Roman" w:ascii="Times New Roman" w:hAnsi="Times New Roman"/>
          <w:sz w:val="24"/>
          <w:szCs w:val="24"/>
        </w:rPr>
        <w:t>Заказчик или Комиссия в любой момент до заключения договора принимает решение об отказе в допуске участника закупки к участию в закупке или об отказе от заключения договора с участником закупки в случаях:</w:t>
      </w:r>
    </w:p>
    <w:p>
      <w:pPr>
        <w:pStyle w:val="ListParagraph"/>
        <w:numPr>
          <w:ilvl w:val="0"/>
          <w:numId w:val="3"/>
        </w:numPr>
        <w:spacing w:lineRule="auto" w:line="240"/>
        <w:jc w:val="both"/>
        <w:rPr>
          <w:rFonts w:ascii="Times New Roman" w:hAnsi="Times New Roman" w:cs="Times New Roman"/>
          <w:sz w:val="24"/>
          <w:szCs w:val="24"/>
        </w:rPr>
      </w:pPr>
      <w:r>
        <w:rPr>
          <w:rFonts w:cs="Times New Roman" w:ascii="Times New Roman" w:hAnsi="Times New Roman"/>
          <w:sz w:val="24"/>
          <w:szCs w:val="24"/>
        </w:rPr>
        <w:t xml:space="preserve">отсутствия документов в составе заявке, обязательное представление которых установлено в документации о закупке, либо наличия в таких документах недостоверных сведений; </w:t>
      </w:r>
    </w:p>
    <w:p>
      <w:pPr>
        <w:pStyle w:val="ListParagraph"/>
        <w:numPr>
          <w:ilvl w:val="0"/>
          <w:numId w:val="3"/>
        </w:numPr>
        <w:spacing w:lineRule="auto" w:line="240"/>
        <w:jc w:val="both"/>
        <w:rPr>
          <w:rFonts w:ascii="Times New Roman" w:hAnsi="Times New Roman" w:cs="Times New Roman"/>
          <w:sz w:val="24"/>
          <w:szCs w:val="24"/>
        </w:rPr>
      </w:pPr>
      <w:r>
        <w:rPr>
          <w:rFonts w:cs="Times New Roman" w:ascii="Times New Roman" w:hAnsi="Times New Roman"/>
          <w:sz w:val="24"/>
          <w:szCs w:val="24"/>
        </w:rPr>
        <w:t>несоответствия участника закупки требованиям, установленным к нему в соответствии с пунктами 1 и 2 настоящего подраздела Документации;</w:t>
      </w:r>
    </w:p>
    <w:p>
      <w:pPr>
        <w:pStyle w:val="ListParagraph"/>
        <w:numPr>
          <w:ilvl w:val="0"/>
          <w:numId w:val="3"/>
        </w:numPr>
        <w:spacing w:lineRule="auto" w:line="240"/>
        <w:jc w:val="both"/>
        <w:rPr>
          <w:rFonts w:ascii="Times New Roman" w:hAnsi="Times New Roman" w:cs="Times New Roman"/>
          <w:sz w:val="24"/>
          <w:szCs w:val="24"/>
        </w:rPr>
      </w:pPr>
      <w:r>
        <w:rPr>
          <w:rFonts w:cs="Times New Roman" w:ascii="Times New Roman" w:hAnsi="Times New Roman"/>
          <w:sz w:val="24"/>
          <w:szCs w:val="24"/>
        </w:rPr>
        <w:t>невнесения или внесения участником закупки денежных средств в качестве обеспечения заявки не в полном размере;</w:t>
      </w:r>
    </w:p>
    <w:p>
      <w:pPr>
        <w:pStyle w:val="ListParagraph"/>
        <w:numPr>
          <w:ilvl w:val="0"/>
          <w:numId w:val="3"/>
        </w:numPr>
        <w:spacing w:lineRule="auto" w:line="240"/>
        <w:jc w:val="both"/>
        <w:rPr>
          <w:rFonts w:ascii="Times New Roman" w:hAnsi="Times New Roman" w:cs="Times New Roman"/>
          <w:sz w:val="24"/>
          <w:szCs w:val="24"/>
        </w:rPr>
      </w:pPr>
      <w:r>
        <w:rPr>
          <w:rFonts w:cs="Times New Roman" w:ascii="Times New Roman" w:hAnsi="Times New Roman"/>
          <w:sz w:val="24"/>
          <w:szCs w:val="24"/>
        </w:rPr>
        <w:t>несоответствия заявки участника закупки требованиям документации о закупке, в том числе в случае наличия в таких заявках предложения о цене договора, превышающей начальную (максимальную) цену договора, начальную (максимальную) цену единицы работы, услуги, либо в случае, если срок выполнения работ (оказания услуг, поставки товара), указанный в заявке участника закупки, превышает срок, установленный документацией закупки, либо в случае подачи заявки в незапечатанном конверте;</w:t>
      </w:r>
    </w:p>
    <w:p>
      <w:pPr>
        <w:pStyle w:val="ListParagraph"/>
        <w:numPr>
          <w:ilvl w:val="0"/>
          <w:numId w:val="3"/>
        </w:numPr>
        <w:spacing w:lineRule="auto" w:line="240"/>
        <w:jc w:val="both"/>
        <w:rPr>
          <w:rFonts w:ascii="Times New Roman" w:hAnsi="Times New Roman" w:cs="Times New Roman"/>
          <w:sz w:val="24"/>
          <w:szCs w:val="24"/>
        </w:rPr>
      </w:pPr>
      <w:r>
        <w:rPr>
          <w:rFonts w:cs="Times New Roman" w:ascii="Times New Roman" w:hAnsi="Times New Roman"/>
          <w:sz w:val="24"/>
          <w:szCs w:val="24"/>
        </w:rPr>
        <w:t xml:space="preserve">представления в составе заявки недостоверной информации, в том числе в отношении участника закупки. </w:t>
      </w:r>
    </w:p>
    <w:p>
      <w:pPr>
        <w:pStyle w:val="ListParagraph"/>
        <w:numPr>
          <w:ilvl w:val="0"/>
          <w:numId w:val="3"/>
        </w:numPr>
        <w:spacing w:lineRule="auto" w:line="240"/>
        <w:jc w:val="center"/>
        <w:rPr/>
      </w:pPr>
      <w:r>
        <w:rPr/>
      </w:r>
    </w:p>
    <w:p>
      <w:pPr>
        <w:pStyle w:val="1"/>
        <w:spacing w:lineRule="auto" w:line="240" w:before="0" w:after="0"/>
        <w:jc w:val="center"/>
        <w:rPr/>
      </w:pPr>
      <w:bookmarkStart w:id="4" w:name="_Toc61614980"/>
      <w:r>
        <w:rPr>
          <w:rFonts w:eastAsia="Times New Roman" w:cs="Times New Roman" w:ascii="Times New Roman" w:hAnsi="Times New Roman"/>
          <w:b/>
          <w:bCs/>
          <w:color w:val="auto"/>
          <w:sz w:val="24"/>
          <w:szCs w:val="24"/>
        </w:rPr>
        <w:t>1.3. Обеспечение заявки на участие в открытом конкурсе в электронной форме</w:t>
      </w:r>
      <w:bookmarkEnd w:id="4"/>
      <w:r>
        <w:rPr>
          <w:rFonts w:eastAsia="Times New Roman" w:cs="Times New Roman" w:ascii="Times New Roman" w:hAnsi="Times New Roman"/>
          <w:b/>
          <w:bCs/>
          <w:color w:val="auto"/>
          <w:sz w:val="24"/>
          <w:szCs w:val="24"/>
        </w:rPr>
        <w:t xml:space="preserve"> </w:t>
      </w:r>
    </w:p>
    <w:p>
      <w:pPr>
        <w:pStyle w:val="2"/>
        <w:rPr>
          <w:highlight w:val="yellow"/>
        </w:rPr>
      </w:pPr>
      <w:r>
        <w:rPr>
          <w:highlight w:val="yellow"/>
        </w:rPr>
      </w:r>
    </w:p>
    <w:p>
      <w:pPr>
        <w:pStyle w:val="Normal"/>
        <w:widowControl w:val="false"/>
        <w:spacing w:lineRule="auto" w:line="240" w:before="0" w:after="0"/>
        <w:contextualSpacing/>
        <w:jc w:val="both"/>
        <w:rPr>
          <w:rFonts w:ascii="Times New Roman" w:hAnsi="Times New Roman"/>
          <w:sz w:val="24"/>
          <w:szCs w:val="24"/>
        </w:rPr>
      </w:pPr>
      <w:r>
        <w:rPr>
          <w:rFonts w:ascii="Times New Roman" w:hAnsi="Times New Roman"/>
          <w:color w:val="000000"/>
          <w:sz w:val="24"/>
          <w:szCs w:val="24"/>
        </w:rPr>
        <w:t>Не предусмотрено</w:t>
      </w:r>
    </w:p>
    <w:p>
      <w:pPr>
        <w:pStyle w:val="1"/>
        <w:numPr>
          <w:ilvl w:val="1"/>
          <w:numId w:val="5"/>
        </w:numPr>
        <w:spacing w:lineRule="auto" w:line="240" w:before="0" w:after="0"/>
        <w:ind w:left="0" w:hanging="0"/>
        <w:jc w:val="center"/>
        <w:rPr>
          <w:rFonts w:ascii="Times New Roman" w:hAnsi="Times New Roman" w:eastAsia="Times New Roman" w:cs="Times New Roman"/>
          <w:b/>
          <w:bCs/>
          <w:color w:val="auto"/>
          <w:sz w:val="28"/>
          <w:szCs w:val="28"/>
        </w:rPr>
      </w:pPr>
      <w:r>
        <w:rPr>
          <w:rFonts w:eastAsia="Times New Roman" w:cs="Times New Roman" w:ascii="Times New Roman" w:hAnsi="Times New Roman"/>
          <w:b/>
          <w:bCs/>
          <w:color w:val="auto" w:themeColor="text1"/>
          <w:sz w:val="24"/>
          <w:szCs w:val="24"/>
        </w:rPr>
        <w:t>-</w:t>
      </w:r>
    </w:p>
    <w:p>
      <w:pPr>
        <w:pStyle w:val="1"/>
        <w:spacing w:lineRule="auto" w:line="240" w:before="0" w:after="0"/>
        <w:contextualSpacing/>
        <w:jc w:val="center"/>
        <w:rPr>
          <w:rFonts w:ascii="Times New Roman" w:hAnsi="Times New Roman" w:eastAsia="Times New Roman" w:cs="Times New Roman"/>
          <w:b/>
          <w:bCs/>
          <w:color w:val="000000" w:themeColor="text1"/>
          <w:sz w:val="28"/>
          <w:szCs w:val="28"/>
        </w:rPr>
      </w:pPr>
      <w:bookmarkStart w:id="5" w:name="_Toc527550200"/>
      <w:r>
        <w:rPr>
          <w:rFonts w:eastAsia="Times New Roman" w:cs="Times New Roman" w:ascii="Times New Roman" w:hAnsi="Times New Roman"/>
          <w:b/>
          <w:bCs/>
          <w:color w:val="000000" w:themeColor="text1"/>
          <w:sz w:val="24"/>
          <w:szCs w:val="24"/>
        </w:rPr>
        <w:t>1.5.</w:t>
        <w:tab/>
        <w:t>Порядок подачи заявок на участие в открытом конкурсе в электронной форме</w:t>
      </w:r>
      <w:bookmarkEnd w:id="5"/>
    </w:p>
    <w:p>
      <w:pPr>
        <w:pStyle w:val="1"/>
        <w:rPr>
          <w:rFonts w:ascii="Times New Roman" w:hAnsi="Times New Roman" w:eastAsia="Times New Roman" w:cs="Times New Roman"/>
          <w:b/>
          <w:color w:val="auto"/>
          <w:sz w:val="24"/>
          <w:szCs w:val="24"/>
          <w:lang w:eastAsia="ru-RU"/>
        </w:rPr>
      </w:pPr>
      <w:bookmarkStart w:id="6" w:name="_Toc527550201"/>
      <w:r>
        <w:rPr>
          <w:rFonts w:eastAsia="Times New Roman" w:cs="Times New Roman" w:ascii="Times New Roman" w:hAnsi="Times New Roman"/>
          <w:b/>
          <w:color w:val="auto"/>
          <w:sz w:val="24"/>
          <w:szCs w:val="24"/>
          <w:lang w:eastAsia="ru-RU"/>
        </w:rPr>
        <w:t>1.5.1. Порядок подготовки заявки.</w:t>
      </w:r>
      <w:bookmarkEnd w:id="6"/>
    </w:p>
    <w:p>
      <w:pPr>
        <w:pStyle w:val="Normal"/>
        <w:spacing w:lineRule="auto" w:line="240" w:before="0" w:after="0"/>
        <w:jc w:val="both"/>
        <w:rPr>
          <w:rFonts w:ascii="Times New Roman" w:hAnsi="Times New Roman"/>
          <w:sz w:val="24"/>
          <w:szCs w:val="24"/>
        </w:rPr>
      </w:pPr>
      <w:r>
        <w:rPr>
          <w:rFonts w:ascii="Times New Roman" w:hAnsi="Times New Roman"/>
          <w:sz w:val="24"/>
          <w:szCs w:val="24"/>
        </w:rPr>
        <w:t xml:space="preserve">1.5.1.1. Для участия в конкурсе в электронной форме участник закупки, аккредитованный на электронной площадке, подаёт заявку на участие в таком конкурсе, включающую сведения и документы, предусмотренные документацией о закупке, оформленное согласно требованиям, указанным в ней. </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1.5.1.2. Каждый документ должен быть подписан усиленной квалифицированной электронной цифровой подписью. Все файлы не должны иметь защиты от их открытия, копирования их содержимого или их печати.</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1.5.1.3. В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1.5.1.4.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открытом конкурсе в электронной форме.</w:t>
      </w:r>
    </w:p>
    <w:p>
      <w:pPr>
        <w:pStyle w:val="1"/>
        <w:rPr>
          <w:rFonts w:ascii="Times New Roman" w:hAnsi="Times New Roman" w:eastAsia="Times New Roman" w:cs="Times New Roman"/>
          <w:b/>
          <w:color w:val="auto"/>
          <w:sz w:val="24"/>
          <w:szCs w:val="24"/>
          <w:lang w:eastAsia="ru-RU"/>
        </w:rPr>
      </w:pPr>
      <w:bookmarkStart w:id="7" w:name="_Toc527550203"/>
      <w:r>
        <w:rPr>
          <w:rFonts w:eastAsia="Times New Roman" w:cs="Times New Roman" w:ascii="Times New Roman" w:hAnsi="Times New Roman"/>
          <w:b/>
          <w:color w:val="auto"/>
          <w:sz w:val="24"/>
          <w:szCs w:val="24"/>
          <w:lang w:eastAsia="ru-RU"/>
        </w:rPr>
        <w:t>1.5.2. Порядок подачи конкурсных заявок.</w:t>
      </w:r>
      <w:bookmarkEnd w:id="7"/>
    </w:p>
    <w:p>
      <w:pPr>
        <w:pStyle w:val="Default"/>
        <w:jc w:val="both"/>
        <w:rPr>
          <w:sz w:val="24"/>
        </w:rPr>
      </w:pPr>
      <w:r>
        <w:rPr>
          <w:sz w:val="24"/>
        </w:rPr>
        <w:t xml:space="preserve">1.5.3.1. Участник Закупки вправе подать Конкурсную Заявку в любой момент с предусмотренных Конкурсной Документацией даты и времени начала срока подачи Конкурсных Заявок до предусмотренных Конкурсной Документацией даты и времени окончания срока подачи Конкурсных Заявок </w:t>
      </w:r>
    </w:p>
    <w:p>
      <w:pPr>
        <w:pStyle w:val="Style44"/>
        <w:ind w:hanging="0"/>
        <w:rPr/>
      </w:pPr>
      <w:r>
        <w:rPr/>
        <w:t>1.5.3.2. Конкурсная Заявка в Электронной Форме направляется Участником Закупки Оператору ЭТП в форме одного или нескольких электронных документов. Указанные электронные документы подаются одновременно.</w:t>
      </w:r>
    </w:p>
    <w:p>
      <w:pPr>
        <w:pStyle w:val="Style44"/>
        <w:ind w:hanging="0"/>
        <w:rPr/>
      </w:pPr>
      <w:r>
        <w:rPr/>
        <w:t>1.5.3.3. Участник закупки вправе подать только одну заявку на участие в конкурсе в электронной форме в отношении каждого лота.</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1.5.3.4. Оператор ЭТП обязан обеспечить конфиденциальность сведений, содержащихся в Конкурсных Заявках до открытия доступа к поданным в форме электронных документов Конкурсным Заявкам.</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1.5.3.5. Прием Конкурсных Заявок прекращается в день и время, указанные в информационной карте настоящей документации и в извещении о проведении Конкурса.</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1.5.3.6. Участник закупки, подавший заявку на участие в конкурсе в электронной форме, вправе отозвать данную заявку либо внести в неё изменения не позднее даты окончания срока подачи заявок, направив об этом уведомление оператору электронной площадки.</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1.5.3.7. По окончании срока подачи заявок оператор электронной площадки передаёт Заказчику все поступившие заявки. Заказчик в сроки, указанные в извещении о проведения конкурса в электронной форме, открывает доступ к поданным заявкам, рассматривает поступившие заявки и принимает решение о допуске/отклонении заявки участников электронного конкурса, с указанием причин их отклонения.</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1.5.3.8. В случае если по окончании срока подачи Конкурсных Заявок подана только 1 (одна) Заявка или не подано ни одной Заявки, Конкурс признается несостоявшимся.</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1.5.3.9. В случае если по окончании срока подачи Конкурсных Заявок подана только 1 (одна) Заявка, открывается доступ к поданной в форме электронного документа Конкурсной Заявке, и указанная Заявка рассматривается в соответствии с положениями Конкурсной Документации и Порядка Закупочной Деятельности.</w:t>
      </w:r>
    </w:p>
    <w:p>
      <w:pPr>
        <w:pStyle w:val="1"/>
        <w:numPr>
          <w:ilvl w:val="2"/>
          <w:numId w:val="6"/>
        </w:numPr>
        <w:spacing w:lineRule="auto" w:line="252"/>
        <w:ind w:left="0" w:hanging="0"/>
        <w:rPr>
          <w:rFonts w:ascii="Times New Roman" w:hAnsi="Times New Roman" w:eastAsia="Times New Roman" w:cs="Times New Roman"/>
          <w:b/>
          <w:color w:val="auto"/>
          <w:sz w:val="24"/>
          <w:szCs w:val="24"/>
          <w:lang w:eastAsia="ru-RU"/>
        </w:rPr>
      </w:pPr>
      <w:bookmarkStart w:id="8" w:name="_Toc527550204"/>
      <w:r>
        <w:rPr>
          <w:rFonts w:eastAsia="Times New Roman" w:cs="Times New Roman" w:ascii="Times New Roman" w:hAnsi="Times New Roman"/>
          <w:b/>
          <w:color w:val="auto"/>
          <w:sz w:val="24"/>
          <w:szCs w:val="24"/>
          <w:lang w:eastAsia="ru-RU"/>
        </w:rPr>
        <w:t>Документы, входящие в состав конкурсной заявки:</w:t>
      </w:r>
      <w:bookmarkEnd w:id="8"/>
      <w:r>
        <w:rPr>
          <w:rFonts w:eastAsia="Times New Roman" w:cs="Times New Roman" w:ascii="Times New Roman" w:hAnsi="Times New Roman"/>
          <w:b/>
          <w:color w:val="auto"/>
          <w:sz w:val="24"/>
          <w:szCs w:val="24"/>
          <w:lang w:eastAsia="ru-RU"/>
        </w:rPr>
        <w:t xml:space="preserve"> </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 xml:space="preserve">1.5.3.1. Заявка, подготовленная </w:t>
      </w:r>
      <w:r>
        <w:rPr>
          <w:rFonts w:eastAsia="Times New Roman" w:cs="Times New Roman" w:ascii="Times New Roman" w:hAnsi="Times New Roman"/>
          <w:sz w:val="24"/>
          <w:szCs w:val="24"/>
          <w:lang w:eastAsia="ru-RU"/>
        </w:rPr>
        <w:t>по установленной настоящей Документацией форме</w:t>
      </w:r>
      <w:r>
        <w:rPr>
          <w:rFonts w:ascii="Times New Roman" w:hAnsi="Times New Roman"/>
          <w:sz w:val="24"/>
          <w:szCs w:val="24"/>
        </w:rPr>
        <w:t>, которую представляет Участник закупки, в соответствии с настоящей документацией о закупке, должна быть подготовлена в соответствии с описью по формам, представленным в Документации о проведении конкурса в электронной форме, и должна содержать следующие сведения:</w:t>
      </w:r>
    </w:p>
    <w:p>
      <w:pPr>
        <w:pStyle w:val="Normal"/>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 сведения и документы об участнике закупки, подавшем такую заявку:</w:t>
      </w:r>
    </w:p>
    <w:p>
      <w:pPr>
        <w:pStyle w:val="Normal"/>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а) наименование, сведения об организационно-правовой форме, о месте нахождения, почтовый адрес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закупки (при их наличии);</w:t>
      </w:r>
    </w:p>
    <w:p>
      <w:pPr>
        <w:pStyle w:val="Normal"/>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б) полученную не ранее чем за шесть месяцев до дня размещения на Официальном сайте извещения о проведении конкурса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шесть месяцев до дня размещения на Официальном сайте извещения о проведении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шесть месяцев до дня размещения на Официальном сайте извещения о проведении конкурса;</w:t>
      </w:r>
    </w:p>
    <w:p>
      <w:pPr>
        <w:pStyle w:val="Normal"/>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по тексту – руководитель). В случае, если от имени участника закупки действует иное лицо, заявка на участие в конкурсе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конкурсе должна содержать также документ, подтверждающий полномочия такого лица;</w:t>
      </w:r>
    </w:p>
    <w:p>
      <w:pPr>
        <w:pStyle w:val="Normal"/>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г) копии учредительных документов участника закупки (для юридических лиц);</w:t>
      </w:r>
    </w:p>
    <w:p>
      <w:pPr>
        <w:pStyle w:val="Normal"/>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товаров, работ, услуг, являющихся предметом договора, или внесение денежных средств в качестве обеспечения заявки на участие в конкурсе, обеспечения исполнения договора являются крупной сделкой. В случае если получение указанного решения до истечения срока подачи заявок на участие в конкурсе для участника закупки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представить письмо, содержащее обязательство в случае признания его победителем конкурса представить вышеуказанное решение до момента заключения договора;</w:t>
      </w:r>
    </w:p>
    <w:p>
      <w:pPr>
        <w:pStyle w:val="Normal"/>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е) в случае, если для данного участника закупки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конкурсе, обеспечения исполнения договора не являются крупной сделкой, участник закупки представляет соответствующее пояснительное письмо.</w:t>
      </w:r>
    </w:p>
    <w:p>
      <w:pPr>
        <w:pStyle w:val="Normal"/>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2) 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о цене единицы товара, услуги; о цене запасных частей (каждой запасной части) к технике, к оборудованию, а также начальная цена запасных частей (каждой запасной части) к технике, к оборудованию и начальная цена единицы услуги и (или) работы. В случаях, предусмотренных конкурсной документацией,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 </w:t>
      </w:r>
    </w:p>
    <w:p>
      <w:pPr>
        <w:pStyle w:val="Normal"/>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3) документы или копии документов, подтверждающие соответствие участника закупки установленным требованиям и условиям допуска к участию в конкурсе:</w:t>
      </w:r>
    </w:p>
    <w:p>
      <w:pPr>
        <w:pStyle w:val="Normal"/>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документы, подтверждающие соответствие участника закупки требованиям конкурсной документации, установленным в соответствии со ст. 5 настоящего Положения;</w:t>
      </w:r>
    </w:p>
    <w:p>
      <w:pPr>
        <w:pStyle w:val="Normal"/>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сведения и документы, подтверждающие соответствие соисполнителей, предприятий-изготовителей требованиям, установленным в конкурсной документации в соответствии со ст. 5 Положения, если таковые требования были установлены, или справку о том, что соисполнители участником закупки привлекаться не будут.</w:t>
      </w:r>
    </w:p>
    <w:p>
      <w:pPr>
        <w:pStyle w:val="Normal"/>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4) в случае, если в конкурсной документации указан такой критерий оценки заявок на участие в конкурсе, как квалификация участника открытого конкурса, заявка участника открытого конкурса должна содержать также документы, подтверждающие его квалификацию;</w:t>
      </w:r>
    </w:p>
    <w:p>
      <w:pPr>
        <w:pStyle w:val="Normal"/>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5) заявка на участие в открытом конкурсе, в случае, если в конкурсной документации указано такое требование, должна содержать эскиз, рисунок, чертеж, фотографию, иное изображение, образец, пробу товара, закупка которого осуществляется.</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Документы для участия в закупочной процедуре должны содержать полную информацию, необходимую и достаточную для определения соответствия участников, товаров (работ, услуг), предлагаемым им, предъявленным в документации требованиям.</w:t>
      </w:r>
    </w:p>
    <w:p>
      <w:pPr>
        <w:pStyle w:val="Normal"/>
        <w:spacing w:lineRule="auto" w:line="240" w:before="0" w:after="0"/>
        <w:jc w:val="both"/>
        <w:rPr/>
      </w:pPr>
      <w:r>
        <w:rPr/>
      </w:r>
    </w:p>
    <w:p>
      <w:pPr>
        <w:pStyle w:val="1"/>
        <w:numPr>
          <w:ilvl w:val="1"/>
          <w:numId w:val="7"/>
        </w:numPr>
        <w:spacing w:lineRule="auto" w:line="300" w:before="0" w:after="0"/>
        <w:ind w:left="0" w:hanging="0"/>
        <w:jc w:val="center"/>
        <w:rPr>
          <w:rFonts w:ascii="Times New Roman" w:hAnsi="Times New Roman" w:eastAsia="Times New Roman" w:cs="Times New Roman"/>
          <w:b/>
          <w:bCs/>
          <w:color w:val="auto"/>
          <w:sz w:val="28"/>
          <w:szCs w:val="28"/>
        </w:rPr>
      </w:pPr>
      <w:bookmarkStart w:id="9" w:name="_Toc61614991"/>
      <w:r>
        <w:rPr>
          <w:rFonts w:eastAsia="Times New Roman" w:cs="Times New Roman" w:ascii="Times New Roman" w:hAnsi="Times New Roman"/>
          <w:b/>
          <w:bCs/>
          <w:color w:val="auto"/>
          <w:sz w:val="24"/>
          <w:szCs w:val="24"/>
        </w:rPr>
        <w:t>Рассмотрение и оценка заявок на участие в конкурсе в электронной форме</w:t>
      </w:r>
      <w:bookmarkEnd w:id="9"/>
    </w:p>
    <w:p>
      <w:pPr>
        <w:pStyle w:val="ConsPlusNormal1"/>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1.6.1. Срок рассмотрения и оценки заявок на участие в открытом конкурсе не может превышать 20 (двадцати) дней с даты открытия доступа к поданным в форме электронных документов заявкам на участие в конкурсе.</w:t>
      </w:r>
    </w:p>
    <w:p>
      <w:pPr>
        <w:pStyle w:val="ConsPlusNormal1"/>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1.6.2. Для рассмотрения, оценки и сопоставления конкурсных заявок комиссия по закупкам вправе привлекать экспертов и специалистов из подразделений заказчика, а также, не ограничиваясь этим, любых других лиц, которых сочтет необходимым. По результатам рассмотрения, оценки и сопоставления в комиссию по осуществлению закупок представляется письменное экспертное заключение для принятия решения по определению победителя. Комиссия по закупкам вправе не согласиться с выводами и рекомендациями, изложенными в экспертном заключении, направить конкурсные заявки на повторное рассмотрение, оценку и сопоставление, привлечь других экспертов и специалистов либо принять решение самостоятельно. При этом лица, участвующие в рассмотрении, оценке и сопоставлении заявок, в том числе члены комиссии по закупкам должны обеспечить конфиденциальность процесса оценки.   </w:t>
      </w:r>
    </w:p>
    <w:p>
      <w:pPr>
        <w:pStyle w:val="ConsPlusNormal1"/>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1.6.3. Рассмотрение, оценка и сопоставление конкурсных заявок осуществляется в следующем порядке:</w:t>
      </w:r>
    </w:p>
    <w:p>
      <w:pPr>
        <w:pStyle w:val="ConsPlusNormal1"/>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1)</w:t>
        <w:tab/>
        <w:t>проведение отборочной стадии;</w:t>
      </w:r>
    </w:p>
    <w:p>
      <w:pPr>
        <w:pStyle w:val="ConsPlusNormal1"/>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2)</w:t>
        <w:tab/>
        <w:t>проведение оценочной стадии.</w:t>
      </w:r>
    </w:p>
    <w:p>
      <w:pPr>
        <w:pStyle w:val="ConsPlusNormal1"/>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1.6.4. В рамках отборочной стадии последовательно выполняются следующие действия:</w:t>
      </w:r>
    </w:p>
    <w:p>
      <w:pPr>
        <w:pStyle w:val="ConsPlusNormal1"/>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1) проверка участников закупки на соответствие требованиям заказчика и проверка их заявок на соблюдение требований конкурсной документации к составу, содержанию и оформлению заявок; при этом конкурсные заявки рассматриваются как отвечающие требованиям конкурсной документации, даже если в них имеются несущественные несоответствия по форме, или арифметические и грамматические ошибки, которые исправлены и с их исправлением согласен участник, представивший данную заявку.</w:t>
      </w:r>
    </w:p>
    <w:p>
      <w:pPr>
        <w:pStyle w:val="ConsPlusNormal1"/>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2) отклонение конкурсных заявок, которые, по мнению членов комиссии по закупкам, не соответствуют требованиям конкурса по существу, и принятие решения об отказе участникам закупки, подавшим такие заявки в допуске к участию в конкурсе. </w:t>
      </w:r>
    </w:p>
    <w:p>
      <w:pPr>
        <w:pStyle w:val="ConsPlusNormal1"/>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1.6.5. Участнику закупки будет отказано в дальнейшем участии в закупке, и его заявка не будет допущена до оценочной стадии в случаях:</w:t>
      </w:r>
    </w:p>
    <w:p>
      <w:pPr>
        <w:pStyle w:val="ConsPlusNormal1"/>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1) несоответствия участника закупки требованиям к участникам конкурса, установленным конкурсной документацией.</w:t>
      </w:r>
    </w:p>
    <w:p>
      <w:pPr>
        <w:pStyle w:val="ConsPlusNormal1"/>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2) несоответствия конкурсной заявки требованиям к конкурсным заявкам, установленным конкурсной документацией, в том числе непредставления документа, подтверждающего внесение обеспечения заявки на участие в конкурсе.</w:t>
      </w:r>
    </w:p>
    <w:p>
      <w:pPr>
        <w:pStyle w:val="ConsPlusNormal1"/>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3) несоответствия предлагаемых товаров, работ, услуг требованиям конкурсной документации.</w:t>
      </w:r>
    </w:p>
    <w:p>
      <w:pPr>
        <w:pStyle w:val="ConsPlusNormal1"/>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4) непоступления обеспечения заявки.</w:t>
      </w:r>
    </w:p>
    <w:p>
      <w:pPr>
        <w:pStyle w:val="ConsPlusNormal1"/>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5) непредоставления документов, предоставление которых согласно документации о конкурентной закупке является обязательным, непредставление разъяснений положений конкурсной заявки по запросу комиссии по осуществлению закупок.</w:t>
      </w:r>
    </w:p>
    <w:p>
      <w:pPr>
        <w:pStyle w:val="ConsPlusNormal1"/>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6) предоставления в составе конкурсной заявки заведомо недостоверных сведений, намеренного искажения информации или документов, входящих в состав заявки.</w:t>
      </w:r>
    </w:p>
    <w:p>
      <w:pPr>
        <w:pStyle w:val="ConsPlusNormal1"/>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7) подачи двух и более заявок от одного участника при условии, что ранее поданные заявки не отозваны.</w:t>
      </w:r>
    </w:p>
    <w:p>
      <w:pPr>
        <w:pStyle w:val="ConsPlusNormal1"/>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1.6.6. Отказ в допуске к участию в конкурсе по иным основаниям, не указанным в ч. 5 настоящей статьи не допускается.</w:t>
      </w:r>
    </w:p>
    <w:p>
      <w:pPr>
        <w:pStyle w:val="ConsPlusNormal1"/>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1.6.7. В случае установления недостоверности сведений, содержащихся в конкурсной заявке, несоответствия участника закупки требованиям конкурсной документации такой участник закупки отстраняется от участия в конкурсе на любом этапе его проведения.</w:t>
      </w:r>
    </w:p>
    <w:p>
      <w:pPr>
        <w:pStyle w:val="ConsPlusNormal1"/>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1.6.8. В случае, если при проведении отборочной стадии заявка только одного участника признана соответствующей требованиям конкурсной документации, такой участник считается единственным участником конкурса. Заказчик вправе заключить договор с участником закупки, подавшим такую конкурсную заявку на условиях конкурсной документации, проекта договора и конкурсной заявки, поданной участником. Такой участник не вправе отказаться от заключения договора с Заказчиком. Конкурс в этом случае признается несостоявшимся. Эта информация вносится в протокол о подведении итогов конкурса.</w:t>
      </w:r>
    </w:p>
    <w:p>
      <w:pPr>
        <w:pStyle w:val="ConsPlusNormal1"/>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1.6.9. Комиссия по закупкам в день окончания рассмотрения конкурсных заявок составляет протокол рассмотрения конкурсных заявок.</w:t>
      </w:r>
    </w:p>
    <w:p>
      <w:pPr>
        <w:pStyle w:val="ConsPlusNormal1"/>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1.6.10. Протокол подписывается всеми присутствующими на заседании членами комиссии по закупкам не позднее 5 (пяти) рабочих дней со дня принятия решения.</w:t>
      </w:r>
    </w:p>
    <w:p>
      <w:pPr>
        <w:pStyle w:val="ConsPlusNormal1"/>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1.6.11. Указанный протокол размещается в единой информационной системе не позднее чем через 3 (три) дня со дня подписания заказчиком.</w:t>
      </w:r>
    </w:p>
    <w:p>
      <w:pPr>
        <w:pStyle w:val="ConsPlusNormal1"/>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1.6.12. Для проведения оценочной стадии при необходимости заказчиком могут привлекаться эксперты и специалисты. Цель оценки и сопоставления заявок, которые не были отклонены на отборочной стадии, заключается в их ранжировании по степени предпочтительности для заказчика с целью определения победителя конкурса.</w:t>
      </w:r>
    </w:p>
    <w:p>
      <w:pPr>
        <w:pStyle w:val="ConsPlusNormal1"/>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1.6.13. Оценка осуществляется в соответствии с критериями и процедурами, указанными в конкурсной документации.</w:t>
      </w:r>
    </w:p>
    <w:p>
      <w:pPr>
        <w:pStyle w:val="ConsPlusNormal1"/>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1.6.14. В составе конкурсной документации должны быть указаны как критерии оценки и сопоставления заявок, так и их веса, а также порядок оценки и сопоставления заявок в соответствии с указанными критериями. </w:t>
      </w:r>
    </w:p>
    <w:p>
      <w:pPr>
        <w:pStyle w:val="ConsPlusNormal1"/>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1.6.15. Комиссия по закупке отклоняет заявку на участие в конкурсе, если участник конкурса, подавший ее, не соответствует требованиям к участнику конкурса, указанным в конкурсной документации, или такая заявка признана не соответствующей требованиям, указанным в конкурсной документации.</w:t>
      </w:r>
    </w:p>
    <w:p>
      <w:pPr>
        <w:pStyle w:val="ConsPlusNormal1"/>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1.6.16. В случае установления недостоверности информации, содержащейся в документах, представленных участником конкурса в соответствии с требованиями конкурсной документации, комиссия по закупке обязана отстранить такого участника от участия в конкурсе на любом этапе его проведения.</w:t>
      </w:r>
    </w:p>
    <w:p>
      <w:pPr>
        <w:pStyle w:val="ConsPlusNormal1"/>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1.6.17. Комиссия по закупке осуществляет оценку заявок на участие в конкурсе, которые не были отклонены, для выявления победителя конкурса на основе критериев, указанных в конкурсной документации.</w:t>
      </w:r>
    </w:p>
    <w:p>
      <w:pPr>
        <w:pStyle w:val="ConsPlusNormal1"/>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1.6.18.  В случае, если по результатам рассмотрения заявок на участие в открытом конкурсе Комиссия по закупке отклонила все такие заявки или только одна такая заявка соответствует требованиям, указанным в конкурсной документации, конкурс признается несостоявшимся.</w:t>
      </w:r>
    </w:p>
    <w:p>
      <w:pPr>
        <w:pStyle w:val="ConsPlusNormal1"/>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1.6.19.  На основании результатов оценки заявок на участие в конкурсе комиссия по закупке присваивает каждой заявке на участие в конкурсе порядковый номер в порядке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pPr>
        <w:pStyle w:val="ConsPlusNormal1"/>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1.6.20. Победителем конкурса признается участник конкурса, который предложил лучшие условия исполнения договора на основе критериев, указанных в конкурсной документации, и заявке на участие в конкурсе которого присвоен  первый номер.</w:t>
      </w:r>
    </w:p>
    <w:p>
      <w:pPr>
        <w:pStyle w:val="ConsPlusNormal1"/>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1.6.21.  Результаты рассмотрения и оценки заявок на участие в открытом конкурсе фиксируются в протоколе рассмотрения и оценки таких заявок, в котором должна содержаться следующая информация:</w:t>
      </w:r>
    </w:p>
    <w:p>
      <w:pPr>
        <w:pStyle w:val="ConsPlusNormal1"/>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1) дата подписания протокола;</w:t>
      </w:r>
    </w:p>
    <w:p>
      <w:pPr>
        <w:pStyle w:val="ConsPlusNormal1"/>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2) количество поданных на участие в закупке (этапе закупки) заявок, а также дата и время регистрации каждой такой заявки;</w:t>
      </w:r>
    </w:p>
    <w:p>
      <w:pPr>
        <w:pStyle w:val="ConsPlusNormal1"/>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pPr>
        <w:pStyle w:val="ConsPlusNormal1"/>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а) количество заявок на участие в закупке, которые отклонены;</w:t>
      </w:r>
    </w:p>
    <w:p>
      <w:pPr>
        <w:pStyle w:val="ConsPlusNormal1"/>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б) оснований отклонения каждой заявки на участие в закупке с указанием положений документации о закупке, извещения о проведении конкурса, которым не соответствует такая заявка;</w:t>
      </w:r>
    </w:p>
    <w:p>
      <w:pPr>
        <w:pStyle w:val="ConsPlusNormal1"/>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4)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pPr>
        <w:pStyle w:val="ConsPlusNormal1"/>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5) указание на причину, по которым конкурентная закупка признана несостоявшейся, в случае ее признания таковой.</w:t>
      </w:r>
    </w:p>
    <w:p>
      <w:pPr>
        <w:pStyle w:val="ConsPlusNormal1"/>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1.6.22. Результаты рассмотрения единственной заявки на участие в конкурсе на предмет ее соответствия требованиям конкурсной документации фиксируются в протоколе рассмотрения единственной заявки на участие в конкурсе, в котором должна содержаться следующая информация:</w:t>
      </w:r>
    </w:p>
    <w:p>
      <w:pPr>
        <w:pStyle w:val="ConsPlusNormal1"/>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ab/>
        <w:t>1) место, дата, время проведения рассмотрения такой заявки;</w:t>
      </w:r>
    </w:p>
    <w:p>
      <w:pPr>
        <w:pStyle w:val="ConsPlusNormal1"/>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ab/>
        <w:t>2) наименование (для юридического лица), фамилия, имя, отчество (при наличии) (для физического лица), почтовый адрес участника конкурса, подавшего единственную заявку на участие в конкурсе;</w:t>
      </w:r>
    </w:p>
    <w:p>
      <w:pPr>
        <w:pStyle w:val="ConsPlusNormal1"/>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ab/>
        <w:t>3) решение каждого члена комиссии о соответствии такой заявки требованиям конкурсной документации;</w:t>
      </w:r>
    </w:p>
    <w:p>
      <w:pPr>
        <w:pStyle w:val="ConsPlusNormal1"/>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ab/>
        <w:t>4) решение о возможности заключения договора с участником конкурса, подавшим единственную заявку на участие в конкурсе.</w:t>
      </w:r>
    </w:p>
    <w:p>
      <w:pPr>
        <w:pStyle w:val="ConsPlusNormal1"/>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1.6.23. Протоколы подписываются всеми присутствующими членами комиссии по закупке. Протокол рассмотрения и оценки заявок на участие в открытом конкурсе, протокол рассмотрения единственной заявки на участие в конкурсе с указанными приложениями размещаются Заказчиком в единой информационной системе.  </w:t>
      </w:r>
    </w:p>
    <w:p>
      <w:pPr>
        <w:pStyle w:val="ConsPlusNormal1"/>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1.6.24. В случае, если конкурсной документацией предусмотрено два и более лота, конкурс признается несостоявшимся только в отношении тех лотов, в отношении которых подана только одна конкурсная заявка.</w:t>
      </w:r>
    </w:p>
    <w:p>
      <w:pPr>
        <w:pStyle w:val="ConsPlusNormal1"/>
        <w:jc w:val="both"/>
        <w:rPr>
          <w:rFonts w:ascii="Times New Roman" w:hAnsi="Times New Roman" w:cs="Times New Roman"/>
          <w:sz w:val="24"/>
          <w:szCs w:val="24"/>
        </w:rPr>
      </w:pPr>
      <w:r>
        <w:rPr>
          <w:rFonts w:eastAsia="Calibri" w:cs="Times New Roman" w:ascii="Times New Roman" w:hAnsi="Times New Roman" w:eastAsiaTheme="minorHAnsi"/>
          <w:sz w:val="24"/>
          <w:szCs w:val="24"/>
          <w:lang w:eastAsia="en-US"/>
        </w:rPr>
        <w:t>1.6.25. Если по окончании срока подачи конкурсных заявок, установленного конкурсной документацией, Заказчиком будет получена только одна конкурсная заявка, несмотря на то, что открытый конкурс признается несостоявшимся, комиссия по закупкам осуществит вскрытие конверта с такой заявкой и рассмотрит ее в порядке, установленном Положением. Если рассматриваемая конкурсная заявка и подавший такую заявку участник закупки соответствуют требованиям и условиям, предусмотренным конкурсной документацией, Заказчик вправе заключить договор с таким участником. Такой участник не вправе отказаться от заключения договора с Заказчиком.</w:t>
      </w:r>
    </w:p>
    <w:p>
      <w:pPr>
        <w:pStyle w:val="1"/>
        <w:numPr>
          <w:ilvl w:val="1"/>
          <w:numId w:val="7"/>
        </w:numPr>
        <w:spacing w:lineRule="auto" w:line="300" w:before="0" w:after="0"/>
        <w:ind w:left="0" w:hanging="0"/>
        <w:jc w:val="center"/>
        <w:rPr>
          <w:rFonts w:ascii="Times New Roman" w:hAnsi="Times New Roman" w:eastAsia="Times New Roman" w:cs="Times New Roman"/>
          <w:b/>
          <w:bCs/>
          <w:color w:val="auto"/>
          <w:sz w:val="28"/>
          <w:szCs w:val="28"/>
        </w:rPr>
      </w:pPr>
      <w:bookmarkStart w:id="10" w:name="_Toc61614993"/>
      <w:r>
        <w:rPr>
          <w:rFonts w:eastAsia="Times New Roman" w:cs="Times New Roman" w:ascii="Times New Roman" w:hAnsi="Times New Roman"/>
          <w:b/>
          <w:bCs/>
          <w:color w:val="auto"/>
          <w:sz w:val="24"/>
          <w:szCs w:val="24"/>
        </w:rPr>
        <w:t>Внесение изменений в конкурсную документацию</w:t>
      </w:r>
      <w:bookmarkEnd w:id="10"/>
      <w:r>
        <w:rPr>
          <w:rFonts w:eastAsia="Times New Roman" w:cs="Times New Roman" w:ascii="Times New Roman" w:hAnsi="Times New Roman"/>
          <w:b/>
          <w:bCs/>
          <w:color w:val="auto"/>
          <w:sz w:val="24"/>
          <w:szCs w:val="24"/>
        </w:rPr>
        <w:t xml:space="preserve"> </w:t>
      </w:r>
    </w:p>
    <w:p>
      <w:pPr>
        <w:pStyle w:val="Normal"/>
        <w:shd w:val="clear" w:color="auto" w:fill="FFFFFF"/>
        <w:spacing w:lineRule="auto" w:line="240" w:before="0" w:after="0"/>
        <w:jc w:val="both"/>
        <w:rPr>
          <w:rFonts w:ascii="Times New Roman" w:hAnsi="Times New Roman"/>
          <w:sz w:val="24"/>
          <w:szCs w:val="24"/>
        </w:rPr>
      </w:pPr>
      <w:r>
        <w:rPr>
          <w:rFonts w:cs="Times New Roman" w:ascii="Times New Roman" w:hAnsi="Times New Roman"/>
          <w:sz w:val="24"/>
          <w:szCs w:val="24"/>
        </w:rPr>
        <w:t xml:space="preserve">1.7.1. </w:t>
      </w:r>
      <w:r>
        <w:rPr>
          <w:rFonts w:ascii="Times New Roman" w:hAnsi="Times New Roman"/>
          <w:sz w:val="24"/>
          <w:szCs w:val="24"/>
        </w:rPr>
        <w:t xml:space="preserve">Заказчик вправе принять решение о внесении изменений в извещение о проведении конкурса в электронной форме до даты и времени окончания срока подачи заявок на участие в конкурсе в электронной форме. </w:t>
      </w:r>
    </w:p>
    <w:p>
      <w:pPr>
        <w:pStyle w:val="Normal"/>
        <w:shd w:val="clear" w:color="auto" w:fill="FFFFFF"/>
        <w:spacing w:lineRule="auto" w:line="240" w:before="0" w:after="0"/>
        <w:jc w:val="both"/>
        <w:rPr>
          <w:rFonts w:ascii="Times New Roman" w:hAnsi="Times New Roman"/>
          <w:sz w:val="24"/>
          <w:szCs w:val="24"/>
        </w:rPr>
      </w:pPr>
      <w:r>
        <w:rPr>
          <w:rFonts w:cs="Times New Roman" w:ascii="Times New Roman" w:hAnsi="Times New Roman"/>
          <w:sz w:val="24"/>
          <w:szCs w:val="24"/>
        </w:rPr>
        <w:t>1.7.</w:t>
      </w:r>
      <w:r>
        <w:rPr>
          <w:rFonts w:ascii="Times New Roman" w:hAnsi="Times New Roman"/>
          <w:sz w:val="24"/>
          <w:szCs w:val="24"/>
        </w:rPr>
        <w:t xml:space="preserve">2. Изменения, вносимые в извещение и/или в документацию о закупке, о проведении конкурса в электронной форме размещаются Заказчиком в единой информационной системе и на электронной площадке не позднее </w:t>
      </w:r>
      <w:r>
        <w:rPr>
          <w:rFonts w:ascii="Times New Roman" w:hAnsi="Times New Roman"/>
          <w:iCs/>
          <w:sz w:val="24"/>
          <w:szCs w:val="24"/>
        </w:rPr>
        <w:t xml:space="preserve">3 (трёх) дней </w:t>
      </w:r>
      <w:r>
        <w:rPr>
          <w:rFonts w:ascii="Times New Roman" w:hAnsi="Times New Roman"/>
          <w:sz w:val="24"/>
          <w:szCs w:val="24"/>
        </w:rPr>
        <w:t xml:space="preserve">со дня принятия решения о внесении указанных изменений. </w:t>
      </w:r>
    </w:p>
    <w:p>
      <w:pPr>
        <w:pStyle w:val="Normal"/>
        <w:shd w:val="clear" w:color="auto" w:fill="FFFFFF"/>
        <w:spacing w:lineRule="auto" w:line="240" w:before="0" w:after="0"/>
        <w:jc w:val="both"/>
        <w:rPr>
          <w:rFonts w:ascii="Times New Roman" w:hAnsi="Times New Roman"/>
          <w:sz w:val="24"/>
          <w:szCs w:val="24"/>
        </w:rPr>
      </w:pPr>
      <w:r>
        <w:rPr>
          <w:rFonts w:ascii="Times New Roman" w:hAnsi="Times New Roman"/>
          <w:sz w:val="24"/>
          <w:szCs w:val="24"/>
        </w:rPr>
        <w:t xml:space="preserve">При этом срок подачи заявок на участие в конкурсе в электронной форме должен быть продлён так, чтобы от даты размещения в единой информационной системе указанных изменений до даты окончания срока подачи заявок на участие в конкурсе в электронной форме этот срок подачи заявок составлял не менее половины срока подачи заявок на участие в конкурсе в электронной форме. </w:t>
      </w:r>
    </w:p>
    <w:p>
      <w:pPr>
        <w:pStyle w:val="Normal"/>
        <w:shd w:val="clear" w:color="auto" w:fill="FFFFFF"/>
        <w:spacing w:lineRule="auto" w:line="240" w:before="0" w:after="0"/>
        <w:jc w:val="both"/>
        <w:rPr>
          <w:rFonts w:ascii="Times New Roman" w:hAnsi="Times New Roman"/>
          <w:sz w:val="24"/>
          <w:szCs w:val="24"/>
        </w:rPr>
      </w:pPr>
      <w:r>
        <w:rPr>
          <w:rFonts w:cs="Times New Roman" w:ascii="Times New Roman" w:hAnsi="Times New Roman"/>
          <w:sz w:val="24"/>
          <w:szCs w:val="24"/>
        </w:rPr>
        <w:t>1.7.</w:t>
      </w:r>
      <w:r>
        <w:rPr>
          <w:rFonts w:ascii="Times New Roman" w:hAnsi="Times New Roman"/>
          <w:sz w:val="24"/>
          <w:szCs w:val="24"/>
        </w:rPr>
        <w:t>3. Заказчик устанавливает продление срока в извещении конкурса в электронной форме и (или) в документации о закупке.</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В течение одного часа с момента размещения в единой информационной системе изменений положений документации о закупке конкурса в электронной форме оператор электронной площадки размещает указанную информацию на электронной площадке и направляет всем участникам закупки, подавшим заявки на участие в конкурсе, уведомление об указанных изменениях по адресам электронной почты, указанным этими участниками при аккредитации на электронной площадке.</w:t>
      </w:r>
    </w:p>
    <w:p>
      <w:pPr>
        <w:pStyle w:val="Normal"/>
        <w:shd w:val="clear" w:color="auto" w:fill="FFFFFF"/>
        <w:spacing w:lineRule="auto" w:line="240" w:before="0" w:after="0"/>
        <w:jc w:val="both"/>
        <w:rPr>
          <w:rFonts w:ascii="Arial" w:hAnsi="Arial" w:cs="Arial"/>
          <w:sz w:val="24"/>
          <w:szCs w:val="24"/>
        </w:rPr>
      </w:pPr>
      <w:r>
        <w:rPr>
          <w:rFonts w:cs="Times New Roman" w:ascii="Times New Roman" w:hAnsi="Times New Roman"/>
          <w:sz w:val="24"/>
          <w:szCs w:val="24"/>
        </w:rPr>
        <w:t>1.7.</w:t>
      </w:r>
      <w:r>
        <w:rPr>
          <w:rFonts w:ascii="Times New Roman" w:hAnsi="Times New Roman"/>
          <w:sz w:val="24"/>
          <w:szCs w:val="24"/>
        </w:rPr>
        <w:t>4. Участники закупки должны самостоятельно отслеживать изменения, вносимые в извещение и/или в документацию о закупке. Заказчик не несёт ответственности за несвоевременное получение участником закупки информации в единой информационной системе.</w:t>
      </w:r>
    </w:p>
    <w:p>
      <w:pPr>
        <w:pStyle w:val="Normal"/>
        <w:spacing w:lineRule="auto" w:line="300" w:before="0" w:after="0"/>
        <w:jc w:val="both"/>
        <w:rPr>
          <w:rFonts w:ascii="Times New Roman" w:hAnsi="Times New Roman" w:eastAsia="Times New Roman" w:cs="Times New Roman"/>
          <w:b/>
          <w:bCs/>
          <w:sz w:val="28"/>
          <w:szCs w:val="28"/>
        </w:rPr>
      </w:pPr>
      <w:r>
        <w:rPr>
          <w:rFonts w:cs="Times New Roman" w:ascii="Times New Roman" w:hAnsi="Times New Roman"/>
          <w:sz w:val="24"/>
          <w:szCs w:val="24"/>
        </w:rPr>
        <w:t>1.7.</w:t>
      </w:r>
      <w:r>
        <w:rPr>
          <w:rFonts w:ascii="Times New Roman" w:hAnsi="Times New Roman"/>
          <w:sz w:val="24"/>
          <w:szCs w:val="24"/>
        </w:rPr>
        <w:t>5. Изменение предмета конкурса в электронной форме не допускается</w:t>
      </w:r>
    </w:p>
    <w:p>
      <w:pPr>
        <w:pStyle w:val="1"/>
        <w:numPr>
          <w:ilvl w:val="1"/>
          <w:numId w:val="7"/>
        </w:numPr>
        <w:spacing w:lineRule="auto" w:line="300" w:before="0" w:after="0"/>
        <w:ind w:left="0" w:hanging="0"/>
        <w:jc w:val="center"/>
        <w:rPr>
          <w:rFonts w:ascii="Times New Roman" w:hAnsi="Times New Roman" w:eastAsia="Times New Roman" w:cs="Times New Roman"/>
          <w:b/>
          <w:bCs/>
          <w:color w:val="auto"/>
          <w:sz w:val="28"/>
          <w:szCs w:val="28"/>
        </w:rPr>
      </w:pPr>
      <w:bookmarkStart w:id="11" w:name="_Toc61614994"/>
      <w:bookmarkStart w:id="12" w:name="_Toc454823350"/>
      <w:r>
        <w:rPr>
          <w:rFonts w:eastAsia="Times New Roman" w:cs="Times New Roman" w:ascii="Times New Roman" w:hAnsi="Times New Roman"/>
          <w:b/>
          <w:bCs/>
          <w:color w:val="auto"/>
          <w:sz w:val="24"/>
          <w:szCs w:val="24"/>
        </w:rPr>
        <w:t xml:space="preserve">Заключение договора по результатам </w:t>
      </w:r>
      <w:bookmarkEnd w:id="12"/>
      <w:r>
        <w:rPr>
          <w:rFonts w:eastAsia="Times New Roman" w:cs="Times New Roman" w:ascii="Times New Roman" w:hAnsi="Times New Roman"/>
          <w:b/>
          <w:bCs/>
          <w:color w:val="auto"/>
          <w:sz w:val="24"/>
          <w:szCs w:val="24"/>
        </w:rPr>
        <w:t>проведения конкурса в электронной форме</w:t>
      </w:r>
      <w:bookmarkEnd w:id="11"/>
    </w:p>
    <w:p>
      <w:pPr>
        <w:pStyle w:val="Normal"/>
        <w:spacing w:lineRule="auto" w:line="240" w:before="0" w:after="0"/>
        <w:jc w:val="both"/>
        <w:rPr>
          <w:rFonts w:ascii="Times New Roman" w:hAnsi="Times New Roman"/>
          <w:sz w:val="24"/>
          <w:szCs w:val="24"/>
        </w:rPr>
      </w:pPr>
      <w:r>
        <w:rPr>
          <w:rFonts w:cs="Times New Roman" w:ascii="Times New Roman" w:hAnsi="Times New Roman"/>
          <w:sz w:val="24"/>
          <w:szCs w:val="24"/>
        </w:rPr>
        <w:t xml:space="preserve">1.8.1. </w:t>
      </w:r>
      <w:r>
        <w:rPr>
          <w:rFonts w:ascii="Times New Roman" w:hAnsi="Times New Roman"/>
          <w:sz w:val="24"/>
          <w:szCs w:val="24"/>
        </w:rPr>
        <w:t>По результатам электронного конкурса договор заключается на условиях, указанных в заявке на участие в конкурсе в электронной форме, поданной участником конкурса, с которым заключается договор, и в документации о закупке. При заключении договора его цена не может превышать начальную (максимальную) цену договора, указанную в извещении о проведении конкурса в электронной форме.</w:t>
      </w:r>
    </w:p>
    <w:p>
      <w:pPr>
        <w:pStyle w:val="Normal"/>
        <w:spacing w:lineRule="auto" w:line="240" w:before="0" w:after="0"/>
        <w:jc w:val="both"/>
        <w:rPr>
          <w:rFonts w:ascii="Arial" w:hAnsi="Arial" w:cs="Arial"/>
          <w:b/>
          <w:sz w:val="20"/>
          <w:szCs w:val="20"/>
        </w:rPr>
      </w:pPr>
      <w:r>
        <w:rPr>
          <w:rFonts w:cs="Times New Roman" w:ascii="Times New Roman" w:hAnsi="Times New Roman"/>
          <w:sz w:val="24"/>
          <w:szCs w:val="24"/>
        </w:rPr>
        <w:t>1.8.</w:t>
      </w:r>
      <w:r>
        <w:rPr>
          <w:rFonts w:ascii="Times New Roman" w:hAnsi="Times New Roman"/>
          <w:sz w:val="24"/>
          <w:szCs w:val="24"/>
        </w:rPr>
        <w:t xml:space="preserve">2. Договор по результатам конкурса в электронной форме должен быть заключён не ранее чем через 10 (десять) дней и не позднее чем через </w:t>
      </w:r>
      <w:r>
        <w:rPr>
          <w:rFonts w:ascii="Times New Roman" w:hAnsi="Times New Roman"/>
          <w:sz w:val="24"/>
          <w:szCs w:val="24"/>
          <w:shd w:fill="FFFFFF" w:val="clear"/>
        </w:rPr>
        <w:t>20 (двадцать) дней с даты размещения в единой информационной системе протокола оценки и подведения итогов заявок.</w:t>
      </w:r>
      <w:r>
        <w:rPr>
          <w:rFonts w:cs="Arial" w:ascii="Times New Roman" w:hAnsi="Times New Roman"/>
          <w:b/>
          <w:sz w:val="24"/>
          <w:szCs w:val="24"/>
        </w:rPr>
        <w:t xml:space="preserve"> </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закупки, оператора электронной площадки договор должен быть заключён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закупки, оператора электронной площадки.</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При этом договор заключается только после предоставления участником конкурса в электронной форме обеспечения исполнения договора, если такое требование было установлено в документации о закупке.</w:t>
      </w:r>
    </w:p>
    <w:p>
      <w:pPr>
        <w:pStyle w:val="Normal"/>
        <w:spacing w:lineRule="auto" w:line="240" w:before="0" w:after="0"/>
        <w:jc w:val="both"/>
        <w:rPr>
          <w:rFonts w:ascii="Times New Roman" w:hAnsi="Times New Roman"/>
          <w:sz w:val="24"/>
          <w:szCs w:val="24"/>
        </w:rPr>
      </w:pPr>
      <w:r>
        <w:rPr>
          <w:rFonts w:cs="Times New Roman" w:ascii="Times New Roman" w:hAnsi="Times New Roman"/>
          <w:sz w:val="24"/>
          <w:szCs w:val="24"/>
        </w:rPr>
        <w:t>1.8.</w:t>
      </w:r>
      <w:r>
        <w:rPr>
          <w:rFonts w:ascii="Times New Roman" w:hAnsi="Times New Roman"/>
          <w:sz w:val="24"/>
          <w:szCs w:val="24"/>
        </w:rPr>
        <w:t>3. Договор заключается через электронную площадку путём направления Заказчиком проекта договора победителю электронного конкурса.</w:t>
      </w:r>
    </w:p>
    <w:p>
      <w:pPr>
        <w:pStyle w:val="1"/>
        <w:numPr>
          <w:ilvl w:val="1"/>
          <w:numId w:val="7"/>
        </w:numPr>
        <w:spacing w:lineRule="auto" w:line="300" w:before="0" w:after="0"/>
        <w:ind w:left="0" w:hanging="0"/>
        <w:jc w:val="center"/>
        <w:rPr>
          <w:rFonts w:ascii="Times New Roman" w:hAnsi="Times New Roman" w:eastAsia="Times New Roman" w:cs="Times New Roman"/>
          <w:b/>
          <w:bCs/>
          <w:color w:val="auto"/>
          <w:sz w:val="28"/>
          <w:szCs w:val="28"/>
        </w:rPr>
      </w:pPr>
      <w:bookmarkStart w:id="13" w:name="_Toc61614995"/>
      <w:r>
        <w:rPr>
          <w:rFonts w:eastAsia="Times New Roman" w:cs="Times New Roman" w:ascii="Times New Roman" w:hAnsi="Times New Roman"/>
          <w:b/>
          <w:bCs/>
          <w:color w:val="auto"/>
          <w:sz w:val="24"/>
          <w:szCs w:val="24"/>
        </w:rPr>
        <w:t>Признание электронного конкурса несостоявшимся и порядок заключения договора при несостоявшемся электронном конкурсе</w:t>
      </w:r>
      <w:bookmarkEnd w:id="13"/>
    </w:p>
    <w:p>
      <w:pPr>
        <w:pStyle w:val="Normal"/>
        <w:spacing w:lineRule="auto" w:line="240" w:before="0" w:after="0"/>
        <w:jc w:val="both"/>
        <w:rPr>
          <w:rFonts w:ascii="Times New Roman" w:hAnsi="Times New Roman"/>
          <w:sz w:val="24"/>
          <w:szCs w:val="24"/>
        </w:rPr>
      </w:pPr>
      <w:r>
        <w:rPr>
          <w:rFonts w:ascii="Times New Roman" w:hAnsi="Times New Roman"/>
          <w:sz w:val="24"/>
          <w:szCs w:val="24"/>
        </w:rPr>
        <w:t>1.9.1. Конкурс в электронной форме признаётся несостоявшимся, если: по окончании срока подачи заявок на участие в конкурсе в электронной форме подана только одна заявка на участие в конкурсе в электронной форме; не подано ни одной заявки; на основании результатов рассмотрения заявок на участие в конкурсе в электронной форме принято решение об отказе в допуске к участию в конкурсе в электронной форме всех участников закупки, подавших заявки на участие в конкурсе в электронной форме; принято решение о допуске к участию в конкурсе в электронной форме и признании участником конкурса в электронной форме только одного участника закупки, подавшего заявку на участие в конкурсе в электронной форме; по результатам этапов отбора только один участник закупки признан соответствующим требованиям документации о закупке.</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1.9.2. Если документацией о закупке предусмотрено два и более лота, конкурс в электронной форме признаётся несостоявшимся только в отношении отдельных лотов.</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1.9.3. Заказчик обязан заключить договор, если конкурс в электронной форме признан несостоявшимся по следующим причинам:</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по окончании срока подачи заявок на участие в конкурсе в электронной форме подана только одна заявка, и она признана соответствующей требованиям документации о закупке;</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по результатам рассмотрения заявок на участие в конкурсе в электронной форме только одна заявка признана соответствующей требованиям документации о закупке;</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по результатам этапов отбора только один участник закупки признан соответствующим требованиям документации о закупке, и заявка такого участника признана соответствующей требованиям документации о закупке.</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 xml:space="preserve">1.9.4. Заказчик вправе заключить договор с единственным поставщиком (исполнителем, подрядчиком), провести повторный конкурс в электронной форме на тех же или иных условиях либо провести закупку иным способом в соответствии с Положением о закупках, если конкурс в электронной форме был признан несостоявшимся по следующим основаниям: </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по результатам рассмотрения заявок на участие в конкурсе в электронной форме были отклонены все поданные заявки;</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по окончании срока подачи заявок на участие в конкурсе в электронной форме не подано ни одной заявки.</w:t>
      </w:r>
    </w:p>
    <w:p>
      <w:pPr>
        <w:pStyle w:val="Normal"/>
        <w:spacing w:lineRule="auto" w:line="240" w:before="0" w:after="0"/>
        <w:jc w:val="both"/>
        <w:rPr>
          <w:rFonts w:ascii="Times New Roman" w:hAnsi="Times New Roman"/>
          <w:color w:val="000000"/>
          <w:sz w:val="24"/>
          <w:szCs w:val="24"/>
        </w:rPr>
      </w:pPr>
      <w:r>
        <w:rPr>
          <w:rFonts w:ascii="Times New Roman" w:hAnsi="Times New Roman"/>
          <w:color w:val="000000"/>
          <w:sz w:val="24"/>
          <w:szCs w:val="24"/>
        </w:rPr>
      </w:r>
    </w:p>
    <w:p>
      <w:pPr>
        <w:pStyle w:val="Normal"/>
        <w:spacing w:lineRule="auto" w:line="240" w:before="0" w:after="0"/>
        <w:jc w:val="both"/>
        <w:rPr>
          <w:rFonts w:ascii="Times New Roman" w:hAnsi="Times New Roman"/>
          <w:color w:val="000000"/>
          <w:sz w:val="24"/>
          <w:szCs w:val="24"/>
        </w:rPr>
      </w:pPr>
      <w:r>
        <w:rPr>
          <w:rFonts w:ascii="Times New Roman" w:hAnsi="Times New Roman"/>
          <w:color w:val="000000"/>
          <w:sz w:val="24"/>
          <w:szCs w:val="24"/>
        </w:rPr>
      </w:r>
    </w:p>
    <w:p>
      <w:pPr>
        <w:pStyle w:val="1"/>
        <w:numPr>
          <w:ilvl w:val="1"/>
          <w:numId w:val="7"/>
        </w:numPr>
        <w:spacing w:lineRule="auto" w:line="300" w:before="0" w:after="0"/>
        <w:ind w:left="0" w:hanging="0"/>
        <w:jc w:val="center"/>
        <w:rPr/>
      </w:pPr>
      <w:r>
        <w:rPr>
          <w:rFonts w:eastAsia="Times New Roman" w:cs="Times New Roman" w:ascii="Times New Roman" w:hAnsi="Times New Roman"/>
          <w:b/>
          <w:bCs/>
          <w:color w:val="000000"/>
          <w:sz w:val="24"/>
          <w:szCs w:val="24"/>
        </w:rPr>
        <w:t>Обеспечение исполнения договора</w:t>
      </w:r>
    </w:p>
    <w:p>
      <w:pPr>
        <w:pStyle w:val="Normal"/>
        <w:spacing w:lineRule="auto" w:line="240" w:before="0" w:after="0"/>
        <w:jc w:val="both"/>
        <w:rPr/>
      </w:pPr>
      <w:r>
        <w:rPr>
          <w:rFonts w:ascii="Times New Roman" w:hAnsi="Times New Roman"/>
          <w:bCs/>
          <w:sz w:val="24"/>
          <w:szCs w:val="24"/>
        </w:rPr>
        <w:t>Не установлено.</w:t>
      </w:r>
    </w:p>
    <w:p>
      <w:pPr>
        <w:pStyle w:val="Normal"/>
        <w:spacing w:lineRule="auto" w:line="240" w:before="0" w:after="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r>
    </w:p>
    <w:p>
      <w:pPr>
        <w:pStyle w:val="Normal"/>
        <w:spacing w:lineRule="auto" w:line="300" w:before="0" w:after="0"/>
        <w:jc w:val="center"/>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widowControl w:val="false"/>
        <w:numPr>
          <w:ilvl w:val="1"/>
          <w:numId w:val="7"/>
        </w:numPr>
        <w:spacing w:lineRule="auto" w:line="276" w:before="0" w:after="0"/>
        <w:ind w:left="0" w:hanging="0"/>
        <w:jc w:val="center"/>
        <w:rPr/>
      </w:pPr>
      <w:bookmarkStart w:id="14" w:name="_Toc61614996"/>
      <w:r>
        <w:rPr>
          <w:rFonts w:eastAsia="Times New Roman" w:cs="Times New Roman" w:ascii="Times New Roman" w:hAnsi="Times New Roman"/>
          <w:b/>
          <w:bCs/>
          <w:color w:val="000000"/>
          <w:sz w:val="26"/>
          <w:szCs w:val="26"/>
        </w:rPr>
        <w:t>Обеспечение исполнения гарантийных обязательств</w:t>
      </w:r>
      <w:bookmarkEnd w:id="14"/>
    </w:p>
    <w:p>
      <w:pPr>
        <w:pStyle w:val="Normal"/>
        <w:widowControl w:val="false"/>
        <w:spacing w:lineRule="auto" w:line="276" w:before="0" w:after="0"/>
        <w:rPr>
          <w:rFonts w:ascii="Times New Roman" w:hAnsi="Times New Roman"/>
          <w:bCs/>
          <w:sz w:val="24"/>
          <w:szCs w:val="24"/>
        </w:rPr>
      </w:pPr>
      <w:r>
        <w:rPr>
          <w:rFonts w:ascii="Times New Roman" w:hAnsi="Times New Roman"/>
          <w:bCs/>
          <w:sz w:val="24"/>
          <w:szCs w:val="24"/>
        </w:rPr>
      </w:r>
    </w:p>
    <w:p>
      <w:pPr>
        <w:pStyle w:val="Normal"/>
        <w:widowControl w:val="false"/>
        <w:spacing w:lineRule="auto" w:line="276" w:before="0" w:after="0"/>
        <w:rPr>
          <w:rFonts w:ascii="Times New Roman" w:hAnsi="Times New Roman"/>
          <w:bCs/>
          <w:sz w:val="24"/>
          <w:szCs w:val="24"/>
        </w:rPr>
      </w:pPr>
      <w:r>
        <w:rPr>
          <w:rFonts w:ascii="Times New Roman" w:hAnsi="Times New Roman"/>
          <w:bCs/>
          <w:sz w:val="24"/>
          <w:szCs w:val="24"/>
        </w:rPr>
        <w:t>Не  установлено</w:t>
      </w:r>
    </w:p>
    <w:p>
      <w:pPr>
        <w:pStyle w:val="1"/>
        <w:numPr>
          <w:ilvl w:val="1"/>
          <w:numId w:val="7"/>
        </w:numPr>
        <w:spacing w:lineRule="auto" w:line="300" w:before="0" w:after="0"/>
        <w:ind w:left="0" w:hanging="0"/>
        <w:jc w:val="center"/>
        <w:rPr>
          <w:rFonts w:ascii="Times New Roman" w:hAnsi="Times New Roman" w:eastAsia="Times New Roman" w:cs="Times New Roman"/>
          <w:b/>
          <w:bCs/>
          <w:color w:val="auto"/>
          <w:sz w:val="28"/>
          <w:szCs w:val="28"/>
        </w:rPr>
      </w:pPr>
      <w:bookmarkStart w:id="15" w:name="_Toc61614997"/>
      <w:r>
        <w:rPr>
          <w:rFonts w:eastAsia="Times New Roman" w:cs="Times New Roman" w:ascii="Times New Roman" w:hAnsi="Times New Roman"/>
          <w:b/>
          <w:bCs/>
          <w:color w:val="auto"/>
          <w:sz w:val="24"/>
          <w:szCs w:val="24"/>
        </w:rPr>
        <w:t>Исполнение договора</w:t>
      </w:r>
      <w:bookmarkEnd w:id="15"/>
    </w:p>
    <w:p>
      <w:pPr>
        <w:pStyle w:val="ConsPlusNormal1"/>
        <w:jc w:val="both"/>
        <w:rPr>
          <w:rFonts w:ascii="Times New Roman" w:hAnsi="Times New Roman" w:cs="Times New Roman"/>
          <w:sz w:val="24"/>
          <w:szCs w:val="24"/>
        </w:rPr>
      </w:pPr>
      <w:r>
        <w:rPr>
          <w:rFonts w:cs="Times New Roman" w:ascii="Times New Roman" w:hAnsi="Times New Roman"/>
          <w:sz w:val="24"/>
          <w:szCs w:val="24"/>
        </w:rPr>
        <w:t>1.12.1. Исполнение договора - комплекс мер, реализуемых после заключения договора и обеспечивающих достижение цели закупки, включая:</w:t>
      </w:r>
    </w:p>
    <w:p>
      <w:pPr>
        <w:pStyle w:val="ConsPlusNormal1"/>
        <w:numPr>
          <w:ilvl w:val="0"/>
          <w:numId w:val="2"/>
        </w:numPr>
        <w:ind w:left="0" w:hanging="0"/>
        <w:jc w:val="both"/>
        <w:rPr>
          <w:rFonts w:ascii="Times New Roman" w:hAnsi="Times New Roman" w:cs="Times New Roman"/>
          <w:sz w:val="24"/>
          <w:szCs w:val="24"/>
        </w:rPr>
      </w:pPr>
      <w:r>
        <w:rPr>
          <w:rFonts w:cs="Times New Roman" w:ascii="Times New Roman" w:hAnsi="Times New Roman"/>
          <w:sz w:val="24"/>
          <w:szCs w:val="24"/>
        </w:rPr>
        <w:t>взаимодействие с поставщиком (исполнителем, подрядчиком) по вопросам исполнения договора;</w:t>
      </w:r>
    </w:p>
    <w:p>
      <w:pPr>
        <w:pStyle w:val="ConsPlusNormal1"/>
        <w:numPr>
          <w:ilvl w:val="0"/>
          <w:numId w:val="2"/>
        </w:numPr>
        <w:ind w:left="0" w:hanging="0"/>
        <w:jc w:val="both"/>
        <w:rPr/>
      </w:pPr>
      <w:r>
        <w:rPr>
          <w:rFonts w:cs="Times New Roman" w:ascii="Times New Roman" w:hAnsi="Times New Roman"/>
          <w:sz w:val="24"/>
          <w:szCs w:val="24"/>
        </w:rPr>
        <w:t xml:space="preserve">экспертизу представленных поставщиком результатов исполнения договора (его отдельных этапов) в соответствии с </w:t>
      </w:r>
      <w:hyperlink w:anchor="P1129">
        <w:r>
          <w:rPr>
            <w:rFonts w:cs="Times New Roman" w:ascii="Times New Roman" w:hAnsi="Times New Roman"/>
            <w:sz w:val="24"/>
            <w:szCs w:val="24"/>
          </w:rPr>
          <w:t>пунктом 3</w:t>
        </w:r>
      </w:hyperlink>
      <w:r>
        <w:rPr>
          <w:rFonts w:cs="Times New Roman" w:ascii="Times New Roman" w:hAnsi="Times New Roman"/>
          <w:sz w:val="24"/>
          <w:szCs w:val="24"/>
        </w:rPr>
        <w:t xml:space="preserve"> настоящего подраздела;</w:t>
      </w:r>
    </w:p>
    <w:p>
      <w:pPr>
        <w:pStyle w:val="ConsPlusNormal1"/>
        <w:numPr>
          <w:ilvl w:val="0"/>
          <w:numId w:val="2"/>
        </w:numPr>
        <w:ind w:left="0" w:hanging="0"/>
        <w:jc w:val="both"/>
        <w:rPr>
          <w:rFonts w:ascii="Times New Roman" w:hAnsi="Times New Roman" w:cs="Times New Roman"/>
          <w:sz w:val="24"/>
          <w:szCs w:val="24"/>
        </w:rPr>
      </w:pPr>
      <w:r>
        <w:rPr>
          <w:rFonts w:cs="Times New Roman" w:ascii="Times New Roman" w:hAnsi="Times New Roman"/>
          <w:sz w:val="24"/>
          <w:szCs w:val="24"/>
        </w:rPr>
        <w:t>приемку результатов исполнения договора (его отдельных этапов) в соответствии с пунктами 3 - 5 настоящего подраздела;</w:t>
      </w:r>
    </w:p>
    <w:p>
      <w:pPr>
        <w:pStyle w:val="ConsPlusNormal1"/>
        <w:numPr>
          <w:ilvl w:val="0"/>
          <w:numId w:val="2"/>
        </w:numPr>
        <w:ind w:left="0" w:hanging="0"/>
        <w:jc w:val="both"/>
        <w:rPr>
          <w:rFonts w:ascii="Times New Roman" w:hAnsi="Times New Roman" w:cs="Times New Roman"/>
          <w:sz w:val="24"/>
          <w:szCs w:val="24"/>
        </w:rPr>
      </w:pPr>
      <w:r>
        <w:rPr>
          <w:rFonts w:cs="Times New Roman" w:ascii="Times New Roman" w:hAnsi="Times New Roman"/>
          <w:sz w:val="24"/>
          <w:szCs w:val="24"/>
        </w:rPr>
        <w:t>исполнение Заказчиком обязательства по оплате результатов исполнения договора (его отдельных этапов);</w:t>
      </w:r>
    </w:p>
    <w:p>
      <w:pPr>
        <w:pStyle w:val="ConsPlusNormal1"/>
        <w:numPr>
          <w:ilvl w:val="0"/>
          <w:numId w:val="2"/>
        </w:numPr>
        <w:ind w:left="0" w:hanging="0"/>
        <w:jc w:val="both"/>
        <w:rPr>
          <w:rFonts w:ascii="Times New Roman" w:hAnsi="Times New Roman" w:cs="Times New Roman"/>
          <w:sz w:val="24"/>
          <w:szCs w:val="24"/>
        </w:rPr>
      </w:pPr>
      <w:r>
        <w:rPr>
          <w:rFonts w:cs="Times New Roman" w:ascii="Times New Roman" w:hAnsi="Times New Roman"/>
          <w:sz w:val="24"/>
          <w:szCs w:val="24"/>
        </w:rPr>
        <w:t>изменение, расторжение договора, применение мер ответственности, предусмотренных договором;</w:t>
      </w:r>
    </w:p>
    <w:p>
      <w:pPr>
        <w:pStyle w:val="ConsPlusNormal1"/>
        <w:numPr>
          <w:ilvl w:val="0"/>
          <w:numId w:val="2"/>
        </w:numPr>
        <w:ind w:left="0" w:hanging="0"/>
        <w:jc w:val="both"/>
        <w:rPr>
          <w:rFonts w:ascii="Times New Roman" w:hAnsi="Times New Roman" w:cs="Times New Roman"/>
          <w:sz w:val="24"/>
          <w:szCs w:val="24"/>
        </w:rPr>
      </w:pPr>
      <w:r>
        <w:rPr>
          <w:rFonts w:cs="Times New Roman" w:ascii="Times New Roman" w:hAnsi="Times New Roman"/>
          <w:sz w:val="24"/>
          <w:szCs w:val="24"/>
        </w:rPr>
        <w:t>подготовку отчетности по заключенным договорам.</w:t>
      </w:r>
    </w:p>
    <w:p>
      <w:pPr>
        <w:pStyle w:val="ConsPlusNormal1"/>
        <w:jc w:val="both"/>
        <w:rPr/>
      </w:pPr>
      <w:r>
        <w:rPr>
          <w:rFonts w:cs="Times New Roman" w:ascii="Times New Roman" w:hAnsi="Times New Roman"/>
          <w:sz w:val="24"/>
          <w:szCs w:val="24"/>
        </w:rPr>
        <w:t xml:space="preserve">Предусмотренный абзацами вторым - пятым пункта 1 настоящего подраздела комплекс мер реализуется структурным подразделением Заказчика, являющимся инициатором закупки. Предусмотренный </w:t>
      </w:r>
      <w:hyperlink w:anchor="P1125">
        <w:r>
          <w:rPr>
            <w:rFonts w:cs="Times New Roman" w:ascii="Times New Roman" w:hAnsi="Times New Roman"/>
            <w:sz w:val="24"/>
            <w:szCs w:val="24"/>
          </w:rPr>
          <w:t>абзацами шестым</w:t>
        </w:r>
      </w:hyperlink>
      <w:r>
        <w:rPr>
          <w:rFonts w:cs="Times New Roman" w:ascii="Times New Roman" w:hAnsi="Times New Roman"/>
          <w:sz w:val="24"/>
          <w:szCs w:val="24"/>
        </w:rPr>
        <w:t>, седьмым пункта 1 настоящего подраздела комплекс мер реализуется структурным подразделением Заказчика, ответственным за заключение и ведение отчетности по заключенным договорам.</w:t>
      </w:r>
    </w:p>
    <w:p>
      <w:pPr>
        <w:pStyle w:val="ConsPlusNormal1"/>
        <w:jc w:val="both"/>
        <w:rPr>
          <w:rFonts w:ascii="Times New Roman" w:hAnsi="Times New Roman" w:cs="Times New Roman"/>
          <w:sz w:val="24"/>
          <w:szCs w:val="24"/>
        </w:rPr>
      </w:pPr>
      <w:r>
        <w:rPr>
          <w:rFonts w:cs="Times New Roman" w:ascii="Times New Roman" w:hAnsi="Times New Roman"/>
          <w:sz w:val="24"/>
          <w:szCs w:val="24"/>
        </w:rPr>
        <w:t>1.12.2. Поставщик (подрядчик, исполнитель)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 при этом Заказчик обязан обеспечить их приемку в соответствии с настоящим разделом Положения.</w:t>
      </w:r>
    </w:p>
    <w:p>
      <w:pPr>
        <w:pStyle w:val="ConsPlusNormal1"/>
        <w:jc w:val="both"/>
        <w:rPr>
          <w:rFonts w:ascii="Times New Roman" w:hAnsi="Times New Roman" w:eastAsia="Calibri" w:cs="Times New Roman"/>
          <w:sz w:val="24"/>
          <w:szCs w:val="24"/>
        </w:rPr>
      </w:pPr>
      <w:r>
        <w:rPr>
          <w:rFonts w:cs="Times New Roman" w:ascii="Times New Roman" w:hAnsi="Times New Roman"/>
          <w:sz w:val="24"/>
          <w:szCs w:val="24"/>
        </w:rPr>
        <w:t xml:space="preserve">1.12.3. </w:t>
      </w:r>
      <w:r>
        <w:rPr>
          <w:rFonts w:eastAsia="Calibri" w:cs="Times New Roman" w:ascii="Times New Roman" w:hAnsi="Times New Roman"/>
          <w:sz w:val="24"/>
          <w:szCs w:val="24"/>
        </w:rPr>
        <w:t>Для приемки представленных результатов исполнения договора (его отдельных этапов), заключенного по результатам закупки, Заказчик вправе провести экспертизу.</w:t>
      </w:r>
    </w:p>
    <w:p>
      <w:pPr>
        <w:pStyle w:val="ConsPlusNormal1"/>
        <w:jc w:val="both"/>
        <w:rPr>
          <w:rFonts w:ascii="Times New Roman" w:hAnsi="Times New Roman" w:cs="Times New Roman"/>
          <w:sz w:val="24"/>
          <w:szCs w:val="24"/>
        </w:rPr>
      </w:pPr>
      <w:r>
        <w:rPr>
          <w:rFonts w:cs="Times New Roman" w:ascii="Times New Roman" w:hAnsi="Times New Roman"/>
          <w:sz w:val="24"/>
          <w:szCs w:val="24"/>
        </w:rPr>
        <w:t>Срок проведения экспертизы устанавливается Заказчиком в документации о закупке, в том числе в договоре.</w:t>
      </w:r>
    </w:p>
    <w:p>
      <w:pPr>
        <w:pStyle w:val="ConsPlusNormal1"/>
        <w:jc w:val="both"/>
        <w:rPr>
          <w:rFonts w:ascii="Times New Roman" w:hAnsi="Times New Roman" w:cs="Times New Roman"/>
          <w:sz w:val="24"/>
          <w:szCs w:val="24"/>
        </w:rPr>
      </w:pPr>
      <w:r>
        <w:rPr>
          <w:rFonts w:cs="Times New Roman" w:ascii="Times New Roman" w:hAnsi="Times New Roman"/>
          <w:sz w:val="24"/>
          <w:szCs w:val="24"/>
        </w:rPr>
        <w:t xml:space="preserve">Экспертиза представленных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результату. Результаты экспертизы оформляются в виде заключения, которое подписывается независимым экспертом, уполномоченным представителем экспертной организации. Заключение должно быть объективным и обоснованным. </w:t>
      </w:r>
    </w:p>
    <w:p>
      <w:pPr>
        <w:pStyle w:val="ConsPlusNormal1"/>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Заказчик вправе не отказывать в приемке результатов отдельного этапа исполнения договора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договора,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pPr>
        <w:pStyle w:val="ConsPlusNormal1"/>
        <w:jc w:val="both"/>
        <w:rPr>
          <w:rFonts w:ascii="Times New Roman" w:hAnsi="Times New Roman" w:cs="Times New Roman"/>
          <w:sz w:val="24"/>
          <w:szCs w:val="24"/>
        </w:rPr>
      </w:pPr>
      <w:r>
        <w:rPr>
          <w:rFonts w:cs="Times New Roman" w:ascii="Times New Roman" w:hAnsi="Times New Roman"/>
          <w:sz w:val="24"/>
          <w:szCs w:val="24"/>
        </w:rPr>
        <w:t>1.12.4. По решению Заказчика для приемки результатов исполнения договора (его отдельных этапов) может создаваться приемочная комиссия. Приемочная комиссия должна состоять не менее чем из 5 членов. Председателем приемочной комиссии является руководитель структурного подразделения Заказчика, являющегося инициатором закупки, или уполномоченный им работник.</w:t>
      </w:r>
    </w:p>
    <w:p>
      <w:pPr>
        <w:pStyle w:val="ConsPlusNormal1"/>
        <w:jc w:val="both"/>
        <w:rPr>
          <w:rFonts w:ascii="Times New Roman" w:hAnsi="Times New Roman" w:cs="Times New Roman"/>
          <w:sz w:val="24"/>
          <w:szCs w:val="24"/>
        </w:rPr>
      </w:pPr>
      <w:r>
        <w:rPr>
          <w:rFonts w:cs="Times New Roman" w:ascii="Times New Roman" w:hAnsi="Times New Roman"/>
          <w:sz w:val="24"/>
          <w:szCs w:val="24"/>
        </w:rPr>
        <w:t>1.12.5. Приемка результатов исполнения договора (его отдельных этапов) осуществляется в порядке и сроки, установленные договором, и оформляется документом о приемке либо в те же сроки Заказчик направляет поставщику (подрядчику, исполнителю) письменный мотивированный отказ от подписания такого документа.</w:t>
      </w:r>
    </w:p>
    <w:p>
      <w:pPr>
        <w:pStyle w:val="ConsPlusNormal1"/>
        <w:jc w:val="both"/>
        <w:rPr>
          <w:rFonts w:ascii="Times New Roman" w:hAnsi="Times New Roman" w:cs="Times New Roman"/>
          <w:sz w:val="24"/>
          <w:szCs w:val="24"/>
        </w:rPr>
      </w:pPr>
      <w:r>
        <w:rPr>
          <w:rFonts w:cs="Times New Roman" w:ascii="Times New Roman" w:hAnsi="Times New Roman"/>
          <w:sz w:val="24"/>
          <w:szCs w:val="24"/>
        </w:rPr>
        <w:t xml:space="preserve">1.12.6. Заказчик, приемочная комиссия отказывают в приемке результатов договора в случае несоответствия представленных результатов условиям договора, за исключением случая </w:t>
      </w:r>
      <w:r>
        <w:rPr>
          <w:rFonts w:eastAsia="Calibri" w:cs="Times New Roman" w:ascii="Times New Roman" w:hAnsi="Times New Roman" w:eastAsiaTheme="minorHAnsi"/>
          <w:sz w:val="24"/>
          <w:szCs w:val="24"/>
          <w:lang w:eastAsia="en-US"/>
        </w:rPr>
        <w:t>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pPr>
        <w:pStyle w:val="ConsPlusNormal1"/>
        <w:jc w:val="both"/>
        <w:rPr>
          <w:rFonts w:ascii="Times New Roman" w:hAnsi="Times New Roman" w:cs="Times New Roman"/>
          <w:sz w:val="24"/>
          <w:szCs w:val="24"/>
        </w:rPr>
      </w:pPr>
      <w:r>
        <w:rPr>
          <w:rFonts w:cs="Times New Roman" w:ascii="Times New Roman" w:hAnsi="Times New Roman"/>
          <w:sz w:val="24"/>
          <w:szCs w:val="24"/>
        </w:rPr>
        <w:t>1.12.7. С даты подписания документа о приемке у Заказчика возникает обязательство оплатить поставленную в соответствии с договором продукцию в предусмотренные договором сроки.</w:t>
      </w:r>
    </w:p>
    <w:p>
      <w:pPr>
        <w:pStyle w:val="1"/>
        <w:numPr>
          <w:ilvl w:val="1"/>
          <w:numId w:val="7"/>
        </w:numPr>
        <w:spacing w:lineRule="auto" w:line="300" w:before="0" w:after="0"/>
        <w:ind w:left="0" w:hanging="0"/>
        <w:jc w:val="center"/>
        <w:rPr>
          <w:rFonts w:ascii="Times New Roman" w:hAnsi="Times New Roman" w:eastAsia="Times New Roman" w:cs="Times New Roman"/>
          <w:b/>
          <w:bCs/>
          <w:color w:val="auto"/>
          <w:sz w:val="28"/>
          <w:szCs w:val="28"/>
        </w:rPr>
      </w:pPr>
      <w:bookmarkStart w:id="16" w:name="_Toc61614998"/>
      <w:r>
        <w:rPr>
          <w:rFonts w:eastAsia="Times New Roman" w:cs="Times New Roman" w:ascii="Times New Roman" w:hAnsi="Times New Roman"/>
          <w:b/>
          <w:bCs/>
          <w:color w:val="auto"/>
          <w:sz w:val="24"/>
          <w:szCs w:val="24"/>
        </w:rPr>
        <w:t>Изменение и расторжение договора</w:t>
      </w:r>
      <w:bookmarkEnd w:id="16"/>
    </w:p>
    <w:p>
      <w:pPr>
        <w:pStyle w:val="Normal"/>
        <w:spacing w:lineRule="auto" w:line="240" w:before="0" w:after="0"/>
        <w:jc w:val="both"/>
        <w:rPr>
          <w:rFonts w:ascii="Times New Roman" w:hAnsi="Times New Roman" w:eastAsia="" w:cs="Times New Roman" w:eastAsiaTheme="majorEastAsia"/>
          <w:sz w:val="24"/>
          <w:szCs w:val="24"/>
        </w:rPr>
      </w:pPr>
      <w:r>
        <w:rPr>
          <w:rFonts w:eastAsia="" w:cs="Times New Roman" w:ascii="Times New Roman" w:hAnsi="Times New Roman" w:eastAsiaTheme="majorEastAsia"/>
          <w:sz w:val="24"/>
          <w:szCs w:val="24"/>
        </w:rPr>
        <w:t>1.12.1. Договор по результатам осуществления конкурентной закупки в электронной форме заключается в указанном порядке и сроки с учетом особенностей документооборота в электронной форме с использованием программно-аппаратных средств электронной площадки и подписывается электронной подписью лиц, имеющих право действовать от имени соответственно участника такой закупки, Заказчика.</w:t>
      </w:r>
    </w:p>
    <w:p>
      <w:pPr>
        <w:pStyle w:val="Normal"/>
        <w:spacing w:lineRule="auto" w:line="240" w:before="0" w:after="0"/>
        <w:jc w:val="both"/>
        <w:rPr>
          <w:rFonts w:ascii="Times New Roman" w:hAnsi="Times New Roman" w:eastAsia="" w:cs="Times New Roman" w:eastAsiaTheme="majorEastAsia"/>
          <w:sz w:val="24"/>
          <w:szCs w:val="24"/>
        </w:rPr>
      </w:pPr>
      <w:r>
        <w:rPr>
          <w:rFonts w:eastAsia="" w:cs="Times New Roman" w:ascii="Times New Roman" w:hAnsi="Times New Roman" w:eastAsiaTheme="majorEastAsia"/>
          <w:sz w:val="24"/>
          <w:szCs w:val="24"/>
        </w:rPr>
        <w:t>1.12.2. Договоры, заключенные по результатам закупок, изменяются в порядке и по основаниям, которые предусмотрены положениями этих договоров, а также законодательством РФ, с учетом особенностей, установленных настоящим Положением и документацией о закупке.</w:t>
      </w:r>
    </w:p>
    <w:p>
      <w:pPr>
        <w:pStyle w:val="Normal"/>
        <w:spacing w:lineRule="auto" w:line="240" w:before="0" w:after="0"/>
        <w:jc w:val="both"/>
        <w:rPr>
          <w:rFonts w:ascii="Times New Roman" w:hAnsi="Times New Roman" w:eastAsia="" w:cs="Times New Roman" w:eastAsiaTheme="majorEastAsia"/>
          <w:sz w:val="24"/>
          <w:szCs w:val="24"/>
        </w:rPr>
      </w:pPr>
      <w:r>
        <w:rPr>
          <w:rFonts w:eastAsia="" w:cs="Times New Roman" w:ascii="Times New Roman" w:hAnsi="Times New Roman" w:eastAsiaTheme="majorEastAsia"/>
          <w:sz w:val="24"/>
          <w:szCs w:val="24"/>
        </w:rPr>
        <w:t>1.12.3. Цена договора является твердой и может изменяться только в следующих случаях:</w:t>
      </w:r>
    </w:p>
    <w:p>
      <w:pPr>
        <w:pStyle w:val="Normal"/>
        <w:spacing w:lineRule="auto" w:line="240" w:before="0" w:after="0"/>
        <w:jc w:val="both"/>
        <w:rPr>
          <w:rFonts w:ascii="Times New Roman" w:hAnsi="Times New Roman" w:eastAsia="" w:cs="Times New Roman" w:eastAsiaTheme="majorEastAsia"/>
          <w:sz w:val="24"/>
          <w:szCs w:val="24"/>
        </w:rPr>
      </w:pPr>
      <w:r>
        <w:rPr>
          <w:rFonts w:eastAsia="" w:cs="Times New Roman" w:ascii="Times New Roman" w:hAnsi="Times New Roman" w:eastAsiaTheme="majorEastAsia"/>
          <w:sz w:val="24"/>
          <w:szCs w:val="24"/>
        </w:rPr>
        <w:t>1) цена снижается по соглашению сторон без изменения, предусмотренного договором количества товаров, объема работ, услуг и иных условий исполнения договора;</w:t>
      </w:r>
    </w:p>
    <w:p>
      <w:pPr>
        <w:pStyle w:val="Normal"/>
        <w:spacing w:lineRule="auto" w:line="240" w:before="0" w:after="0"/>
        <w:jc w:val="both"/>
        <w:rPr>
          <w:rFonts w:ascii="Times New Roman" w:hAnsi="Times New Roman" w:eastAsia="" w:cs="Times New Roman" w:eastAsiaTheme="majorEastAsia"/>
          <w:sz w:val="24"/>
          <w:szCs w:val="24"/>
        </w:rPr>
      </w:pPr>
      <w:r>
        <w:rPr>
          <w:rFonts w:eastAsia="" w:cs="Times New Roman" w:ascii="Times New Roman" w:hAnsi="Times New Roman" w:eastAsiaTheme="majorEastAsia"/>
          <w:sz w:val="24"/>
          <w:szCs w:val="24"/>
        </w:rPr>
        <w:t>2) возможность изменить цену договора предусмотрена таким договором.</w:t>
      </w:r>
    </w:p>
    <w:p>
      <w:pPr>
        <w:pStyle w:val="Normal"/>
        <w:spacing w:lineRule="auto" w:line="240" w:before="0" w:after="0"/>
        <w:jc w:val="both"/>
        <w:rPr>
          <w:rFonts w:ascii="Times New Roman" w:hAnsi="Times New Roman" w:eastAsia="" w:cs="Times New Roman" w:eastAsiaTheme="majorEastAsia"/>
          <w:sz w:val="24"/>
          <w:szCs w:val="24"/>
        </w:rPr>
      </w:pPr>
      <w:r>
        <w:rPr>
          <w:rFonts w:eastAsia="" w:cs="Times New Roman" w:ascii="Times New Roman" w:hAnsi="Times New Roman" w:eastAsiaTheme="majorEastAsia"/>
          <w:sz w:val="24"/>
          <w:szCs w:val="24"/>
        </w:rPr>
        <w:t>3) изменение цены приобретаемых товаров работ, услуг не более, чем на 10 % от цены договора, по которой участником закупки было предложено договор заключить;</w:t>
      </w:r>
    </w:p>
    <w:p>
      <w:pPr>
        <w:pStyle w:val="Normal"/>
        <w:spacing w:lineRule="auto" w:line="240" w:before="0" w:after="0"/>
        <w:jc w:val="both"/>
        <w:rPr>
          <w:rFonts w:ascii="Times New Roman" w:hAnsi="Times New Roman" w:eastAsia="" w:cs="Times New Roman" w:eastAsiaTheme="majorEastAsia"/>
          <w:sz w:val="24"/>
          <w:szCs w:val="24"/>
        </w:rPr>
      </w:pPr>
      <w:r>
        <w:rPr>
          <w:rFonts w:eastAsia="" w:cs="Times New Roman" w:ascii="Times New Roman" w:hAnsi="Times New Roman" w:eastAsiaTheme="majorEastAsia"/>
          <w:sz w:val="24"/>
          <w:szCs w:val="24"/>
        </w:rPr>
        <w:t>4) увеличение объема приобретаемых товаров работу, услуг без изменения стоимости за единицу товаров, работ услуг, предусмотренных договором, но не более, чем в размере общего объема, предусмотренного договором</w:t>
      </w:r>
    </w:p>
    <w:p>
      <w:pPr>
        <w:pStyle w:val="Normal"/>
        <w:spacing w:lineRule="auto" w:line="240" w:before="0" w:after="0"/>
        <w:jc w:val="both"/>
        <w:rPr>
          <w:rFonts w:ascii="Times New Roman" w:hAnsi="Times New Roman" w:eastAsia="" w:cs="Times New Roman" w:eastAsiaTheme="majorEastAsia"/>
          <w:sz w:val="24"/>
          <w:szCs w:val="24"/>
        </w:rPr>
      </w:pPr>
      <w:r>
        <w:rPr>
          <w:rFonts w:eastAsia="" w:cs="Times New Roman" w:ascii="Times New Roman" w:hAnsi="Times New Roman" w:eastAsiaTheme="majorEastAsia"/>
          <w:sz w:val="24"/>
          <w:szCs w:val="24"/>
        </w:rPr>
        <w:t xml:space="preserve">5) увеличение срока исполнения договора в виду обстоятельств невозможности его исполнения в срок, указанный в договоре, но не более срока, который был изначально договором предусмотрен. </w:t>
      </w:r>
    </w:p>
    <w:p>
      <w:pPr>
        <w:pStyle w:val="Normal"/>
        <w:spacing w:lineRule="auto" w:line="240" w:before="0" w:after="0"/>
        <w:jc w:val="both"/>
        <w:rPr>
          <w:rFonts w:ascii="Times New Roman" w:hAnsi="Times New Roman" w:eastAsia="" w:cs="Times New Roman" w:eastAsiaTheme="majorEastAsia"/>
          <w:sz w:val="24"/>
          <w:szCs w:val="24"/>
        </w:rPr>
      </w:pPr>
      <w:r>
        <w:rPr>
          <w:rFonts w:eastAsia="" w:cs="Times New Roman" w:ascii="Times New Roman" w:hAnsi="Times New Roman" w:eastAsiaTheme="majorEastAsia"/>
          <w:sz w:val="24"/>
          <w:szCs w:val="24"/>
        </w:rPr>
        <w:t xml:space="preserve">1.12.4. При заключении и исполнении договора Заказчик по согласованию с участником, с которым заключается договор, вправе увеличить количество поставляемого товара, если это предусмотрено документацией о закупке. Цена единицы товара в таком случае не должна превышать цену, определяемую как частное от деления цены договора, указанной в заявке участника конкурса, </w:t>
      </w:r>
      <w:r>
        <w:rPr>
          <w:rFonts w:eastAsia="Segoe UI" w:cs="Tahoma" w:ascii="Times New Roman" w:hAnsi="Times New Roman"/>
          <w:b/>
          <w:bCs/>
          <w:color w:val="000000"/>
          <w:kern w:val="2"/>
          <w:sz w:val="24"/>
          <w:szCs w:val="24"/>
          <w:lang w:eastAsia="zh-CN" w:bidi="hi-IN"/>
        </w:rPr>
        <w:t>конкурса в электронной форме</w:t>
      </w:r>
      <w:r>
        <w:rPr>
          <w:rFonts w:eastAsia="" w:cs="Times New Roman" w:ascii="Times New Roman" w:hAnsi="Times New Roman" w:eastAsiaTheme="majorEastAsia"/>
          <w:sz w:val="24"/>
          <w:szCs w:val="24"/>
        </w:rPr>
        <w:t>, запроса котировок (предложенной участником аукциона), с которым заключается договор, на количество товара, установленное в документации о закупках.</w:t>
      </w:r>
    </w:p>
    <w:p>
      <w:pPr>
        <w:pStyle w:val="Normal"/>
        <w:spacing w:lineRule="auto" w:line="240" w:before="0" w:after="0"/>
        <w:jc w:val="both"/>
        <w:rPr>
          <w:rFonts w:ascii="Times New Roman" w:hAnsi="Times New Roman" w:eastAsia="" w:cs="Times New Roman" w:eastAsiaTheme="majorEastAsia"/>
          <w:sz w:val="24"/>
          <w:szCs w:val="24"/>
        </w:rPr>
      </w:pPr>
      <w:r>
        <w:rPr>
          <w:rFonts w:eastAsia="" w:cs="Times New Roman" w:ascii="Times New Roman" w:hAnsi="Times New Roman" w:eastAsiaTheme="majorEastAsia"/>
          <w:sz w:val="24"/>
          <w:szCs w:val="24"/>
        </w:rPr>
        <w:t>1.12.5. Если количество, объем, цена закупаемых товаров, работ, услуг или сроки исполнения договора изменяются по сравнению с указанными в итоговом протоколе, Заказчик не позднее 10 (десяти) дней со дня внесения изменений в договор размещает в ЕИС информацию об измененных условиях.</w:t>
      </w:r>
    </w:p>
    <w:p>
      <w:pPr>
        <w:pStyle w:val="Normal"/>
        <w:spacing w:lineRule="auto" w:line="240" w:before="0" w:after="0"/>
        <w:jc w:val="both"/>
        <w:rPr>
          <w:rFonts w:ascii="Times New Roman" w:hAnsi="Times New Roman" w:eastAsia="" w:cs="Times New Roman" w:eastAsiaTheme="majorEastAsia"/>
          <w:sz w:val="24"/>
          <w:szCs w:val="24"/>
        </w:rPr>
      </w:pPr>
      <w:r>
        <w:rPr>
          <w:rFonts w:eastAsia="" w:cs="Times New Roman" w:ascii="Times New Roman" w:hAnsi="Times New Roman" w:eastAsiaTheme="majorEastAsia"/>
          <w:sz w:val="24"/>
          <w:szCs w:val="24"/>
        </w:rPr>
        <w:t>1.12.6. При исполнении договора не допускается перемена поставщика, за исключением случаев, когда новый поставщик является правопреемником поставщика, с которым заключен договор, вследствие реорганизации юридического лица в форме преобразования, слияния или присоединения либо, когда такая возможность прямо предусмотрена договором. При перемене поставщика его права и обязанности переходят к новому поставщику в том же объеме и на тех же условиях.</w:t>
      </w:r>
    </w:p>
    <w:p>
      <w:pPr>
        <w:pStyle w:val="Normal"/>
        <w:spacing w:lineRule="auto" w:line="240" w:before="0" w:after="0"/>
        <w:jc w:val="both"/>
        <w:rPr>
          <w:rFonts w:ascii="Times New Roman" w:hAnsi="Times New Roman" w:eastAsia="" w:cs="Times New Roman" w:eastAsiaTheme="majorEastAsia"/>
          <w:sz w:val="24"/>
          <w:szCs w:val="24"/>
        </w:rPr>
      </w:pPr>
      <w:r>
        <w:rPr>
          <w:rFonts w:eastAsia="" w:cs="Times New Roman" w:ascii="Times New Roman" w:hAnsi="Times New Roman" w:eastAsiaTheme="majorEastAsia"/>
          <w:sz w:val="24"/>
          <w:szCs w:val="24"/>
        </w:rPr>
        <w:t>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pPr>
        <w:pStyle w:val="Normal"/>
        <w:spacing w:lineRule="auto" w:line="240" w:before="0" w:after="0"/>
        <w:jc w:val="both"/>
        <w:rPr>
          <w:rFonts w:ascii="Times New Roman" w:hAnsi="Times New Roman" w:eastAsia="" w:cs="Times New Roman" w:eastAsiaTheme="majorEastAsia"/>
          <w:sz w:val="24"/>
          <w:szCs w:val="24"/>
        </w:rPr>
      </w:pPr>
      <w:r>
        <w:rPr>
          <w:rFonts w:eastAsia="" w:cs="Times New Roman" w:ascii="Times New Roman" w:hAnsi="Times New Roman" w:eastAsiaTheme="majorEastAsia"/>
          <w:sz w:val="24"/>
          <w:szCs w:val="24"/>
        </w:rPr>
        <w:t>1.12.7. При исполнении договора по согласованию сторон допускается поставка товара, качество, технические и функциональные характеристики (потребительские свойства) которого улучшены по сравнению с указанными в договоре.</w:t>
      </w:r>
    </w:p>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r>
        <w:br w:type="page"/>
      </w:r>
    </w:p>
    <w:p>
      <w:pPr>
        <w:pStyle w:val="1"/>
        <w:spacing w:lineRule="auto" w:line="300" w:before="0" w:after="0"/>
        <w:jc w:val="center"/>
        <w:rPr>
          <w:rFonts w:ascii="Times New Roman" w:hAnsi="Times New Roman" w:eastAsia="Times New Roman" w:cs="Times New Roman"/>
          <w:b/>
          <w:bCs/>
          <w:color w:val="auto"/>
          <w:sz w:val="24"/>
          <w:szCs w:val="24"/>
        </w:rPr>
      </w:pPr>
      <w:bookmarkStart w:id="17" w:name="_Toc61615003"/>
      <w:r>
        <w:rPr>
          <w:rFonts w:eastAsia="Times New Roman" w:cs="Times New Roman" w:ascii="Times New Roman" w:hAnsi="Times New Roman"/>
          <w:b/>
          <w:bCs/>
          <w:color w:val="auto"/>
          <w:sz w:val="24"/>
          <w:szCs w:val="24"/>
        </w:rPr>
        <w:t>РАЗДЕЛ 2. ИНФОРМАЦИОННАЯ КАРТА</w:t>
      </w:r>
      <w:bookmarkEnd w:id="17"/>
    </w:p>
    <w:tbl>
      <w:tblPr>
        <w:tblW w:w="10440" w:type="dxa"/>
        <w:jc w:val="left"/>
        <w:tblInd w:w="-160" w:type="dxa"/>
        <w:tblLayout w:type="fixed"/>
        <w:tblCellMar>
          <w:top w:w="5" w:type="dxa"/>
          <w:left w:w="70" w:type="dxa"/>
          <w:bottom w:w="0" w:type="dxa"/>
          <w:right w:w="12" w:type="dxa"/>
        </w:tblCellMar>
        <w:tblLook w:firstRow="1" w:noVBand="1" w:lastRow="0" w:firstColumn="1" w:lastColumn="0" w:noHBand="0" w:val="04a0"/>
      </w:tblPr>
      <w:tblGrid>
        <w:gridCol w:w="486"/>
        <w:gridCol w:w="2529"/>
        <w:gridCol w:w="7425"/>
      </w:tblGrid>
      <w:tr>
        <w:trPr>
          <w:trHeight w:val="564" w:hRule="atLeast"/>
        </w:trPr>
        <w:tc>
          <w:tcPr>
            <w:tcW w:w="4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00" w:before="0" w:after="0"/>
              <w:rPr>
                <w:rFonts w:ascii="Times New Roman" w:hAnsi="Times New Roman" w:eastAsia="Times New Roman" w:cs="Times New Roman"/>
                <w:b/>
                <w:bCs/>
                <w:sz w:val="24"/>
                <w:szCs w:val="24"/>
                <w:lang w:eastAsia="ru-RU"/>
              </w:rPr>
            </w:pPr>
            <w:r>
              <w:rPr>
                <w:rFonts w:eastAsia="Times New Roman" w:cs="Times New Roman" w:ascii="Times New Roman" w:hAnsi="Times New Roman"/>
                <w:b/>
                <w:bCs/>
                <w:sz w:val="24"/>
                <w:szCs w:val="24"/>
                <w:lang w:eastAsia="ru-RU"/>
              </w:rPr>
              <w:t>№</w:t>
            </w:r>
          </w:p>
          <w:p>
            <w:pPr>
              <w:pStyle w:val="Normal"/>
              <w:widowControl w:val="false"/>
              <w:spacing w:lineRule="auto" w:line="300" w:before="0" w:after="0"/>
              <w:rPr>
                <w:rFonts w:ascii="Times New Roman" w:hAnsi="Times New Roman" w:eastAsia="Times New Roman" w:cs="Times New Roman"/>
                <w:b/>
                <w:bCs/>
                <w:sz w:val="24"/>
                <w:szCs w:val="24"/>
                <w:lang w:eastAsia="ru-RU"/>
              </w:rPr>
            </w:pPr>
            <w:r>
              <w:rPr>
                <w:rFonts w:eastAsia="Times New Roman" w:cs="Times New Roman" w:ascii="Times New Roman" w:hAnsi="Times New Roman"/>
                <w:b/>
                <w:bCs/>
                <w:sz w:val="24"/>
                <w:szCs w:val="24"/>
                <w:lang w:eastAsia="ru-RU"/>
              </w:rPr>
              <w:t>п/п</w:t>
            </w:r>
          </w:p>
        </w:tc>
        <w:tc>
          <w:tcPr>
            <w:tcW w:w="25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300" w:before="0" w:after="0"/>
              <w:ind w:right="60" w:hanging="0"/>
              <w:jc w:val="center"/>
              <w:rPr>
                <w:rFonts w:ascii="Times New Roman" w:hAnsi="Times New Roman" w:eastAsia="Times New Roman" w:cs="Times New Roman"/>
                <w:b/>
                <w:bCs/>
                <w:sz w:val="24"/>
                <w:szCs w:val="24"/>
                <w:lang w:eastAsia="ru-RU"/>
              </w:rPr>
            </w:pPr>
            <w:r>
              <w:rPr>
                <w:rFonts w:eastAsia="Times New Roman" w:cs="Times New Roman" w:ascii="Times New Roman" w:hAnsi="Times New Roman"/>
                <w:b/>
                <w:bCs/>
                <w:sz w:val="24"/>
                <w:szCs w:val="24"/>
                <w:lang w:eastAsia="ru-RU"/>
              </w:rPr>
              <w:t>Наименование п/п</w:t>
            </w:r>
          </w:p>
        </w:tc>
        <w:tc>
          <w:tcPr>
            <w:tcW w:w="74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300" w:before="0" w:after="0"/>
              <w:ind w:right="137" w:hanging="0"/>
              <w:jc w:val="center"/>
              <w:rPr>
                <w:rFonts w:ascii="Times New Roman" w:hAnsi="Times New Roman" w:eastAsia="Times New Roman" w:cs="Times New Roman"/>
                <w:b/>
                <w:bCs/>
                <w:sz w:val="24"/>
                <w:szCs w:val="24"/>
                <w:lang w:eastAsia="ru-RU"/>
              </w:rPr>
            </w:pPr>
            <w:r>
              <w:rPr>
                <w:rFonts w:eastAsia="Times New Roman" w:cs="Times New Roman" w:ascii="Times New Roman" w:hAnsi="Times New Roman"/>
                <w:b/>
                <w:bCs/>
                <w:sz w:val="24"/>
                <w:szCs w:val="24"/>
                <w:lang w:eastAsia="ru-RU"/>
              </w:rPr>
              <w:t>Содержание</w:t>
            </w:r>
          </w:p>
        </w:tc>
      </w:tr>
      <w:tr>
        <w:trPr>
          <w:trHeight w:val="2367" w:hRule="atLeast"/>
        </w:trPr>
        <w:tc>
          <w:tcPr>
            <w:tcW w:w="486"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1"/>
              </w:numPr>
              <w:spacing w:lineRule="auto" w:line="300"/>
              <w:ind w:left="0" w:hanging="0"/>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25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60"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Наименование заказчика, контактная информация</w:t>
            </w:r>
          </w:p>
        </w:tc>
        <w:tc>
          <w:tcPr>
            <w:tcW w:w="74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137" w:hanging="0"/>
              <w:jc w:val="both"/>
              <w:rPr>
                <w:rFonts w:ascii="Times New Roman" w:hAnsi="Times New Roman" w:cs="Times New Roman"/>
                <w:sz w:val="24"/>
                <w:szCs w:val="24"/>
                <w:lang w:eastAsia="ru-RU"/>
              </w:rPr>
            </w:pPr>
            <w:r>
              <w:rPr>
                <w:rFonts w:cs="Times New Roman" w:ascii="Times New Roman" w:hAnsi="Times New Roman"/>
                <w:sz w:val="24"/>
                <w:szCs w:val="24"/>
                <w:lang w:eastAsia="ru-RU"/>
              </w:rPr>
              <w:t>Наименование (полное): АО «Региональная сетевая компания», сокращенное наименование АО «РCК» 620017, Свердловская область, г. Екатеринбург, переулок Полимерный д. 4</w:t>
            </w:r>
          </w:p>
          <w:p>
            <w:pPr>
              <w:pStyle w:val="Normal"/>
              <w:widowControl w:val="false"/>
              <w:spacing w:lineRule="auto" w:line="240" w:before="0" w:after="0"/>
              <w:ind w:right="137" w:hanging="0"/>
              <w:jc w:val="both"/>
              <w:rPr>
                <w:rFonts w:ascii="Times New Roman" w:hAnsi="Times New Roman" w:cs="Times New Roman"/>
                <w:sz w:val="24"/>
                <w:szCs w:val="24"/>
                <w:lang w:eastAsia="ru-RU"/>
              </w:rPr>
            </w:pPr>
            <w:r>
              <w:rPr>
                <w:rFonts w:cs="Times New Roman" w:ascii="Times New Roman" w:hAnsi="Times New Roman"/>
                <w:sz w:val="24"/>
                <w:szCs w:val="24"/>
                <w:lang w:eastAsia="ru-RU"/>
              </w:rPr>
              <w:t>Почтовый адрес: 620017, Свердловская область, г. Екатеринбург, переулок Полимерный д. 4</w:t>
            </w:r>
          </w:p>
          <w:p>
            <w:pPr>
              <w:pStyle w:val="Normal"/>
              <w:widowControl w:val="false"/>
              <w:spacing w:lineRule="auto" w:line="240" w:before="0" w:after="0"/>
              <w:ind w:right="137" w:hanging="0"/>
              <w:jc w:val="both"/>
              <w:rPr>
                <w:rFonts w:ascii="Times New Roman" w:hAnsi="Times New Roman" w:cs="Times New Roman"/>
                <w:sz w:val="24"/>
                <w:szCs w:val="24"/>
                <w:lang w:eastAsia="ru-RU"/>
              </w:rPr>
            </w:pPr>
            <w:r>
              <w:rPr>
                <w:rFonts w:cs="Times New Roman" w:ascii="Times New Roman" w:hAnsi="Times New Roman"/>
                <w:sz w:val="24"/>
                <w:szCs w:val="24"/>
                <w:lang w:eastAsia="ru-RU"/>
              </w:rPr>
              <w:t xml:space="preserve">Контактное лицо: начальник отдела закупок Новиков Владимир Валерьевич (343) </w:t>
            </w:r>
            <w:r>
              <w:rPr>
                <w:rFonts w:cs="Times New Roman" w:ascii="Times New Roman" w:hAnsi="Times New Roman"/>
                <w:sz w:val="24"/>
                <w:szCs w:val="24"/>
                <w:lang w:val="en-US" w:eastAsia="ru-RU"/>
              </w:rPr>
              <w:t>227-14-55</w:t>
            </w:r>
            <w:r>
              <w:rPr>
                <w:rFonts w:cs="Times New Roman" w:ascii="Times New Roman" w:hAnsi="Times New Roman"/>
                <w:sz w:val="24"/>
                <w:szCs w:val="24"/>
                <w:lang w:eastAsia="ru-RU"/>
              </w:rPr>
              <w:t xml:space="preserve"> доб.: 1708</w:t>
            </w:r>
          </w:p>
          <w:p>
            <w:pPr>
              <w:pStyle w:val="Normal"/>
              <w:widowControl w:val="false"/>
              <w:spacing w:lineRule="auto" w:line="240" w:before="0" w:after="0"/>
              <w:ind w:right="137" w:hanging="0"/>
              <w:jc w:val="both"/>
              <w:rPr>
                <w:rFonts w:ascii="Times New Roman" w:hAnsi="Times New Roman" w:cs="Times New Roman"/>
                <w:sz w:val="24"/>
                <w:szCs w:val="24"/>
                <w:lang w:eastAsia="ru-RU"/>
              </w:rPr>
            </w:pPr>
            <w:r>
              <w:rPr>
                <w:rFonts w:cs="Times New Roman" w:ascii="Times New Roman" w:hAnsi="Times New Roman"/>
                <w:sz w:val="24"/>
                <w:szCs w:val="24"/>
                <w:lang w:eastAsia="ru-RU"/>
              </w:rPr>
              <w:t xml:space="preserve">Адрес электронной почты   </w:t>
            </w:r>
            <w:r>
              <w:rPr>
                <w:rFonts w:cs="Times New Roman" w:ascii="Times New Roman" w:hAnsi="Times New Roman"/>
                <w:sz w:val="24"/>
                <w:szCs w:val="24"/>
                <w:lang w:val="en-US" w:eastAsia="ru-RU"/>
              </w:rPr>
              <w:t>v</w:t>
            </w:r>
            <w:r>
              <w:rPr>
                <w:rFonts w:cs="Times New Roman" w:ascii="Times New Roman" w:hAnsi="Times New Roman"/>
                <w:sz w:val="24"/>
                <w:szCs w:val="24"/>
                <w:lang w:eastAsia="ru-RU"/>
              </w:rPr>
              <w:t>.</w:t>
            </w:r>
            <w:r>
              <w:rPr>
                <w:rFonts w:cs="Times New Roman" w:ascii="Times New Roman" w:hAnsi="Times New Roman"/>
                <w:sz w:val="24"/>
                <w:szCs w:val="24"/>
                <w:lang w:val="en-US" w:eastAsia="ru-RU"/>
              </w:rPr>
              <w:t>novikov</w:t>
            </w:r>
            <w:r>
              <w:rPr>
                <w:rFonts w:cs="Times New Roman" w:ascii="Times New Roman" w:hAnsi="Times New Roman"/>
                <w:sz w:val="24"/>
                <w:szCs w:val="24"/>
                <w:lang w:eastAsia="ru-RU"/>
              </w:rPr>
              <w:t>@sv-rsk.ru</w:t>
            </w:r>
          </w:p>
          <w:p>
            <w:pPr>
              <w:pStyle w:val="Normal"/>
              <w:widowControl w:val="false"/>
              <w:spacing w:lineRule="auto" w:line="240" w:before="0" w:after="0"/>
              <w:ind w:right="137" w:hanging="0"/>
              <w:jc w:val="both"/>
              <w:rPr>
                <w:rFonts w:ascii="Times New Roman" w:hAnsi="Times New Roman" w:cs="Times New Roman"/>
                <w:sz w:val="24"/>
                <w:szCs w:val="24"/>
                <w:lang w:eastAsia="ru-RU"/>
              </w:rPr>
            </w:pPr>
            <w:r>
              <w:rPr>
                <w:rFonts w:cs="Times New Roman" w:ascii="Times New Roman" w:hAnsi="Times New Roman"/>
                <w:sz w:val="24"/>
                <w:szCs w:val="24"/>
                <w:lang w:eastAsia="ru-RU"/>
              </w:rPr>
              <w:t xml:space="preserve">По вопросам ТЗ: </w:t>
            </w:r>
            <w:r>
              <w:rPr>
                <w:rFonts w:cs="Times New Roman" w:ascii="Times New Roman" w:hAnsi="Times New Roman"/>
                <w:b/>
                <w:bCs/>
                <w:sz w:val="24"/>
                <w:szCs w:val="24"/>
                <w:lang w:eastAsia="ru-RU"/>
              </w:rPr>
              <w:t xml:space="preserve">начальник отдела ПТО </w:t>
            </w:r>
            <w:r>
              <w:rPr>
                <w:rFonts w:cs="Arial" w:ascii="Times New Roman" w:hAnsi="Times New Roman"/>
                <w:b/>
                <w:bCs/>
                <w:sz w:val="24"/>
                <w:szCs w:val="24"/>
                <w:lang w:eastAsia="ru-RU"/>
              </w:rPr>
              <w:t>Давыдов Николай Сергеевич</w:t>
            </w:r>
          </w:p>
          <w:p>
            <w:pPr>
              <w:pStyle w:val="Normal"/>
              <w:widowControl w:val="false"/>
              <w:spacing w:lineRule="auto" w:line="240" w:before="0" w:after="0"/>
              <w:ind w:right="137" w:hanging="0"/>
              <w:jc w:val="both"/>
              <w:rPr>
                <w:rFonts w:ascii="Times New Roman" w:hAnsi="Times New Roman" w:cs="Times New Roman"/>
                <w:sz w:val="24"/>
                <w:szCs w:val="24"/>
                <w:lang w:eastAsia="ru-RU"/>
              </w:rPr>
            </w:pPr>
            <w:r>
              <w:rPr>
                <w:rFonts w:cs="Times New Roman" w:ascii="Times New Roman" w:hAnsi="Times New Roman"/>
                <w:sz w:val="24"/>
                <w:szCs w:val="24"/>
                <w:lang w:eastAsia="ru-RU"/>
              </w:rPr>
              <w:t xml:space="preserve">(343) </w:t>
            </w:r>
            <w:r>
              <w:rPr>
                <w:rFonts w:cs="Times New Roman" w:ascii="Times New Roman" w:hAnsi="Times New Roman"/>
                <w:sz w:val="24"/>
                <w:szCs w:val="24"/>
                <w:lang w:val="en-US" w:eastAsia="ru-RU"/>
              </w:rPr>
              <w:t>227-14-55</w:t>
            </w:r>
            <w:r>
              <w:rPr>
                <w:rFonts w:cs="Times New Roman" w:ascii="Times New Roman" w:hAnsi="Times New Roman"/>
                <w:sz w:val="24"/>
                <w:szCs w:val="24"/>
                <w:lang w:eastAsia="ru-RU"/>
              </w:rPr>
              <w:t xml:space="preserve">  доб.:17</w:t>
            </w:r>
            <w:r>
              <w:rPr>
                <w:rFonts w:cs="Times New Roman" w:ascii="Times New Roman" w:hAnsi="Times New Roman"/>
                <w:color w:val="000000"/>
                <w:sz w:val="24"/>
                <w:szCs w:val="24"/>
                <w:lang w:eastAsia="ru-RU"/>
              </w:rPr>
              <w:t>16</w:t>
            </w:r>
          </w:p>
          <w:p>
            <w:pPr>
              <w:pStyle w:val="Normal"/>
              <w:widowControl w:val="false"/>
              <w:spacing w:lineRule="auto" w:line="240" w:before="0" w:after="0"/>
              <w:ind w:right="137" w:hanging="0"/>
              <w:jc w:val="both"/>
              <w:rPr>
                <w:rFonts w:ascii="Times New Roman" w:hAnsi="Times New Roman" w:cs="Times New Roman"/>
                <w:sz w:val="24"/>
                <w:szCs w:val="24"/>
                <w:lang w:eastAsia="ru-RU"/>
              </w:rPr>
            </w:pPr>
            <w:r>
              <w:rPr>
                <w:rFonts w:cs="Times New Roman" w:ascii="Times New Roman" w:hAnsi="Times New Roman"/>
                <w:sz w:val="24"/>
                <w:szCs w:val="24"/>
                <w:lang w:eastAsia="ru-RU"/>
              </w:rPr>
              <w:t xml:space="preserve">Адрес сайта Заказчика: </w:t>
            </w:r>
            <w:hyperlink r:id="rId4">
              <w:r>
                <w:rPr>
                  <w:rFonts w:cs="Times New Roman" w:ascii="Times New Roman" w:hAnsi="Times New Roman"/>
                  <w:sz w:val="24"/>
                  <w:szCs w:val="24"/>
                  <w:lang w:eastAsia="ru-RU"/>
                </w:rPr>
                <w:t>www.sv-rsk.ru</w:t>
              </w:r>
            </w:hyperlink>
          </w:p>
        </w:tc>
      </w:tr>
      <w:tr>
        <w:trPr>
          <w:trHeight w:val="2367" w:hRule="atLeast"/>
        </w:trPr>
        <w:tc>
          <w:tcPr>
            <w:tcW w:w="486"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1"/>
              </w:numPr>
              <w:spacing w:lineRule="auto" w:line="300"/>
              <w:ind w:left="0" w:hanging="0"/>
              <w:rPr>
                <w:rFonts w:ascii="Times New Roman" w:hAnsi="Times New Roman" w:cs="Times New Roman"/>
                <w:color w:val="2E74B5"/>
                <w:sz w:val="24"/>
                <w:szCs w:val="24"/>
                <w:lang w:eastAsia="ru-RU"/>
              </w:rPr>
            </w:pPr>
            <w:r>
              <w:rPr>
                <w:rFonts w:cs="Times New Roman" w:ascii="Times New Roman" w:hAnsi="Times New Roman"/>
                <w:color w:val="2E74B5"/>
                <w:sz w:val="24"/>
                <w:szCs w:val="24"/>
                <w:lang w:eastAsia="ru-RU"/>
              </w:rPr>
            </w:r>
          </w:p>
        </w:tc>
        <w:tc>
          <w:tcPr>
            <w:tcW w:w="25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60"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Наименование организатора закупки, контактная информация</w:t>
            </w:r>
          </w:p>
        </w:tc>
        <w:tc>
          <w:tcPr>
            <w:tcW w:w="74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137" w:hanging="0"/>
              <w:jc w:val="both"/>
              <w:rPr>
                <w:rFonts w:ascii="Times New Roman" w:hAnsi="Times New Roman" w:cs="Times New Roman"/>
                <w:sz w:val="24"/>
                <w:szCs w:val="24"/>
                <w:lang w:eastAsia="ru-RU"/>
              </w:rPr>
            </w:pPr>
            <w:r>
              <w:rPr>
                <w:rFonts w:cs="Times New Roman" w:ascii="Times New Roman" w:hAnsi="Times New Roman"/>
                <w:sz w:val="24"/>
                <w:szCs w:val="24"/>
                <w:lang w:eastAsia="ru-RU"/>
              </w:rPr>
              <w:t>Наименование (полное): АО «Региональная сетевая компания», сокращенное наименование АО «РCК» 620017, Свердловская область, г. Екатеринбург, переулок Полимерный д. 4</w:t>
            </w:r>
          </w:p>
          <w:p>
            <w:pPr>
              <w:pStyle w:val="Normal"/>
              <w:widowControl w:val="false"/>
              <w:spacing w:lineRule="auto" w:line="240" w:before="0" w:after="0"/>
              <w:ind w:right="137" w:hanging="0"/>
              <w:jc w:val="both"/>
              <w:rPr>
                <w:rFonts w:ascii="Times New Roman" w:hAnsi="Times New Roman" w:cs="Times New Roman"/>
                <w:sz w:val="24"/>
                <w:szCs w:val="24"/>
                <w:lang w:eastAsia="ru-RU"/>
              </w:rPr>
            </w:pPr>
            <w:r>
              <w:rPr>
                <w:rFonts w:cs="Times New Roman" w:ascii="Times New Roman" w:hAnsi="Times New Roman"/>
                <w:sz w:val="24"/>
                <w:szCs w:val="24"/>
                <w:lang w:eastAsia="ru-RU"/>
              </w:rPr>
              <w:t>Почтовый адрес: 620017, Свердловская область, г. Екатеринбург, переулок Полимерный д. 4</w:t>
            </w:r>
          </w:p>
          <w:p>
            <w:pPr>
              <w:pStyle w:val="Normal"/>
              <w:widowControl w:val="false"/>
              <w:spacing w:lineRule="auto" w:line="240" w:before="0" w:after="0"/>
              <w:ind w:right="137" w:hanging="0"/>
              <w:jc w:val="both"/>
              <w:rPr>
                <w:rFonts w:ascii="Times New Roman" w:hAnsi="Times New Roman" w:cs="Times New Roman"/>
                <w:sz w:val="24"/>
                <w:szCs w:val="24"/>
                <w:lang w:eastAsia="ru-RU"/>
              </w:rPr>
            </w:pPr>
            <w:r>
              <w:rPr>
                <w:rFonts w:cs="Times New Roman" w:ascii="Times New Roman" w:hAnsi="Times New Roman"/>
                <w:sz w:val="24"/>
                <w:szCs w:val="24"/>
                <w:lang w:eastAsia="ru-RU"/>
              </w:rPr>
              <w:t>Контактное лицо: начальник отдела закупок Новиков Владимир Валерьевич (343) 227-14-55 доб.: 1708</w:t>
            </w:r>
          </w:p>
          <w:p>
            <w:pPr>
              <w:pStyle w:val="Normal"/>
              <w:widowControl w:val="false"/>
              <w:spacing w:lineRule="auto" w:line="240" w:before="0" w:after="0"/>
              <w:ind w:right="137" w:hanging="0"/>
              <w:jc w:val="both"/>
              <w:rPr>
                <w:rFonts w:ascii="Times New Roman" w:hAnsi="Times New Roman" w:cs="Times New Roman"/>
                <w:sz w:val="24"/>
                <w:szCs w:val="24"/>
                <w:lang w:eastAsia="ru-RU"/>
              </w:rPr>
            </w:pPr>
            <w:r>
              <w:rPr>
                <w:rFonts w:cs="Times New Roman" w:ascii="Times New Roman" w:hAnsi="Times New Roman"/>
                <w:sz w:val="24"/>
                <w:szCs w:val="24"/>
                <w:lang w:eastAsia="ru-RU"/>
              </w:rPr>
              <w:t xml:space="preserve">Адрес электронной почты   </w:t>
            </w:r>
            <w:r>
              <w:rPr>
                <w:rFonts w:cs="Times New Roman" w:ascii="Times New Roman" w:hAnsi="Times New Roman"/>
                <w:sz w:val="24"/>
                <w:szCs w:val="24"/>
                <w:lang w:val="en-US" w:eastAsia="ru-RU"/>
              </w:rPr>
              <w:t>v</w:t>
            </w:r>
            <w:r>
              <w:rPr>
                <w:rFonts w:cs="Times New Roman" w:ascii="Times New Roman" w:hAnsi="Times New Roman"/>
                <w:sz w:val="24"/>
                <w:szCs w:val="24"/>
                <w:lang w:eastAsia="ru-RU"/>
              </w:rPr>
              <w:t>.</w:t>
            </w:r>
            <w:r>
              <w:rPr>
                <w:rFonts w:cs="Times New Roman" w:ascii="Times New Roman" w:hAnsi="Times New Roman"/>
                <w:sz w:val="24"/>
                <w:szCs w:val="24"/>
                <w:lang w:val="en-US" w:eastAsia="ru-RU"/>
              </w:rPr>
              <w:t>novikov</w:t>
            </w:r>
            <w:r>
              <w:rPr>
                <w:rFonts w:cs="Times New Roman" w:ascii="Times New Roman" w:hAnsi="Times New Roman"/>
                <w:sz w:val="24"/>
                <w:szCs w:val="24"/>
                <w:lang w:eastAsia="ru-RU"/>
              </w:rPr>
              <w:t>@sv-rsk.ru</w:t>
            </w:r>
          </w:p>
          <w:p>
            <w:pPr>
              <w:pStyle w:val="Normal"/>
              <w:widowControl w:val="false"/>
              <w:spacing w:lineRule="auto" w:line="240" w:before="0" w:after="0"/>
              <w:ind w:right="137" w:hanging="0"/>
              <w:jc w:val="both"/>
              <w:rPr>
                <w:b/>
                <w:bCs/>
              </w:rPr>
            </w:pPr>
            <w:r>
              <w:rPr>
                <w:rFonts w:cs="Times New Roman" w:ascii="Times New Roman" w:hAnsi="Times New Roman"/>
                <w:b/>
                <w:bCs/>
                <w:sz w:val="24"/>
                <w:szCs w:val="24"/>
                <w:lang w:eastAsia="ru-RU"/>
              </w:rPr>
              <w:t xml:space="preserve">По вопросам ТЗ: начальник отдела ПТО </w:t>
            </w:r>
            <w:r>
              <w:rPr>
                <w:rFonts w:cs="Arial" w:ascii="Times New Roman" w:hAnsi="Times New Roman"/>
                <w:b/>
                <w:bCs/>
                <w:sz w:val="24"/>
                <w:szCs w:val="24"/>
                <w:lang w:eastAsia="ru-RU"/>
              </w:rPr>
              <w:t>Давыдов Николай Сергеевич</w:t>
            </w:r>
          </w:p>
          <w:p>
            <w:pPr>
              <w:pStyle w:val="Normal"/>
              <w:widowControl w:val="false"/>
              <w:spacing w:lineRule="auto" w:line="240" w:before="0" w:after="0"/>
              <w:ind w:right="137" w:hanging="0"/>
              <w:jc w:val="both"/>
              <w:rPr>
                <w:b/>
                <w:bCs/>
              </w:rPr>
            </w:pPr>
            <w:r>
              <w:rPr>
                <w:rFonts w:cs="Times New Roman" w:ascii="Times New Roman" w:hAnsi="Times New Roman"/>
                <w:b/>
                <w:bCs/>
                <w:sz w:val="24"/>
                <w:szCs w:val="24"/>
                <w:lang w:eastAsia="ru-RU"/>
              </w:rPr>
              <w:t>(343) 227-14-55  доб.:1716</w:t>
            </w:r>
          </w:p>
          <w:p>
            <w:pPr>
              <w:pStyle w:val="Normal"/>
              <w:widowControl w:val="false"/>
              <w:spacing w:lineRule="auto" w:line="240" w:before="0" w:after="0"/>
              <w:ind w:right="137" w:hanging="0"/>
              <w:jc w:val="both"/>
              <w:rPr>
                <w:rFonts w:ascii="Times New Roman" w:hAnsi="Times New Roman" w:cs="Times New Roman"/>
                <w:sz w:val="24"/>
                <w:szCs w:val="24"/>
                <w:lang w:eastAsia="ru-RU"/>
              </w:rPr>
            </w:pPr>
            <w:r>
              <w:rPr>
                <w:rFonts w:cs="Times New Roman" w:ascii="Times New Roman" w:hAnsi="Times New Roman"/>
                <w:sz w:val="24"/>
                <w:szCs w:val="24"/>
                <w:lang w:eastAsia="ru-RU"/>
              </w:rPr>
              <w:t>Адрес сайта Заказчика: www.sv-rsk.ru</w:t>
            </w:r>
          </w:p>
        </w:tc>
      </w:tr>
      <w:tr>
        <w:trPr>
          <w:trHeight w:val="125" w:hRule="atLeast"/>
        </w:trPr>
        <w:tc>
          <w:tcPr>
            <w:tcW w:w="486"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1"/>
              </w:numPr>
              <w:spacing w:lineRule="auto" w:line="300"/>
              <w:ind w:left="0" w:hanging="0"/>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25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60"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Место размещения информации</w:t>
            </w:r>
          </w:p>
        </w:tc>
        <w:tc>
          <w:tcPr>
            <w:tcW w:w="74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137" w:hanging="0"/>
              <w:jc w:val="both"/>
              <w:rPr/>
            </w:pPr>
            <w:r>
              <w:rPr>
                <w:rFonts w:eastAsia="" w:cs="" w:ascii="Times New Roman" w:hAnsi="Times New Roman" w:cstheme="majorBidi" w:eastAsiaTheme="majorEastAsia"/>
                <w:color w:val="000000"/>
                <w:sz w:val="24"/>
                <w:szCs w:val="24"/>
                <w:lang w:eastAsia="ru-RU"/>
              </w:rPr>
              <w:t xml:space="preserve">ЭТП Регион </w:t>
            </w:r>
            <w:r>
              <w:rPr>
                <w:rStyle w:val="12"/>
                <w:rFonts w:eastAsia="" w:cs="" w:ascii="Times New Roman" w:hAnsi="Times New Roman" w:cstheme="majorBidi" w:eastAsiaTheme="majorEastAsia"/>
                <w:color w:val="000000"/>
                <w:sz w:val="24"/>
                <w:szCs w:val="24"/>
                <w:lang w:eastAsia="ru-RU"/>
              </w:rPr>
              <w:t>https://etp-region.ru</w:t>
            </w:r>
          </w:p>
          <w:p>
            <w:pPr>
              <w:pStyle w:val="Normal"/>
              <w:widowControl w:val="false"/>
              <w:spacing w:lineRule="auto" w:line="240" w:before="0" w:after="0"/>
              <w:ind w:right="137" w:hanging="0"/>
              <w:jc w:val="both"/>
              <w:rPr>
                <w:rStyle w:val="12"/>
                <w:rFonts w:ascii="Times New Roman" w:hAnsi="Times New Roman" w:eastAsia="" w:cs="" w:cstheme="majorBidi" w:eastAsiaTheme="majorEastAsia"/>
                <w:color w:val="000000"/>
                <w:sz w:val="24"/>
                <w:szCs w:val="24"/>
                <w:lang w:eastAsia="ru-RU"/>
              </w:rPr>
            </w:pPr>
            <w:r>
              <w:rPr>
                <w:rFonts w:eastAsia="" w:cs="" w:cstheme="majorBidi" w:eastAsiaTheme="majorEastAsia" w:ascii="Times New Roman" w:hAnsi="Times New Roman"/>
                <w:color w:val="000000"/>
                <w:sz w:val="24"/>
                <w:szCs w:val="24"/>
                <w:lang w:eastAsia="ru-RU"/>
              </w:rPr>
            </w:r>
          </w:p>
        </w:tc>
      </w:tr>
      <w:tr>
        <w:trPr>
          <w:trHeight w:val="125" w:hRule="atLeast"/>
        </w:trPr>
        <w:tc>
          <w:tcPr>
            <w:tcW w:w="486"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1"/>
              </w:numPr>
              <w:spacing w:lineRule="auto" w:line="300"/>
              <w:ind w:left="0" w:hanging="0"/>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25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60"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Способ закупки</w:t>
            </w:r>
          </w:p>
        </w:tc>
        <w:tc>
          <w:tcPr>
            <w:tcW w:w="74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137"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Конкурс в электронной форме</w:t>
            </w:r>
          </w:p>
          <w:p>
            <w:pPr>
              <w:pStyle w:val="Normal"/>
              <w:widowControl w:val="false"/>
              <w:spacing w:lineRule="auto" w:line="240" w:before="0" w:after="0"/>
              <w:ind w:right="137"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19"/>
              <w:widowControl w:val="false"/>
              <w:ind w:right="137" w:hanging="0"/>
              <w:jc w:val="both"/>
              <w:rPr>
                <w:rFonts w:ascii="Times New Roman" w:hAnsi="Times New Roman" w:cs="Times New Roman"/>
                <w:sz w:val="24"/>
                <w:szCs w:val="24"/>
                <w:lang w:eastAsia="ru-RU"/>
              </w:rPr>
            </w:pPr>
            <w:r>
              <w:rPr>
                <w:rFonts w:cs="Times New Roman" w:ascii="Times New Roman" w:hAnsi="Times New Roman"/>
                <w:sz w:val="24"/>
                <w:szCs w:val="24"/>
                <w:lang w:eastAsia="ru-RU"/>
              </w:rPr>
              <w:t>Конкурс в электронной форме проводится согласно Положению о закупке товаров, работ, услуг для нужд АО «Региональная сетевая компания», а также на основании Федерального Закона №223-ФЗ «О закупках товаров, работ, услуг отдельными видами юридических лиц» от 18.07.2011 г.</w:t>
            </w:r>
          </w:p>
        </w:tc>
      </w:tr>
      <w:tr>
        <w:trPr>
          <w:trHeight w:val="948" w:hRule="atLeast"/>
        </w:trPr>
        <w:tc>
          <w:tcPr>
            <w:tcW w:w="486"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1"/>
              </w:numPr>
              <w:spacing w:lineRule="auto" w:line="300"/>
              <w:ind w:left="0" w:hanging="0"/>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25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60" w:hanging="0"/>
              <w:jc w:val="both"/>
              <w:rPr>
                <w:rFonts w:ascii="Times New Roman" w:hAnsi="Times New Roman"/>
                <w:sz w:val="24"/>
                <w:szCs w:val="24"/>
                <w:lang w:eastAsia="ru-RU"/>
              </w:rPr>
            </w:pPr>
            <w:r>
              <w:rPr>
                <w:rFonts w:ascii="Times New Roman" w:hAnsi="Times New Roman"/>
                <w:sz w:val="24"/>
                <w:szCs w:val="24"/>
                <w:lang w:eastAsia="ru-RU"/>
              </w:rPr>
              <w:t>Наименование и описание объекта закупки</w:t>
            </w:r>
          </w:p>
        </w:tc>
        <w:tc>
          <w:tcPr>
            <w:tcW w:w="7425"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Lines/>
              <w:widowControl w:val="false"/>
              <w:tabs>
                <w:tab w:val="clear" w:pos="408"/>
                <w:tab w:val="left" w:pos="1134" w:leader="none"/>
              </w:tabs>
              <w:spacing w:lineRule="auto" w:line="240" w:before="0" w:after="0"/>
              <w:ind w:right="126" w:hanging="0"/>
              <w:jc w:val="both"/>
              <w:textAlignment w:val="baseline"/>
              <w:rPr/>
            </w:pPr>
            <w:r>
              <w:rPr>
                <w:rFonts w:cs="Times New Roman" w:ascii="Times New Roman" w:hAnsi="Times New Roman"/>
                <w:b/>
                <w:bCs/>
                <w:i/>
                <w:iCs/>
                <w:color w:val="000000"/>
                <w:sz w:val="24"/>
                <w:szCs w:val="24"/>
              </w:rPr>
              <w:t>Выполнение  работ в электрических сетях 0,22 - 110 кВ на территории городов  Свердловской области.</w:t>
            </w:r>
          </w:p>
          <w:p>
            <w:pPr>
              <w:pStyle w:val="BodyText2"/>
              <w:widowControl w:val="false"/>
              <w:spacing w:lineRule="auto" w:line="240" w:before="0" w:after="0"/>
              <w:ind w:right="126" w:hanging="0"/>
              <w:contextualSpacing/>
              <w:jc w:val="both"/>
              <w:rPr>
                <w:rFonts w:ascii="Times New Roman" w:hAnsi="Times New Roman"/>
                <w:sz w:val="24"/>
                <w:szCs w:val="24"/>
              </w:rPr>
            </w:pPr>
            <w:r>
              <w:rPr>
                <w:rFonts w:ascii="Times New Roman" w:hAnsi="Times New Roman"/>
                <w:sz w:val="24"/>
                <w:szCs w:val="24"/>
                <w:lang w:eastAsia="ru-RU"/>
              </w:rPr>
              <w:t>Полная характеристика объема оказываемых услуг и описание объекта закупки в соответствии с ПРОЕКТОМ ДОГОВОРА,</w:t>
            </w:r>
            <w:r>
              <w:rPr>
                <w:rFonts w:ascii="Times New Roman" w:hAnsi="Times New Roman"/>
                <w:bCs/>
                <w:spacing w:val="-4"/>
                <w:sz w:val="24"/>
                <w:szCs w:val="24"/>
                <w:lang w:eastAsia="ru-RU"/>
              </w:rPr>
              <w:t xml:space="preserve"> ТЕХНИЧЕСКИМ ЗАДАНИЕМ</w:t>
            </w:r>
          </w:p>
        </w:tc>
      </w:tr>
      <w:tr>
        <w:trPr>
          <w:trHeight w:val="72" w:hRule="atLeast"/>
        </w:trPr>
        <w:tc>
          <w:tcPr>
            <w:tcW w:w="486"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1"/>
              </w:numPr>
              <w:spacing w:lineRule="auto" w:line="300"/>
              <w:ind w:left="0" w:hanging="0"/>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25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60"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Источник финансирования</w:t>
            </w:r>
          </w:p>
        </w:tc>
        <w:tc>
          <w:tcPr>
            <w:tcW w:w="74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137" w:hanging="0"/>
              <w:jc w:val="both"/>
              <w:rPr>
                <w:rFonts w:ascii="Times New Roman" w:hAnsi="Times New Roman" w:cs="Times New Roman"/>
                <w:sz w:val="24"/>
                <w:szCs w:val="24"/>
                <w:lang w:eastAsia="ru-RU"/>
              </w:rPr>
            </w:pPr>
            <w:r>
              <w:rPr>
                <w:rFonts w:cs="Times New Roman" w:ascii="Times New Roman" w:hAnsi="Times New Roman"/>
                <w:sz w:val="24"/>
                <w:szCs w:val="24"/>
                <w:lang w:eastAsia="ru-RU"/>
              </w:rPr>
              <w:t>Собственные средства АО «РСК»</w:t>
            </w:r>
          </w:p>
        </w:tc>
      </w:tr>
      <w:tr>
        <w:trPr>
          <w:trHeight w:val="72" w:hRule="atLeast"/>
        </w:trPr>
        <w:tc>
          <w:tcPr>
            <w:tcW w:w="486" w:type="dxa"/>
            <w:tcBorders>
              <w:top w:val="single" w:sz="4" w:space="0" w:color="000000"/>
              <w:left w:val="single" w:sz="4" w:space="0" w:color="000000"/>
              <w:right w:val="single" w:sz="4" w:space="0" w:color="000000"/>
            </w:tcBorders>
            <w:shd w:color="auto" w:fill="auto" w:val="clear"/>
          </w:tcPr>
          <w:p>
            <w:pPr>
              <w:pStyle w:val="ListParagraph"/>
              <w:widowControl w:val="false"/>
              <w:numPr>
                <w:ilvl w:val="0"/>
                <w:numId w:val="1"/>
              </w:numPr>
              <w:spacing w:lineRule="auto" w:line="300"/>
              <w:ind w:left="0" w:hanging="0"/>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25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60" w:hanging="0"/>
              <w:jc w:val="both"/>
              <w:rPr/>
            </w:pPr>
            <w:r>
              <w:rPr>
                <w:rFonts w:eastAsia="Times New Roman" w:cs="Times New Roman" w:ascii="Times New Roman" w:hAnsi="Times New Roman"/>
                <w:color w:val="000000"/>
                <w:sz w:val="24"/>
                <w:szCs w:val="24"/>
                <w:lang w:eastAsia="ru-RU"/>
              </w:rPr>
              <w:t>Сведения о начальной (максимальной) цене договора</w:t>
            </w:r>
          </w:p>
        </w:tc>
        <w:tc>
          <w:tcPr>
            <w:tcW w:w="74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rPr/>
            </w:pPr>
            <w:r>
              <w:rPr>
                <w:rFonts w:ascii="Times New Roman" w:hAnsi="Times New Roman"/>
                <w:b/>
                <w:sz w:val="24"/>
                <w:szCs w:val="24"/>
              </w:rPr>
              <w:t xml:space="preserve">Максимальная цена Договора: </w:t>
            </w:r>
            <w:r>
              <w:rPr>
                <w:rFonts w:ascii="Times New Roman" w:hAnsi="Times New Roman"/>
                <w:b/>
                <w:bCs/>
                <w:sz w:val="24"/>
                <w:szCs w:val="24"/>
              </w:rPr>
              <w:t xml:space="preserve"> </w:t>
            </w:r>
            <w:r>
              <w:rPr>
                <w:rFonts w:ascii="Times New Roman" w:hAnsi="Times New Roman"/>
                <w:b/>
                <w:bCs/>
                <w:sz w:val="24"/>
                <w:szCs w:val="24"/>
                <w:lang w:val="en-US"/>
              </w:rPr>
              <w:t>2</w:t>
            </w:r>
            <w:r>
              <w:rPr>
                <w:rFonts w:ascii="Times New Roman" w:hAnsi="Times New Roman"/>
                <w:b/>
                <w:bCs/>
                <w:sz w:val="24"/>
                <w:szCs w:val="24"/>
              </w:rPr>
              <w:t>0 000 000 (</w:t>
            </w:r>
            <w:r>
              <w:rPr>
                <w:rFonts w:ascii="Times New Roman" w:hAnsi="Times New Roman"/>
                <w:b/>
                <w:bCs/>
                <w:sz w:val="24"/>
                <w:szCs w:val="24"/>
                <w:lang w:val="ru-RU"/>
              </w:rPr>
              <w:t>двадцать</w:t>
            </w:r>
            <w:r>
              <w:rPr>
                <w:rFonts w:ascii="Times New Roman" w:hAnsi="Times New Roman"/>
                <w:b/>
                <w:bCs/>
                <w:sz w:val="24"/>
                <w:szCs w:val="24"/>
              </w:rPr>
              <w:t xml:space="preserve"> миллионов  рублей) рублей </w:t>
            </w:r>
            <w:r>
              <w:rPr>
                <w:rFonts w:ascii="Times New Roman" w:hAnsi="Times New Roman"/>
                <w:b/>
                <w:bCs/>
                <w:color w:val="000000"/>
                <w:sz w:val="24"/>
                <w:szCs w:val="24"/>
              </w:rPr>
              <w:t>00</w:t>
            </w:r>
            <w:r>
              <w:rPr>
                <w:rFonts w:ascii="Times New Roman" w:hAnsi="Times New Roman"/>
                <w:b/>
                <w:bCs/>
                <w:sz w:val="24"/>
                <w:szCs w:val="24"/>
              </w:rPr>
              <w:t xml:space="preserve"> копеек.</w:t>
            </w:r>
          </w:p>
          <w:p>
            <w:pPr>
              <w:pStyle w:val="Normal"/>
              <w:widowControl w:val="false"/>
              <w:spacing w:lineRule="auto" w:line="276" w:before="0" w:after="0"/>
              <w:ind w:right="137" w:hanging="0"/>
              <w:jc w:val="both"/>
              <w:rPr/>
            </w:pPr>
            <w:r>
              <w:rPr>
                <w:rFonts w:eastAsia="Times New Roman" w:cs="Times New Roman" w:ascii="Times New Roman" w:hAnsi="Times New Roman"/>
                <w:b/>
                <w:bCs/>
                <w:color w:val="000000"/>
                <w:sz w:val="24"/>
                <w:szCs w:val="24"/>
                <w:lang w:eastAsia="ru-RU"/>
              </w:rPr>
              <w:t>Начальная (максимальная) сумма единичных расценок: 5 347 472 (пять миллионов триста сорок семь тысяч четыреста семьдесят два) руб. 01 коп.</w:t>
            </w:r>
          </w:p>
        </w:tc>
      </w:tr>
      <w:tr>
        <w:trPr>
          <w:trHeight w:val="269" w:hRule="atLeast"/>
        </w:trPr>
        <w:tc>
          <w:tcPr>
            <w:tcW w:w="486"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1"/>
              </w:numPr>
              <w:spacing w:lineRule="auto" w:line="300"/>
              <w:ind w:left="0" w:hanging="0"/>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25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60"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Порядок формирования и обоснования начальной (максимальной) цены договора</w:t>
            </w:r>
          </w:p>
        </w:tc>
        <w:tc>
          <w:tcPr>
            <w:tcW w:w="74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137" w:hanging="0"/>
              <w:jc w:val="both"/>
              <w:rPr>
                <w:rFonts w:ascii="Times New Roman" w:hAnsi="Times New Roman"/>
                <w:sz w:val="24"/>
                <w:szCs w:val="24"/>
              </w:rPr>
            </w:pPr>
            <w:r>
              <w:rPr>
                <w:rFonts w:cs="Times New Roman" w:ascii="Times New Roman" w:hAnsi="Times New Roman"/>
                <w:sz w:val="24"/>
                <w:szCs w:val="24"/>
                <w:lang w:eastAsia="ru-RU"/>
              </w:rPr>
              <w:t xml:space="preserve">Определяется в РАЗДЕЛЕ 5. </w:t>
            </w:r>
            <w:r>
              <w:rPr>
                <w:rFonts w:cs="Times New Roman" w:ascii="Times New Roman" w:hAnsi="Times New Roman"/>
                <w:bCs/>
                <w:sz w:val="24"/>
                <w:szCs w:val="24"/>
                <w:lang w:eastAsia="ru-RU"/>
              </w:rPr>
              <w:t xml:space="preserve">РАСЧЕТ </w:t>
            </w:r>
            <w:r>
              <w:rPr>
                <w:rFonts w:eastAsia="Times New Roman" w:cs="Times New Roman" w:ascii="Times New Roman" w:hAnsi="Times New Roman"/>
                <w:sz w:val="24"/>
                <w:szCs w:val="24"/>
                <w:lang w:eastAsia="ru-RU"/>
              </w:rPr>
              <w:t>НАЧАЛЬНОЙ (МАКСИМАЛЬНОЙ) ЦЕНЫ ДОГОВОРА, который является неотъемлемой частью документации об открытом конкурсе.</w:t>
            </w:r>
          </w:p>
          <w:p>
            <w:pPr>
              <w:pStyle w:val="Normal"/>
              <w:widowControl w:val="false"/>
              <w:spacing w:lineRule="auto" w:line="276"/>
              <w:jc w:val="both"/>
              <w:rPr>
                <w:rFonts w:ascii="Times New Roman" w:hAnsi="Times New Roman"/>
                <w:sz w:val="24"/>
                <w:szCs w:val="24"/>
              </w:rPr>
            </w:pPr>
            <w:r>
              <w:rPr>
                <w:rFonts w:ascii="Times New Roman" w:hAnsi="Times New Roman"/>
                <w:sz w:val="24"/>
                <w:szCs w:val="24"/>
              </w:rPr>
              <w:t>Цена договора включает в себя стоимость работ по договору, а также все затраты, расходы и издержки Подрядчика, связанные с выполнением работ, приобретением изделий, материалов, конструкций и т.д., необходимых для выполнения работ, с учетом расходов на доставку, на перевозку, погрузо-разгрузочные работы, страхование, уплату таможенных пошлин, налогов и других обязательных платежей, а также все прочие расходы, необходимые для исполнения Подрядчиком обязательств по договору.</w:t>
            </w:r>
          </w:p>
          <w:p>
            <w:pPr>
              <w:pStyle w:val="Normal"/>
              <w:widowControl w:val="false"/>
              <w:spacing w:lineRule="auto" w:line="276"/>
              <w:jc w:val="both"/>
              <w:rPr>
                <w:rFonts w:ascii="Times New Roman" w:hAnsi="Times New Roman"/>
                <w:sz w:val="24"/>
                <w:szCs w:val="24"/>
              </w:rPr>
            </w:pPr>
            <w:r>
              <w:rPr>
                <w:rFonts w:ascii="Times New Roman" w:hAnsi="Times New Roman"/>
                <w:bCs/>
                <w:color w:val="000000"/>
                <w:sz w:val="24"/>
                <w:szCs w:val="24"/>
                <w:lang w:eastAsia="ru-RU"/>
              </w:rPr>
              <w:t>Обоснование значения цены договора  приложено отдельным файлом</w:t>
            </w:r>
            <w:r>
              <w:rPr>
                <w:rFonts w:ascii="Times New Roman" w:hAnsi="Times New Roman"/>
                <w:b/>
                <w:bCs/>
                <w:color w:val="FF0000"/>
                <w:sz w:val="24"/>
                <w:szCs w:val="24"/>
              </w:rPr>
              <w:t>.</w:t>
            </w:r>
          </w:p>
          <w:p>
            <w:pPr>
              <w:pStyle w:val="Normal"/>
              <w:widowControl w:val="false"/>
              <w:spacing w:before="0" w:after="0"/>
              <w:jc w:val="both"/>
              <w:rPr>
                <w:rFonts w:ascii="Times New Roman" w:hAnsi="Times New Roman"/>
                <w:sz w:val="24"/>
                <w:szCs w:val="24"/>
              </w:rPr>
            </w:pPr>
            <w:r>
              <w:rPr>
                <w:rFonts w:ascii="Times New Roman" w:hAnsi="Times New Roman"/>
                <w:sz w:val="24"/>
                <w:szCs w:val="24"/>
              </w:rPr>
              <w:t>Цена договора, предложенная участником закупки, не должна превышать начальную (максимальную) цену договора.</w:t>
            </w:r>
          </w:p>
          <w:p>
            <w:pPr>
              <w:pStyle w:val="Normal"/>
              <w:widowControl w:val="false"/>
              <w:spacing w:before="0" w:after="0"/>
              <w:jc w:val="both"/>
              <w:rPr>
                <w:rFonts w:ascii="Times New Roman" w:hAnsi="Times New Roman"/>
                <w:sz w:val="24"/>
                <w:szCs w:val="24"/>
              </w:rPr>
            </w:pPr>
            <w:r>
              <w:rPr>
                <w:rFonts w:ascii="Times New Roman" w:hAnsi="Times New Roman"/>
                <w:sz w:val="24"/>
                <w:szCs w:val="24"/>
              </w:rPr>
              <w:t>Цена договора является твердой и определяется на весь срок исполнения договора.</w:t>
            </w:r>
          </w:p>
        </w:tc>
      </w:tr>
      <w:tr>
        <w:trPr>
          <w:trHeight w:val="1414" w:hRule="atLeast"/>
        </w:trPr>
        <w:tc>
          <w:tcPr>
            <w:tcW w:w="486"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1"/>
              </w:numPr>
              <w:spacing w:lineRule="auto" w:line="300"/>
              <w:ind w:left="0" w:hanging="0"/>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25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60"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Сведения о валюте, используемой для формирования цены договора и расчетов с исполнителем по договору</w:t>
            </w:r>
          </w:p>
        </w:tc>
        <w:tc>
          <w:tcPr>
            <w:tcW w:w="74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137"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Валюта договора – российский рубль</w:t>
            </w:r>
          </w:p>
        </w:tc>
      </w:tr>
      <w:tr>
        <w:trPr>
          <w:trHeight w:val="1130" w:hRule="atLeast"/>
        </w:trPr>
        <w:tc>
          <w:tcPr>
            <w:tcW w:w="486"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1"/>
              </w:numPr>
              <w:spacing w:lineRule="auto" w:line="300"/>
              <w:ind w:left="0" w:hanging="0"/>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25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60"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Место, условия и сроки (периоды) поставки товара, выполнение работ, оказания услуг</w:t>
            </w:r>
          </w:p>
        </w:tc>
        <w:tc>
          <w:tcPr>
            <w:tcW w:w="74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137" w:hanging="0"/>
              <w:jc w:val="both"/>
              <w:rPr>
                <w:rFonts w:ascii="Times New Roman" w:hAnsi="Times New Roman"/>
                <w:sz w:val="24"/>
                <w:szCs w:val="24"/>
              </w:rPr>
            </w:pPr>
            <w:r>
              <w:rPr>
                <w:rFonts w:ascii="Times New Roman" w:hAnsi="Times New Roman"/>
                <w:sz w:val="24"/>
                <w:szCs w:val="24"/>
                <w:lang w:eastAsia="ru-RU"/>
              </w:rPr>
              <w:t>Полное описание условий выполнения работ в соответствии с ПРОЕКТОМ ДОГОВОРА</w:t>
            </w:r>
            <w:r>
              <w:rPr>
                <w:rFonts w:ascii="Times New Roman" w:hAnsi="Times New Roman"/>
                <w:bCs/>
                <w:spacing w:val="-4"/>
                <w:sz w:val="24"/>
                <w:szCs w:val="24"/>
                <w:lang w:eastAsia="ru-RU"/>
              </w:rPr>
              <w:t>, ТЕХНИЧЕСКИМ ЗАДАНИЕМ</w:t>
            </w:r>
          </w:p>
        </w:tc>
      </w:tr>
      <w:tr>
        <w:trPr>
          <w:trHeight w:val="411" w:hRule="atLeast"/>
        </w:trPr>
        <w:tc>
          <w:tcPr>
            <w:tcW w:w="486"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1"/>
              </w:numPr>
              <w:spacing w:lineRule="auto" w:line="300"/>
              <w:ind w:left="0" w:hanging="0"/>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25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60"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Форма, сроки и порядок оплаты товара, работы, услуг</w:t>
            </w:r>
          </w:p>
        </w:tc>
        <w:tc>
          <w:tcPr>
            <w:tcW w:w="74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137" w:hanging="0"/>
              <w:jc w:val="both"/>
              <w:rPr>
                <w:rFonts w:ascii="Times New Roman" w:hAnsi="Times New Roman" w:cs="Times New Roman"/>
                <w:sz w:val="24"/>
                <w:szCs w:val="24"/>
                <w:lang w:eastAsia="ru-RU"/>
              </w:rPr>
            </w:pPr>
            <w:r>
              <w:rPr>
                <w:rFonts w:cs="Times New Roman" w:ascii="Times New Roman" w:hAnsi="Times New Roman"/>
                <w:sz w:val="24"/>
                <w:szCs w:val="24"/>
                <w:lang w:eastAsia="ru-RU"/>
              </w:rPr>
              <w:t>Условия и порядок оплаты отражены в ПРОЕКТЕ ДОГОВОРА</w:t>
            </w:r>
          </w:p>
        </w:tc>
      </w:tr>
      <w:tr>
        <w:trPr>
          <w:trHeight w:val="411" w:hRule="atLeast"/>
        </w:trPr>
        <w:tc>
          <w:tcPr>
            <w:tcW w:w="486"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1"/>
              </w:numPr>
              <w:spacing w:lineRule="auto" w:line="300"/>
              <w:ind w:left="0" w:hanging="0"/>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25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60"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Порядок, место, дата начала и дата окончания срока подачи заявок на участие в закупке</w:t>
            </w:r>
          </w:p>
        </w:tc>
        <w:tc>
          <w:tcPr>
            <w:tcW w:w="74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137" w:hanging="0"/>
              <w:jc w:val="both"/>
              <w:rPr/>
            </w:pPr>
            <w:r>
              <w:rPr>
                <w:rFonts w:eastAsia="" w:cs="Times New Roman" w:ascii="Times New Roman" w:hAnsi="Times New Roman" w:eastAsiaTheme="minorEastAsia"/>
                <w:sz w:val="24"/>
                <w:szCs w:val="24"/>
                <w:lang w:eastAsia="ru-RU"/>
              </w:rPr>
              <w:t xml:space="preserve">Заявки на участие в открытом конкурсе в электронной форме могут быть поданы Участником закупки </w:t>
            </w:r>
            <w:r>
              <w:rPr>
                <w:rFonts w:eastAsia="" w:cs="Times New Roman" w:ascii="Times New Roman" w:hAnsi="Times New Roman" w:eastAsiaTheme="minorEastAsia"/>
                <w:b/>
                <w:sz w:val="24"/>
                <w:szCs w:val="24"/>
                <w:lang w:eastAsia="ru-RU"/>
              </w:rPr>
              <w:t xml:space="preserve">до 09:00 часов по местному времени заказчика </w:t>
            </w:r>
            <w:r>
              <w:rPr>
                <w:rFonts w:eastAsia="" w:cs="Times New Roman" w:ascii="Times New Roman" w:hAnsi="Times New Roman" w:eastAsiaTheme="minorEastAsia"/>
                <w:b/>
                <w:color w:val="000000"/>
                <w:sz w:val="24"/>
                <w:szCs w:val="24"/>
                <w:lang w:eastAsia="ru-RU"/>
              </w:rPr>
              <w:t>22</w:t>
            </w:r>
            <w:r>
              <w:rPr>
                <w:rFonts w:eastAsia="" w:cs="Times New Roman" w:ascii="Times New Roman" w:hAnsi="Times New Roman" w:eastAsiaTheme="minorEastAsia"/>
                <w:b/>
                <w:sz w:val="24"/>
                <w:szCs w:val="24"/>
                <w:lang w:eastAsia="ru-RU"/>
              </w:rPr>
              <w:t>.0</w:t>
            </w:r>
            <w:r>
              <w:rPr>
                <w:rFonts w:eastAsia="" w:cs="Times New Roman" w:ascii="Times New Roman" w:hAnsi="Times New Roman" w:eastAsiaTheme="minorEastAsia"/>
                <w:b/>
                <w:sz w:val="24"/>
                <w:szCs w:val="24"/>
                <w:lang w:eastAsia="ru-RU"/>
              </w:rPr>
              <w:t>6</w:t>
            </w:r>
            <w:r>
              <w:rPr>
                <w:rFonts w:eastAsia="" w:cs="Times New Roman" w:ascii="Times New Roman" w:hAnsi="Times New Roman" w:eastAsiaTheme="minorEastAsia"/>
                <w:b/>
                <w:sz w:val="24"/>
                <w:szCs w:val="24"/>
                <w:lang w:eastAsia="ru-RU"/>
              </w:rPr>
              <w:t>.2026</w:t>
            </w:r>
            <w:r>
              <w:rPr>
                <w:rFonts w:eastAsia="" w:cs="Times New Roman" w:ascii="Times New Roman" w:hAnsi="Times New Roman" w:eastAsiaTheme="minorEastAsia"/>
                <w:i/>
                <w:sz w:val="24"/>
                <w:szCs w:val="24"/>
                <w:lang w:eastAsia="ru-RU"/>
              </w:rPr>
              <w:t xml:space="preserve"> </w:t>
            </w:r>
            <w:r>
              <w:rPr>
                <w:rFonts w:eastAsia="" w:cs="Times New Roman" w:ascii="Times New Roman" w:hAnsi="Times New Roman" w:eastAsiaTheme="minorEastAsia"/>
                <w:sz w:val="24"/>
                <w:szCs w:val="24"/>
                <w:lang w:eastAsia="ru-RU"/>
              </w:rPr>
              <w:t>оператору торговой площадки</w:t>
            </w:r>
            <w:r>
              <w:rPr>
                <w:rFonts w:eastAsia="" w:cs="Times New Roman" w:ascii="Times New Roman" w:hAnsi="Times New Roman" w:eastAsiaTheme="minorEastAsia"/>
                <w:i/>
                <w:sz w:val="24"/>
                <w:szCs w:val="24"/>
                <w:lang w:eastAsia="ru-RU"/>
              </w:rPr>
              <w:t xml:space="preserve"> </w:t>
            </w:r>
            <w:hyperlink r:id="rId5">
              <w:r>
                <w:rPr>
                  <w:rFonts w:eastAsia="" w:cs="Times New Roman" w:ascii="Times New Roman" w:hAnsi="Times New Roman" w:eastAsiaTheme="minorEastAsia"/>
                  <w:sz w:val="24"/>
                  <w:szCs w:val="24"/>
                  <w:lang w:eastAsia="ru-RU"/>
                </w:rPr>
                <w:t>https://etp-region.ru</w:t>
              </w:r>
            </w:hyperlink>
            <w:r>
              <w:rPr>
                <w:rFonts w:eastAsia="" w:cs="Times New Roman" w:ascii="Times New Roman" w:hAnsi="Times New Roman" w:eastAsiaTheme="minorEastAsia"/>
                <w:sz w:val="24"/>
                <w:szCs w:val="24"/>
                <w:lang w:eastAsia="ru-RU"/>
              </w:rPr>
              <w:t xml:space="preserve"> в соответствии с ПОДРАЗДЕЛОМ 1.5 РАЗДЕЛА 1 КОНКУРСНОЙ ДОКУМЕНТАЦИИ</w:t>
            </w:r>
          </w:p>
        </w:tc>
      </w:tr>
      <w:tr>
        <w:trPr>
          <w:trHeight w:val="914" w:hRule="atLeast"/>
        </w:trPr>
        <w:tc>
          <w:tcPr>
            <w:tcW w:w="486"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lineRule="auto" w:line="300"/>
              <w:jc w:val="center"/>
              <w:rPr/>
            </w:pPr>
            <w:r>
              <w:rPr>
                <w:rFonts w:cs="Times New Roman" w:ascii="Times New Roman" w:hAnsi="Times New Roman"/>
                <w:sz w:val="24"/>
                <w:szCs w:val="24"/>
                <w:lang w:eastAsia="ru-RU"/>
              </w:rPr>
              <w:t>13.</w:t>
            </w:r>
          </w:p>
        </w:tc>
        <w:tc>
          <w:tcPr>
            <w:tcW w:w="25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60" w:hanging="0"/>
              <w:jc w:val="both"/>
              <w:rPr>
                <w:rFonts w:ascii="Times New Roman" w:hAnsi="Times New Roman"/>
                <w:sz w:val="24"/>
                <w:szCs w:val="24"/>
                <w:lang w:eastAsia="ru-RU"/>
              </w:rPr>
            </w:pPr>
            <w:r>
              <w:rPr>
                <w:rFonts w:ascii="Times New Roman" w:hAnsi="Times New Roman"/>
                <w:sz w:val="24"/>
                <w:szCs w:val="24"/>
                <w:lang w:eastAsia="ru-RU"/>
              </w:rPr>
              <w:t>Дата окончания срока рассмотрения заявок на участие в конкурсе в электронной форме</w:t>
            </w:r>
          </w:p>
        </w:tc>
        <w:tc>
          <w:tcPr>
            <w:tcW w:w="74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137" w:hanging="0"/>
              <w:jc w:val="both"/>
              <w:rPr/>
            </w:pPr>
            <w:r>
              <w:rPr>
                <w:rFonts w:ascii="Times New Roman" w:hAnsi="Times New Roman"/>
                <w:b/>
                <w:bCs/>
                <w:color w:val="000000"/>
                <w:sz w:val="24"/>
                <w:szCs w:val="24"/>
              </w:rPr>
              <w:t>2</w:t>
            </w:r>
            <w:r>
              <w:rPr>
                <w:rFonts w:ascii="Times New Roman" w:hAnsi="Times New Roman"/>
                <w:b/>
                <w:bCs/>
                <w:color w:val="000000"/>
                <w:sz w:val="24"/>
                <w:szCs w:val="24"/>
              </w:rPr>
              <w:t>3</w:t>
            </w:r>
            <w:r>
              <w:rPr>
                <w:rFonts w:ascii="Times New Roman" w:hAnsi="Times New Roman"/>
                <w:b/>
                <w:bCs/>
                <w:color w:val="000000"/>
                <w:sz w:val="24"/>
                <w:szCs w:val="24"/>
              </w:rPr>
              <w:t>.0</w:t>
            </w:r>
            <w:r>
              <w:rPr>
                <w:rFonts w:ascii="Times New Roman" w:hAnsi="Times New Roman"/>
                <w:b/>
                <w:bCs/>
                <w:color w:val="000000"/>
                <w:sz w:val="24"/>
                <w:szCs w:val="24"/>
              </w:rPr>
              <w:t>6</w:t>
            </w:r>
            <w:r>
              <w:rPr>
                <w:rFonts w:ascii="Times New Roman" w:hAnsi="Times New Roman"/>
                <w:b/>
                <w:bCs/>
                <w:color w:val="000000"/>
                <w:sz w:val="24"/>
                <w:szCs w:val="24"/>
              </w:rPr>
              <w:t>.2026 г.</w:t>
            </w:r>
          </w:p>
        </w:tc>
      </w:tr>
      <w:tr>
        <w:trPr>
          <w:trHeight w:val="411" w:hRule="atLeast"/>
        </w:trPr>
        <w:tc>
          <w:tcPr>
            <w:tcW w:w="486"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lineRule="auto" w:line="300"/>
              <w:jc w:val="center"/>
              <w:rPr/>
            </w:pPr>
            <w:r>
              <w:rPr>
                <w:rFonts w:cs="Times New Roman" w:ascii="Times New Roman" w:hAnsi="Times New Roman"/>
                <w:sz w:val="24"/>
                <w:szCs w:val="24"/>
                <w:lang w:eastAsia="ru-RU"/>
              </w:rPr>
              <w:t>14.</w:t>
            </w:r>
          </w:p>
        </w:tc>
        <w:tc>
          <w:tcPr>
            <w:tcW w:w="25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60" w:hanging="0"/>
              <w:jc w:val="both"/>
              <w:rPr>
                <w:rFonts w:ascii="Times New Roman" w:hAnsi="Times New Roman"/>
                <w:sz w:val="24"/>
                <w:szCs w:val="24"/>
              </w:rPr>
            </w:pPr>
            <w:r>
              <w:rPr>
                <w:rFonts w:cs="Times New Roman" w:ascii="Times New Roman" w:hAnsi="Times New Roman"/>
                <w:sz w:val="24"/>
                <w:szCs w:val="24"/>
                <w:lang w:eastAsia="ru-RU"/>
              </w:rPr>
              <w:t xml:space="preserve">Критерии оценки и сопоставления заявок на участие в </w:t>
            </w:r>
            <w:r>
              <w:rPr>
                <w:rFonts w:eastAsia="Times New Roman" w:cs="Times New Roman" w:ascii="Times New Roman" w:hAnsi="Times New Roman"/>
                <w:sz w:val="24"/>
                <w:szCs w:val="24"/>
                <w:lang w:eastAsia="ru-RU"/>
              </w:rPr>
              <w:t>конкурсе в электронной форме</w:t>
            </w:r>
          </w:p>
        </w:tc>
        <w:tc>
          <w:tcPr>
            <w:tcW w:w="74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137" w:hanging="0"/>
              <w:jc w:val="both"/>
              <w:rPr/>
            </w:pPr>
            <w:r>
              <w:rPr>
                <w:rFonts w:cs="Times New Roman" w:ascii="Times New Roman" w:hAnsi="Times New Roman"/>
                <w:sz w:val="24"/>
                <w:szCs w:val="24"/>
                <w:lang w:eastAsia="ru-RU"/>
              </w:rPr>
              <w:t>Указаны в РАЗДЕЛЕ 3. КРИТЕРИИ ОЦЕНКИ ЗАЯВОК НА УЧАСТИЕ В КОНКУРСЕ</w:t>
            </w:r>
          </w:p>
        </w:tc>
      </w:tr>
      <w:tr>
        <w:trPr>
          <w:trHeight w:val="411" w:hRule="atLeast"/>
        </w:trPr>
        <w:tc>
          <w:tcPr>
            <w:tcW w:w="486"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lineRule="auto" w:line="300"/>
              <w:jc w:val="center"/>
              <w:rPr/>
            </w:pPr>
            <w:r>
              <w:rPr>
                <w:rFonts w:cs="Times New Roman" w:ascii="Times New Roman" w:hAnsi="Times New Roman"/>
                <w:sz w:val="24"/>
                <w:szCs w:val="24"/>
                <w:lang w:eastAsia="ru-RU"/>
              </w:rPr>
              <w:t>15.</w:t>
            </w:r>
          </w:p>
        </w:tc>
        <w:tc>
          <w:tcPr>
            <w:tcW w:w="25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60" w:hanging="0"/>
              <w:jc w:val="both"/>
              <w:rPr>
                <w:rFonts w:ascii="Times New Roman" w:hAnsi="Times New Roman"/>
                <w:sz w:val="24"/>
                <w:szCs w:val="24"/>
              </w:rPr>
            </w:pPr>
            <w:r>
              <w:rPr>
                <w:rFonts w:eastAsia="Times New Roman" w:cs="Times New Roman" w:ascii="Times New Roman" w:hAnsi="Times New Roman"/>
                <w:sz w:val="24"/>
                <w:szCs w:val="24"/>
                <w:lang w:eastAsia="ru-RU"/>
              </w:rPr>
              <w:t>Место, дата подведения итогов</w:t>
            </w:r>
          </w:p>
        </w:tc>
        <w:tc>
          <w:tcPr>
            <w:tcW w:w="74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137" w:hanging="0"/>
              <w:jc w:val="both"/>
              <w:rPr/>
            </w:pPr>
            <w:r>
              <w:rPr>
                <w:rFonts w:cs="Times New Roman" w:ascii="Times New Roman" w:hAnsi="Times New Roman"/>
                <w:sz w:val="24"/>
                <w:szCs w:val="24"/>
                <w:lang w:eastAsia="ru-RU"/>
              </w:rPr>
              <w:t xml:space="preserve">Дата подведения итогов: </w:t>
            </w:r>
            <w:r>
              <w:rPr>
                <w:rFonts w:cs="Times New Roman" w:ascii="Times New Roman" w:hAnsi="Times New Roman"/>
                <w:b/>
                <w:bCs/>
                <w:sz w:val="24"/>
                <w:szCs w:val="24"/>
                <w:lang w:eastAsia="ru-RU"/>
              </w:rPr>
              <w:t>2</w:t>
            </w:r>
            <w:r>
              <w:rPr>
                <w:rFonts w:cs="Times New Roman" w:ascii="Times New Roman" w:hAnsi="Times New Roman"/>
                <w:b/>
                <w:bCs/>
                <w:sz w:val="24"/>
                <w:szCs w:val="24"/>
                <w:lang w:eastAsia="ru-RU"/>
              </w:rPr>
              <w:t>4</w:t>
            </w:r>
            <w:r>
              <w:rPr>
                <w:rFonts w:cs="Times New Roman" w:ascii="Times New Roman" w:hAnsi="Times New Roman"/>
                <w:b/>
                <w:bCs/>
                <w:sz w:val="24"/>
                <w:szCs w:val="24"/>
                <w:lang w:eastAsia="ru-RU"/>
              </w:rPr>
              <w:t>.</w:t>
            </w:r>
            <w:r>
              <w:rPr>
                <w:rFonts w:cs="Times New Roman" w:ascii="Times New Roman" w:hAnsi="Times New Roman"/>
                <w:b/>
                <w:bCs/>
                <w:color w:val="000000"/>
                <w:sz w:val="24"/>
                <w:szCs w:val="24"/>
                <w:lang w:eastAsia="ru-RU"/>
              </w:rPr>
              <w:t>0</w:t>
            </w:r>
            <w:r>
              <w:rPr>
                <w:rFonts w:cs="Times New Roman" w:ascii="Times New Roman" w:hAnsi="Times New Roman"/>
                <w:b/>
                <w:bCs/>
                <w:color w:val="000000"/>
                <w:sz w:val="24"/>
                <w:szCs w:val="24"/>
                <w:lang w:eastAsia="ru-RU"/>
              </w:rPr>
              <w:t>6</w:t>
            </w:r>
            <w:r>
              <w:rPr>
                <w:rFonts w:cs="Times New Roman" w:ascii="Times New Roman" w:hAnsi="Times New Roman"/>
                <w:b/>
                <w:bCs/>
                <w:sz w:val="24"/>
                <w:szCs w:val="24"/>
                <w:lang w:eastAsia="ru-RU"/>
              </w:rPr>
              <w:t>.</w:t>
            </w:r>
            <w:r>
              <w:rPr>
                <w:rFonts w:cs="Times New Roman" w:ascii="Times New Roman" w:hAnsi="Times New Roman"/>
                <w:b/>
                <w:bCs/>
                <w:color w:val="000000"/>
                <w:sz w:val="24"/>
                <w:szCs w:val="24"/>
                <w:lang w:eastAsia="ru-RU"/>
              </w:rPr>
              <w:t>2026 г.</w:t>
            </w:r>
          </w:p>
          <w:p>
            <w:pPr>
              <w:pStyle w:val="Normal"/>
              <w:widowControl w:val="false"/>
              <w:spacing w:lineRule="auto" w:line="240" w:before="0" w:after="0"/>
              <w:ind w:right="137" w:hanging="0"/>
              <w:jc w:val="both"/>
              <w:rPr/>
            </w:pPr>
            <w:r>
              <w:rPr>
                <w:rFonts w:cs="Times New Roman" w:ascii="Times New Roman" w:hAnsi="Times New Roman"/>
                <w:sz w:val="24"/>
                <w:szCs w:val="24"/>
                <w:lang w:eastAsia="ru-RU"/>
              </w:rPr>
              <w:t>Место подведения итогов конкурса: 620017, Свердловская область, г. Екатеринбург, переулок Полимерный д. 4</w:t>
            </w:r>
          </w:p>
        </w:tc>
      </w:tr>
      <w:tr>
        <w:trPr>
          <w:trHeight w:val="411" w:hRule="atLeast"/>
        </w:trPr>
        <w:tc>
          <w:tcPr>
            <w:tcW w:w="486"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lineRule="auto" w:line="300"/>
              <w:rPr>
                <w:rFonts w:ascii="Times New Roman" w:hAnsi="Times New Roman" w:cs="Times New Roman"/>
                <w:sz w:val="24"/>
                <w:szCs w:val="24"/>
                <w:lang w:eastAsia="ru-RU"/>
              </w:rPr>
            </w:pPr>
            <w:r>
              <w:rPr>
                <w:rFonts w:cs="Times New Roman" w:ascii="Times New Roman" w:hAnsi="Times New Roman"/>
                <w:sz w:val="24"/>
                <w:szCs w:val="24"/>
                <w:lang w:eastAsia="ru-RU"/>
              </w:rPr>
              <w:t>16.</w:t>
            </w:r>
          </w:p>
        </w:tc>
        <w:tc>
          <w:tcPr>
            <w:tcW w:w="25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60" w:hanging="0"/>
              <w:jc w:val="both"/>
              <w:rPr>
                <w:highlight w:val="none"/>
                <w:shd w:fill="auto" w:val="clear"/>
              </w:rPr>
            </w:pPr>
            <w:r>
              <w:rPr>
                <w:rFonts w:eastAsia="Times New Roman" w:cs="Times New Roman" w:ascii="Times New Roman" w:hAnsi="Times New Roman"/>
                <w:sz w:val="24"/>
                <w:szCs w:val="24"/>
                <w:shd w:fill="auto" w:val="clear"/>
                <w:lang w:eastAsia="ru-RU"/>
              </w:rPr>
              <w:t>Формы, порядок, дата начала, дата окончания срока предоставления участникам закупки разъяснений положений документации о закупки</w:t>
            </w:r>
          </w:p>
        </w:tc>
        <w:tc>
          <w:tcPr>
            <w:tcW w:w="74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0"/>
              </w:numPr>
              <w:tabs>
                <w:tab w:val="clear" w:pos="408"/>
                <w:tab w:val="left" w:pos="1134" w:leader="none"/>
              </w:tabs>
              <w:spacing w:before="0" w:after="0"/>
              <w:ind w:left="0" w:hanging="0"/>
              <w:outlineLvl w:val="1"/>
              <w:rPr>
                <w:highlight w:val="none"/>
                <w:shd w:fill="auto" w:val="clear"/>
              </w:rPr>
            </w:pPr>
            <w:r>
              <w:rPr>
                <w:rFonts w:cs="Times New Roman" w:ascii="Times New Roman" w:hAnsi="Times New Roman"/>
                <w:sz w:val="24"/>
                <w:szCs w:val="24"/>
                <w:shd w:fill="auto" w:val="clear"/>
              </w:rPr>
              <w:t>Любой участник закупки вправе направить заказчику запрос о даче разъяснений положений извещения об осуществлении закупки и (или) извещения о закупке. Запрос направляется участником закупки оператору электронной площадки.</w:t>
            </w:r>
          </w:p>
          <w:p>
            <w:pPr>
              <w:pStyle w:val="Normal"/>
              <w:widowControl w:val="false"/>
              <w:numPr>
                <w:ilvl w:val="0"/>
                <w:numId w:val="0"/>
              </w:numPr>
              <w:tabs>
                <w:tab w:val="clear" w:pos="408"/>
                <w:tab w:val="left" w:pos="1134" w:leader="none"/>
              </w:tabs>
              <w:spacing w:before="0" w:after="0"/>
              <w:ind w:left="0" w:hanging="0"/>
              <w:outlineLvl w:val="1"/>
              <w:rPr>
                <w:highlight w:val="none"/>
                <w:shd w:fill="auto" w:val="clear"/>
              </w:rPr>
            </w:pPr>
            <w:r>
              <w:rPr>
                <w:rFonts w:cs="Times New Roman" w:ascii="Times New Roman" w:hAnsi="Times New Roman"/>
                <w:sz w:val="24"/>
                <w:szCs w:val="24"/>
                <w:shd w:fill="auto" w:val="clear"/>
              </w:rPr>
              <w:t>Запрос направляется в произвольной форме.</w:t>
            </w:r>
          </w:p>
          <w:p>
            <w:pPr>
              <w:pStyle w:val="Normal"/>
              <w:widowControl w:val="false"/>
              <w:numPr>
                <w:ilvl w:val="0"/>
                <w:numId w:val="0"/>
              </w:numPr>
              <w:tabs>
                <w:tab w:val="clear" w:pos="408"/>
                <w:tab w:val="left" w:pos="1134" w:leader="none"/>
              </w:tabs>
              <w:spacing w:before="0" w:after="0"/>
              <w:ind w:left="0" w:hanging="0"/>
              <w:outlineLvl w:val="1"/>
              <w:rPr>
                <w:highlight w:val="none"/>
                <w:shd w:fill="auto" w:val="clear"/>
              </w:rPr>
            </w:pPr>
            <w:r>
              <w:rPr>
                <w:rFonts w:cs="Times New Roman" w:ascii="Times New Roman" w:hAnsi="Times New Roman"/>
                <w:sz w:val="24"/>
                <w:szCs w:val="24"/>
                <w:shd w:fill="auto" w:val="clear"/>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pPr>
              <w:pStyle w:val="Normal"/>
              <w:widowControl w:val="false"/>
              <w:numPr>
                <w:ilvl w:val="0"/>
                <w:numId w:val="0"/>
              </w:numPr>
              <w:tabs>
                <w:tab w:val="clear" w:pos="408"/>
                <w:tab w:val="left" w:pos="1134" w:leader="none"/>
              </w:tabs>
              <w:spacing w:before="0" w:after="0"/>
              <w:ind w:left="0" w:hanging="0"/>
              <w:outlineLvl w:val="1"/>
              <w:rPr>
                <w:highlight w:val="none"/>
                <w:shd w:fill="auto" w:val="clear"/>
              </w:rPr>
            </w:pPr>
            <w:r>
              <w:rPr>
                <w:rFonts w:cs="Times New Roman" w:ascii="Times New Roman" w:hAnsi="Times New Roman"/>
                <w:sz w:val="24"/>
                <w:szCs w:val="24"/>
                <w:shd w:fill="auto" w:val="clear"/>
              </w:rPr>
              <w:t>Разъяснения положений документации о конкурентной закупке не должны изменять предмет закупки и существенные условия проекта договора.</w:t>
            </w:r>
          </w:p>
          <w:p>
            <w:pPr>
              <w:pStyle w:val="Normal"/>
              <w:widowControl w:val="false"/>
              <w:numPr>
                <w:ilvl w:val="0"/>
                <w:numId w:val="0"/>
              </w:numPr>
              <w:tabs>
                <w:tab w:val="clear" w:pos="408"/>
                <w:tab w:val="left" w:pos="1134" w:leader="none"/>
              </w:tabs>
              <w:spacing w:before="0" w:after="0"/>
              <w:ind w:left="0" w:hanging="0"/>
              <w:outlineLvl w:val="1"/>
              <w:rPr>
                <w:rFonts w:ascii="Times New Roman" w:hAnsi="Times New Roman" w:cs="Times New Roman"/>
                <w:sz w:val="24"/>
                <w:szCs w:val="24"/>
                <w:highlight w:val="none"/>
                <w:shd w:fill="auto" w:val="clear"/>
              </w:rPr>
            </w:pPr>
            <w:r>
              <w:rPr>
                <w:rFonts w:cs="Times New Roman" w:ascii="Times New Roman" w:hAnsi="Times New Roman"/>
                <w:sz w:val="24"/>
                <w:szCs w:val="24"/>
                <w:shd w:fill="auto" w:val="clear"/>
              </w:rPr>
            </w:r>
          </w:p>
          <w:p>
            <w:pPr>
              <w:pStyle w:val="Normal"/>
              <w:widowControl w:val="false"/>
              <w:numPr>
                <w:ilvl w:val="0"/>
                <w:numId w:val="0"/>
              </w:numPr>
              <w:tabs>
                <w:tab w:val="clear" w:pos="408"/>
                <w:tab w:val="left" w:pos="1134" w:leader="none"/>
              </w:tabs>
              <w:spacing w:before="0" w:after="0"/>
              <w:ind w:left="0" w:hanging="0"/>
              <w:outlineLvl w:val="1"/>
              <w:rPr>
                <w:highlight w:val="none"/>
                <w:shd w:fill="auto" w:val="clear"/>
              </w:rPr>
            </w:pPr>
            <w:r>
              <w:rPr>
                <w:rFonts w:cs="Times New Roman" w:ascii="Times New Roman" w:hAnsi="Times New Roman"/>
                <w:sz w:val="24"/>
                <w:szCs w:val="24"/>
                <w:shd w:fill="auto" w:val="clear"/>
              </w:rPr>
              <w:t xml:space="preserve">Дата начала предоставления разъяснений положений документации – </w:t>
            </w:r>
            <w:r>
              <w:rPr>
                <w:rFonts w:cs="Times New Roman" w:ascii="Times New Roman" w:hAnsi="Times New Roman"/>
                <w:b/>
                <w:bCs/>
                <w:sz w:val="24"/>
                <w:szCs w:val="24"/>
                <w:shd w:fill="auto" w:val="clear"/>
              </w:rPr>
              <w:t>0</w:t>
            </w:r>
            <w:r>
              <w:rPr>
                <w:rFonts w:cs="Times New Roman" w:ascii="Times New Roman" w:hAnsi="Times New Roman"/>
                <w:b/>
                <w:bCs/>
                <w:sz w:val="24"/>
                <w:szCs w:val="24"/>
                <w:shd w:fill="auto" w:val="clear"/>
              </w:rPr>
              <w:t>5</w:t>
            </w:r>
            <w:r>
              <w:rPr>
                <w:rFonts w:cs="Times New Roman" w:ascii="Times New Roman" w:hAnsi="Times New Roman"/>
                <w:b/>
                <w:sz w:val="24"/>
                <w:szCs w:val="24"/>
                <w:shd w:fill="auto" w:val="clear"/>
              </w:rPr>
              <w:t xml:space="preserve"> </w:t>
            </w:r>
            <w:r>
              <w:rPr>
                <w:rFonts w:cs="Times New Roman" w:ascii="Times New Roman" w:hAnsi="Times New Roman"/>
                <w:b/>
                <w:sz w:val="24"/>
                <w:szCs w:val="24"/>
                <w:shd w:fill="auto" w:val="clear"/>
              </w:rPr>
              <w:t>июня</w:t>
            </w:r>
            <w:r>
              <w:rPr>
                <w:rFonts w:cs="Times New Roman" w:ascii="Times New Roman" w:hAnsi="Times New Roman"/>
                <w:b/>
                <w:sz w:val="24"/>
                <w:szCs w:val="24"/>
                <w:shd w:fill="auto" w:val="clear"/>
              </w:rPr>
              <w:t xml:space="preserve"> 2026 года.</w:t>
            </w:r>
          </w:p>
          <w:p>
            <w:pPr>
              <w:pStyle w:val="Normal"/>
              <w:widowControl w:val="false"/>
              <w:spacing w:lineRule="auto" w:line="240" w:before="0" w:after="0"/>
              <w:ind w:right="137" w:hanging="0"/>
              <w:jc w:val="both"/>
              <w:rPr>
                <w:highlight w:val="none"/>
                <w:shd w:fill="auto" w:val="clear"/>
              </w:rPr>
            </w:pPr>
            <w:r>
              <w:rPr>
                <w:rFonts w:cs="Times New Roman" w:ascii="Times New Roman" w:hAnsi="Times New Roman"/>
                <w:sz w:val="24"/>
                <w:szCs w:val="24"/>
                <w:shd w:fill="auto" w:val="clear"/>
              </w:rPr>
              <w:t xml:space="preserve">Дата окончания предоставления разъяснений положений документации – </w:t>
            </w:r>
            <w:r>
              <w:rPr>
                <w:rFonts w:cs="Times New Roman" w:ascii="Times New Roman" w:hAnsi="Times New Roman"/>
                <w:b/>
                <w:bCs/>
                <w:sz w:val="24"/>
                <w:szCs w:val="24"/>
                <w:shd w:fill="auto" w:val="clear"/>
              </w:rPr>
              <w:t>22</w:t>
            </w:r>
            <w:r>
              <w:rPr>
                <w:rFonts w:cs="Times New Roman" w:ascii="Times New Roman" w:hAnsi="Times New Roman"/>
                <w:b/>
                <w:sz w:val="24"/>
                <w:szCs w:val="24"/>
                <w:shd w:fill="auto" w:val="clear"/>
              </w:rPr>
              <w:t xml:space="preserve"> </w:t>
            </w:r>
            <w:r>
              <w:rPr>
                <w:rFonts w:cs="Times New Roman" w:ascii="Times New Roman" w:hAnsi="Times New Roman"/>
                <w:b/>
                <w:sz w:val="24"/>
                <w:szCs w:val="24"/>
                <w:shd w:fill="auto" w:val="clear"/>
              </w:rPr>
              <w:t>июня</w:t>
            </w:r>
            <w:r>
              <w:rPr>
                <w:rFonts w:cs="Times New Roman" w:ascii="Times New Roman" w:hAnsi="Times New Roman"/>
                <w:b/>
                <w:sz w:val="24"/>
                <w:szCs w:val="24"/>
                <w:shd w:fill="auto" w:val="clear"/>
              </w:rPr>
              <w:t xml:space="preserve"> 2026 года 08.59 местное время Заказчика</w:t>
            </w:r>
          </w:p>
        </w:tc>
      </w:tr>
      <w:tr>
        <w:trPr>
          <w:trHeight w:val="411" w:hRule="atLeast"/>
        </w:trPr>
        <w:tc>
          <w:tcPr>
            <w:tcW w:w="486"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lineRule="auto" w:line="300"/>
              <w:rPr/>
            </w:pPr>
            <w:r>
              <w:rPr/>
              <w:t>17</w:t>
            </w:r>
          </w:p>
        </w:tc>
        <w:tc>
          <w:tcPr>
            <w:tcW w:w="25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60" w:hanging="0"/>
              <w:jc w:val="both"/>
              <w:rPr>
                <w:rFonts w:ascii="Times New Roman" w:hAnsi="Times New Roman"/>
                <w:sz w:val="24"/>
                <w:szCs w:val="24"/>
              </w:rPr>
            </w:pPr>
            <w:r>
              <w:rPr>
                <w:rFonts w:eastAsia="Times New Roman" w:cs="Times New Roman" w:ascii="Times New Roman" w:hAnsi="Times New Roman"/>
                <w:sz w:val="24"/>
                <w:szCs w:val="24"/>
                <w:lang w:eastAsia="ru-RU"/>
              </w:rPr>
              <w:t xml:space="preserve">Обеспечение заявки на участие в </w:t>
            </w:r>
            <w:r>
              <w:rPr>
                <w:rFonts w:cs="Times New Roman" w:ascii="Times New Roman" w:hAnsi="Times New Roman"/>
                <w:sz w:val="24"/>
                <w:szCs w:val="24"/>
                <w:lang w:eastAsia="ru-RU"/>
              </w:rPr>
              <w:t xml:space="preserve">открытом </w:t>
            </w:r>
            <w:r>
              <w:rPr>
                <w:rFonts w:eastAsia="Times New Roman" w:cs="Times New Roman" w:ascii="Times New Roman" w:hAnsi="Times New Roman"/>
                <w:sz w:val="24"/>
                <w:szCs w:val="24"/>
                <w:lang w:eastAsia="ru-RU"/>
              </w:rPr>
              <w:t>конкурсе в электронной форме</w:t>
            </w:r>
          </w:p>
        </w:tc>
        <w:tc>
          <w:tcPr>
            <w:tcW w:w="74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ind w:right="69" w:hanging="0"/>
              <w:jc w:val="both"/>
              <w:rPr/>
            </w:pPr>
            <w:r>
              <w:rPr>
                <w:rFonts w:eastAsia="Times New Roman" w:cs="Times New Roman" w:ascii="Times New Roman" w:hAnsi="Times New Roman"/>
                <w:color w:val="000000"/>
                <w:sz w:val="24"/>
                <w:szCs w:val="24"/>
                <w:lang w:eastAsia="ru-RU"/>
              </w:rPr>
              <w:t>Не требуется.</w:t>
            </w:r>
          </w:p>
        </w:tc>
      </w:tr>
      <w:tr>
        <w:trPr>
          <w:trHeight w:val="411" w:hRule="atLeast"/>
        </w:trPr>
        <w:tc>
          <w:tcPr>
            <w:tcW w:w="486"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lineRule="auto" w:line="300"/>
              <w:rPr/>
            </w:pPr>
            <w:r>
              <w:rPr/>
              <w:t>18</w:t>
            </w:r>
          </w:p>
        </w:tc>
        <w:tc>
          <w:tcPr>
            <w:tcW w:w="25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60"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Требования к участникам закупки</w:t>
            </w:r>
          </w:p>
        </w:tc>
        <w:tc>
          <w:tcPr>
            <w:tcW w:w="7425"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lineRule="auto" w:line="240"/>
              <w:ind w:left="0" w:hanging="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В настоящем конкурсе 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конкурсной документации.</w:t>
            </w:r>
          </w:p>
          <w:p>
            <w:pPr>
              <w:pStyle w:val="ListParagraph"/>
              <w:widowControl w:val="false"/>
              <w:spacing w:lineRule="auto" w:line="240"/>
              <w:ind w:left="0" w:hanging="0"/>
              <w:jc w:val="both"/>
              <w:rPr>
                <w:rFonts w:ascii="Times New Roman" w:hAnsi="Times New Roman"/>
                <w:sz w:val="24"/>
                <w:szCs w:val="24"/>
              </w:rPr>
            </w:pPr>
            <w:r>
              <w:rPr>
                <w:rFonts w:cs="Times New Roman" w:ascii="Times New Roman" w:hAnsi="Times New Roman"/>
                <w:sz w:val="24"/>
                <w:szCs w:val="24"/>
              </w:rPr>
              <w:t>К участникам открытого конкурса  устанавливаются следующие обязательные требования:</w:t>
            </w:r>
          </w:p>
          <w:p>
            <w:pPr>
              <w:pStyle w:val="ListParagraph"/>
              <w:widowControl w:val="false"/>
              <w:spacing w:lineRule="auto" w:line="240"/>
              <w:ind w:left="0" w:hanging="0"/>
              <w:jc w:val="both"/>
              <w:rPr>
                <w:rFonts w:ascii="Times New Roman" w:hAnsi="Times New Roman" w:cs="Times New Roman"/>
                <w:sz w:val="24"/>
                <w:szCs w:val="24"/>
              </w:rPr>
            </w:pPr>
            <w:r>
              <w:rPr>
                <w:rFonts w:cs="Times New Roman" w:ascii="Times New Roman" w:hAnsi="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pPr>
              <w:pStyle w:val="ListParagraph"/>
              <w:widowControl w:val="false"/>
              <w:spacing w:lineRule="auto" w:line="240"/>
              <w:ind w:left="0" w:hanging="0"/>
              <w:jc w:val="both"/>
              <w:rPr>
                <w:rFonts w:ascii="Times New Roman" w:hAnsi="Times New Roman" w:cs="Times New Roman"/>
                <w:sz w:val="24"/>
                <w:szCs w:val="24"/>
              </w:rPr>
            </w:pPr>
            <w:r>
              <w:rPr>
                <w:rFonts w:cs="Times New Roman" w:ascii="Times New Roman" w:hAnsi="Times New Roman"/>
                <w:sz w:val="24"/>
                <w:szCs w:val="24"/>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pPr>
              <w:pStyle w:val="ListParagraph"/>
              <w:widowControl w:val="false"/>
              <w:spacing w:lineRule="auto" w:line="240"/>
              <w:ind w:left="0" w:hanging="0"/>
              <w:jc w:val="both"/>
              <w:rPr>
                <w:rFonts w:ascii="Times New Roman" w:hAnsi="Times New Roman" w:cs="Times New Roman"/>
                <w:sz w:val="24"/>
                <w:szCs w:val="24"/>
              </w:rPr>
            </w:pPr>
            <w:r>
              <w:rPr>
                <w:rFonts w:cs="Times New Roman" w:ascii="Times New Roman" w:hAnsi="Times New Roman"/>
                <w:sz w:val="24"/>
                <w:szCs w:val="24"/>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pPr>
              <w:pStyle w:val="ListParagraph"/>
              <w:widowControl w:val="false"/>
              <w:spacing w:lineRule="auto" w:line="240"/>
              <w:ind w:left="0" w:hanging="0"/>
              <w:jc w:val="both"/>
              <w:rPr>
                <w:rFonts w:ascii="Times New Roman" w:hAnsi="Times New Roman" w:cs="Times New Roman"/>
                <w:sz w:val="24"/>
                <w:szCs w:val="24"/>
              </w:rPr>
            </w:pPr>
            <w:r>
              <w:rPr>
                <w:rFonts w:cs="Times New Roman" w:ascii="Times New Roman" w:hAnsi="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указанной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pPr>
              <w:pStyle w:val="ListParagraph"/>
              <w:widowControl w:val="false"/>
              <w:spacing w:lineRule="auto" w:line="240"/>
              <w:ind w:left="0" w:hanging="0"/>
              <w:jc w:val="both"/>
              <w:rPr>
                <w:rFonts w:ascii="Times New Roman" w:hAnsi="Times New Roman" w:cs="Times New Roman"/>
                <w:sz w:val="24"/>
                <w:szCs w:val="24"/>
              </w:rPr>
            </w:pPr>
            <w:r>
              <w:rPr>
                <w:rFonts w:cs="Times New Roman" w:ascii="Times New Roman" w:hAnsi="Times New Roman"/>
                <w:sz w:val="24"/>
                <w:szCs w:val="24"/>
              </w:rPr>
              <w:t>5) отсутствие в предусмотренном федеральными законами № 223-ФЗ и № 44-ФЗ реестре недобросовестных поставщиков (подрядчиков, исполнителей) информации об участнике закупки;</w:t>
            </w:r>
          </w:p>
          <w:p>
            <w:pPr>
              <w:pStyle w:val="ListParagraph"/>
              <w:widowControl w:val="false"/>
              <w:spacing w:lineRule="auto" w:line="240"/>
              <w:ind w:left="0" w:hanging="0"/>
              <w:jc w:val="both"/>
              <w:rPr>
                <w:rFonts w:ascii="Times New Roman" w:hAnsi="Times New Roman" w:cs="Times New Roman"/>
                <w:sz w:val="24"/>
                <w:szCs w:val="24"/>
              </w:rPr>
            </w:pPr>
            <w:r>
              <w:rPr>
                <w:rFonts w:cs="Times New Roman" w:ascii="Times New Roman" w:hAnsi="Times New Roman"/>
                <w:sz w:val="24"/>
                <w:szCs w:val="24"/>
              </w:rPr>
              <w:t>6) обладание участниками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pPr>
              <w:pStyle w:val="ListParagraph"/>
              <w:widowControl w:val="false"/>
              <w:spacing w:lineRule="auto" w:line="240"/>
              <w:ind w:left="0" w:hanging="0"/>
              <w:jc w:val="both"/>
              <w:rPr>
                <w:rFonts w:ascii="Times New Roman" w:hAnsi="Times New Roman"/>
                <w:sz w:val="24"/>
                <w:szCs w:val="24"/>
              </w:rPr>
            </w:pPr>
            <w:r>
              <w:rPr>
                <w:rFonts w:cs="Times New Roman" w:ascii="Times New Roman" w:hAnsi="Times New Roman"/>
                <w:sz w:val="24"/>
                <w:szCs w:val="24"/>
              </w:rPr>
              <w:t>7)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pPr>
              <w:pStyle w:val="ListParagraph"/>
              <w:widowControl w:val="false"/>
              <w:spacing w:lineRule="auto" w:line="240"/>
              <w:ind w:left="0" w:hanging="0"/>
              <w:jc w:val="both"/>
              <w:rPr>
                <w:rFonts w:ascii="Times New Roman" w:hAnsi="Times New Roman"/>
                <w:sz w:val="24"/>
                <w:szCs w:val="24"/>
              </w:rPr>
            </w:pPr>
            <w:r>
              <w:rPr>
                <w:rFonts w:cs="Times New Roman" w:ascii="Times New Roman" w:hAnsi="Times New Roman"/>
                <w:sz w:val="24"/>
                <w:szCs w:val="24"/>
                <w:lang w:eastAsia="ru-RU"/>
              </w:rPr>
              <w:t>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pPr>
              <w:pStyle w:val="ListParagraph"/>
              <w:widowControl w:val="false"/>
              <w:spacing w:lineRule="auto" w:line="240"/>
              <w:ind w:left="0" w:hanging="0"/>
              <w:jc w:val="both"/>
              <w:rPr>
                <w:rFonts w:ascii="Times New Roman" w:hAnsi="Times New Roman" w:cs="Times New Roman"/>
                <w:sz w:val="24"/>
                <w:szCs w:val="24"/>
              </w:rPr>
            </w:pPr>
            <w:r>
              <w:rPr>
                <w:rFonts w:cs="Times New Roman" w:ascii="Times New Roman" w:hAnsi="Times New Roman"/>
                <w:sz w:val="24"/>
                <w:szCs w:val="24"/>
              </w:rPr>
              <w:t>9) участник закупки не является офшорной компанией;</w:t>
            </w:r>
          </w:p>
          <w:p>
            <w:pPr>
              <w:pStyle w:val="ListParagraph"/>
              <w:widowControl w:val="false"/>
              <w:spacing w:lineRule="auto" w:line="240"/>
              <w:ind w:left="0" w:hanging="0"/>
              <w:jc w:val="both"/>
              <w:rPr>
                <w:rFonts w:ascii="Times New Roman" w:hAnsi="Times New Roman" w:cs="Times New Roman"/>
                <w:sz w:val="24"/>
                <w:szCs w:val="24"/>
                <w:lang w:eastAsia="ru-RU"/>
              </w:rPr>
            </w:pPr>
            <w:r>
              <w:rPr>
                <w:rFonts w:cs="Times New Roman" w:ascii="Times New Roman" w:hAnsi="Times New Roman"/>
                <w:sz w:val="24"/>
                <w:szCs w:val="24"/>
                <w:lang w:eastAsia="ru-RU"/>
              </w:rPr>
              <w:t>10) отсутствие у участника закупки ограничений для участия в закупках, установленных законодательством Российской Федерации.</w:t>
            </w:r>
          </w:p>
        </w:tc>
      </w:tr>
      <w:tr>
        <w:trPr>
          <w:trHeight w:val="4245" w:hRule="atLeast"/>
        </w:trPr>
        <w:tc>
          <w:tcPr>
            <w:tcW w:w="486"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lineRule="auto" w:line="300"/>
              <w:rPr/>
            </w:pPr>
            <w:r>
              <w:rPr/>
              <w:t>19</w:t>
            </w:r>
          </w:p>
        </w:tc>
        <w:tc>
          <w:tcPr>
            <w:tcW w:w="25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60"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Требования к содержанию, форме, оформлению и составу заявки на участие</w:t>
            </w:r>
          </w:p>
        </w:tc>
        <w:tc>
          <w:tcPr>
            <w:tcW w:w="74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238"/>
              <w:ind w:firstLine="708"/>
              <w:contextualSpacing/>
              <w:jc w:val="both"/>
              <w:rPr>
                <w:rFonts w:ascii="Times New Roman" w:hAnsi="Times New Roman"/>
                <w:sz w:val="24"/>
                <w:szCs w:val="24"/>
              </w:rPr>
            </w:pPr>
            <w:r>
              <w:rPr>
                <w:rFonts w:ascii="Times New Roman" w:hAnsi="Times New Roman"/>
                <w:sz w:val="24"/>
                <w:szCs w:val="24"/>
              </w:rPr>
              <w:t>Заявка на участие в конкурсе в электронной форме должна содержать:</w:t>
            </w:r>
          </w:p>
          <w:p>
            <w:pPr>
              <w:pStyle w:val="Normal"/>
              <w:widowControl w:val="false"/>
              <w:spacing w:lineRule="auto" w:line="240" w:before="0" w:after="238"/>
              <w:ind w:firstLine="708"/>
              <w:contextualSpacing/>
              <w:jc w:val="both"/>
              <w:rPr>
                <w:rFonts w:ascii="Times New Roman" w:hAnsi="Times New Roman"/>
                <w:sz w:val="24"/>
                <w:szCs w:val="24"/>
              </w:rPr>
            </w:pPr>
            <w:r>
              <w:rPr>
                <w:rFonts w:ascii="Times New Roman" w:hAnsi="Times New Roman"/>
                <w:sz w:val="24"/>
                <w:szCs w:val="24"/>
              </w:rPr>
              <w:t>1) Сведения и документы об участнике закупки, подавшем такую заявку:</w:t>
            </w:r>
          </w:p>
          <w:p>
            <w:pPr>
              <w:pStyle w:val="Normal"/>
              <w:widowControl w:val="false"/>
              <w:spacing w:lineRule="auto" w:line="240" w:before="0" w:after="238"/>
              <w:ind w:firstLine="708"/>
              <w:contextualSpacing/>
              <w:jc w:val="both"/>
              <w:rPr>
                <w:rFonts w:ascii="Times New Roman" w:hAnsi="Times New Roman"/>
                <w:sz w:val="24"/>
                <w:szCs w:val="24"/>
              </w:rPr>
            </w:pPr>
            <w:r>
              <w:rPr>
                <w:rFonts w:ascii="Times New Roman" w:hAnsi="Times New Roman"/>
                <w:sz w:val="24"/>
                <w:szCs w:val="24"/>
              </w:rPr>
              <w:t>а) наименование, сведения об организационно-правовой форме, о месте нахождения, почтовый адрес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закупки (при их наличии);</w:t>
            </w:r>
          </w:p>
          <w:p>
            <w:pPr>
              <w:pStyle w:val="Normal"/>
              <w:widowControl w:val="false"/>
              <w:spacing w:lineRule="auto" w:line="240" w:before="0" w:after="238"/>
              <w:ind w:firstLine="708"/>
              <w:contextualSpacing/>
              <w:jc w:val="both"/>
              <w:rPr>
                <w:rFonts w:ascii="Times New Roman" w:hAnsi="Times New Roman"/>
                <w:sz w:val="24"/>
                <w:szCs w:val="24"/>
              </w:rPr>
            </w:pPr>
            <w:r>
              <w:rPr>
                <w:rFonts w:ascii="Times New Roman" w:hAnsi="Times New Roman"/>
                <w:sz w:val="24"/>
                <w:szCs w:val="24"/>
              </w:rPr>
              <w:t>б) полученную не ранее чем за шесть месяцев до дня размещения на Официальном сайте извещения о проведении конкурса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шесть месяцев до дня размещения на Официальном сайте извещения о проведении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шесть месяцев до дня размещения на Официальном сайте извещения о проведении конкурса;</w:t>
            </w:r>
          </w:p>
          <w:p>
            <w:pPr>
              <w:pStyle w:val="Normal"/>
              <w:widowControl w:val="false"/>
              <w:spacing w:lineRule="auto" w:line="240" w:before="0" w:after="238"/>
              <w:ind w:firstLine="708"/>
              <w:contextualSpacing/>
              <w:jc w:val="both"/>
              <w:rPr>
                <w:rFonts w:ascii="Times New Roman" w:hAnsi="Times New Roman"/>
                <w:sz w:val="24"/>
                <w:szCs w:val="24"/>
              </w:rPr>
            </w:pPr>
            <w:r>
              <w:rPr>
                <w:rFonts w:ascii="Times New Roman" w:hAnsi="Times New Roman"/>
                <w:sz w:val="24"/>
                <w:szCs w:val="24"/>
              </w:rPr>
              <w:t xml:space="preserve">в)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по тексту – руководитель). В случае, если от имени участника закупки действует иное лицо, заявка на участие в конкурсе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w:t>
            </w:r>
            <w:r>
              <w:rPr>
                <w:rFonts w:eastAsia="Segoe UI" w:cs="Tahoma" w:ascii="Times New Roman" w:hAnsi="Times New Roman"/>
                <w:color w:val="000000"/>
                <w:kern w:val="2"/>
                <w:sz w:val="24"/>
                <w:szCs w:val="24"/>
                <w:lang w:eastAsia="zh-CN" w:bidi="hi-IN"/>
              </w:rPr>
              <w:t>конкурсе в электронной форме</w:t>
            </w:r>
            <w:r>
              <w:rPr>
                <w:rFonts w:ascii="Times New Roman" w:hAnsi="Times New Roman"/>
                <w:sz w:val="24"/>
                <w:szCs w:val="24"/>
              </w:rPr>
              <w:t xml:space="preserve"> должна содержать также документ, подтверждающий полномочия такого лица;</w:t>
            </w:r>
          </w:p>
          <w:p>
            <w:pPr>
              <w:pStyle w:val="Normal"/>
              <w:widowControl w:val="false"/>
              <w:spacing w:lineRule="auto" w:line="240" w:before="0" w:after="238"/>
              <w:ind w:firstLine="708"/>
              <w:contextualSpacing/>
              <w:jc w:val="both"/>
              <w:rPr>
                <w:rFonts w:ascii="Times New Roman" w:hAnsi="Times New Roman"/>
                <w:sz w:val="24"/>
                <w:szCs w:val="24"/>
              </w:rPr>
            </w:pPr>
            <w:r>
              <w:rPr>
                <w:rFonts w:ascii="Times New Roman" w:hAnsi="Times New Roman"/>
                <w:sz w:val="24"/>
                <w:szCs w:val="24"/>
              </w:rPr>
              <w:t>г) копии учредительных документов участника закупки (для юридических лиц);</w:t>
            </w:r>
          </w:p>
          <w:p>
            <w:pPr>
              <w:pStyle w:val="Normal"/>
              <w:widowControl w:val="false"/>
              <w:spacing w:lineRule="auto" w:line="240" w:before="0" w:after="238"/>
              <w:ind w:firstLine="708"/>
              <w:contextualSpacing/>
              <w:jc w:val="both"/>
              <w:rPr>
                <w:rFonts w:ascii="Times New Roman" w:hAnsi="Times New Roman"/>
                <w:sz w:val="24"/>
                <w:szCs w:val="24"/>
              </w:rPr>
            </w:pPr>
            <w:r>
              <w:rPr>
                <w:rFonts w:ascii="Times New Roman" w:hAnsi="Times New Roman"/>
                <w:sz w:val="24"/>
                <w:szCs w:val="24"/>
              </w:rPr>
              <w:t>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товаров, работ, услуг, являющихся предметом договора, или внесение денежных средств в качестве обеспечения заявки на участие в конкурсе, обеспечения исполнения договора являются крупной сделкой. В случае, если получение указанного решения до истечения срока подачи заявок на участие в конкурсе для участника закупки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представить письмо, содержащее обязательство в случае признания его победителем конкурса представить вышеуказанное решение до момента заключения договора.</w:t>
            </w:r>
          </w:p>
          <w:p>
            <w:pPr>
              <w:pStyle w:val="Normal"/>
              <w:widowControl w:val="false"/>
              <w:spacing w:lineRule="auto" w:line="240" w:before="0" w:after="238"/>
              <w:ind w:firstLine="708"/>
              <w:contextualSpacing/>
              <w:jc w:val="both"/>
              <w:rPr>
                <w:rFonts w:ascii="Times New Roman" w:hAnsi="Times New Roman"/>
                <w:sz w:val="24"/>
                <w:szCs w:val="24"/>
              </w:rPr>
            </w:pPr>
            <w:r>
              <w:rPr>
                <w:rFonts w:ascii="Times New Roman" w:hAnsi="Times New Roman"/>
                <w:sz w:val="24"/>
                <w:szCs w:val="24"/>
              </w:rPr>
              <w:t xml:space="preserve">е) в случае, если для данного участника закупки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w:t>
            </w:r>
            <w:r>
              <w:rPr>
                <w:rFonts w:eastAsia="Segoe UI" w:cs="Tahoma" w:ascii="Times New Roman" w:hAnsi="Times New Roman"/>
                <w:color w:val="000000"/>
                <w:kern w:val="2"/>
                <w:sz w:val="24"/>
                <w:szCs w:val="24"/>
                <w:lang w:eastAsia="zh-CN" w:bidi="hi-IN"/>
              </w:rPr>
              <w:t>конкурсе в электронной форме</w:t>
            </w:r>
            <w:r>
              <w:rPr>
                <w:rFonts w:ascii="Times New Roman" w:hAnsi="Times New Roman"/>
                <w:sz w:val="24"/>
                <w:szCs w:val="24"/>
              </w:rPr>
              <w:t>, обеспечения исполнения договора не являются крупной сделкой, участник закупки представляет соответствующее письмо.</w:t>
            </w:r>
          </w:p>
          <w:p>
            <w:pPr>
              <w:pStyle w:val="Normal"/>
              <w:widowControl w:val="false"/>
              <w:spacing w:lineRule="auto" w:line="240" w:before="0" w:after="238"/>
              <w:ind w:firstLine="708"/>
              <w:contextualSpacing/>
              <w:jc w:val="both"/>
              <w:rPr>
                <w:rFonts w:ascii="Times New Roman" w:hAnsi="Times New Roman"/>
                <w:sz w:val="24"/>
                <w:szCs w:val="24"/>
              </w:rPr>
            </w:pPr>
            <w:r>
              <w:rPr>
                <w:rFonts w:ascii="Times New Roman" w:hAnsi="Times New Roman"/>
                <w:sz w:val="24"/>
                <w:szCs w:val="24"/>
              </w:rPr>
              <w:t>2) 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о цене единицы товара, услуги; о цене запасных частей (каждой запасной части) к технике, к оборудованию, а также начальная цена запасных частей (каждой запасной части) к технике, к оборудованию и начальная цена единицы услуги и (или) работы. В случаях, предусмотренных закупочной документацией,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w:t>
            </w:r>
          </w:p>
          <w:p>
            <w:pPr>
              <w:pStyle w:val="Normal"/>
              <w:widowControl w:val="false"/>
              <w:spacing w:lineRule="auto" w:line="240" w:before="0" w:after="238"/>
              <w:ind w:firstLine="708"/>
              <w:contextualSpacing/>
              <w:jc w:val="both"/>
              <w:rPr>
                <w:rFonts w:ascii="Times New Roman" w:hAnsi="Times New Roman"/>
                <w:sz w:val="24"/>
                <w:szCs w:val="24"/>
              </w:rPr>
            </w:pPr>
            <w:r>
              <w:rPr>
                <w:rFonts w:ascii="Times New Roman" w:hAnsi="Times New Roman"/>
                <w:sz w:val="24"/>
                <w:szCs w:val="24"/>
              </w:rPr>
              <w:t xml:space="preserve">3) документы или копии документов, подтверждающие соответствие участника закупки установленным требованиям и условиям допуска к участию в </w:t>
            </w:r>
            <w:r>
              <w:rPr>
                <w:rFonts w:eastAsia="Segoe UI" w:cs="Tahoma" w:ascii="Times New Roman" w:hAnsi="Times New Roman"/>
                <w:color w:val="000000"/>
                <w:kern w:val="2"/>
                <w:sz w:val="24"/>
                <w:szCs w:val="24"/>
                <w:lang w:eastAsia="zh-CN" w:bidi="hi-IN"/>
              </w:rPr>
              <w:t>конкурсе в электронной форме</w:t>
            </w:r>
            <w:r>
              <w:rPr>
                <w:rFonts w:ascii="Times New Roman" w:hAnsi="Times New Roman"/>
                <w:sz w:val="24"/>
                <w:szCs w:val="24"/>
              </w:rPr>
              <w:t>;</w:t>
            </w:r>
          </w:p>
          <w:p>
            <w:pPr>
              <w:pStyle w:val="Normal"/>
              <w:widowControl w:val="false"/>
              <w:spacing w:lineRule="auto" w:line="240" w:before="0" w:after="238"/>
              <w:ind w:firstLine="708"/>
              <w:contextualSpacing/>
              <w:jc w:val="both"/>
              <w:rPr>
                <w:rFonts w:ascii="Times New Roman" w:hAnsi="Times New Roman"/>
                <w:sz w:val="24"/>
                <w:szCs w:val="24"/>
              </w:rPr>
            </w:pPr>
            <w:r>
              <w:rPr>
                <w:rFonts w:ascii="Times New Roman" w:hAnsi="Times New Roman"/>
                <w:sz w:val="24"/>
                <w:szCs w:val="24"/>
              </w:rPr>
              <w:t xml:space="preserve">4) документы, подтверждающие соответствие участника закупки требованиям документации о проведении </w:t>
            </w:r>
            <w:r>
              <w:rPr>
                <w:rFonts w:eastAsia="Segoe UI" w:cs="Tahoma" w:ascii="Times New Roman" w:hAnsi="Times New Roman"/>
                <w:color w:val="000000"/>
                <w:kern w:val="2"/>
                <w:sz w:val="24"/>
                <w:szCs w:val="24"/>
                <w:lang w:eastAsia="zh-CN" w:bidi="hi-IN"/>
              </w:rPr>
              <w:t>конкурса в электронной форме</w:t>
            </w:r>
            <w:r>
              <w:rPr>
                <w:rFonts w:ascii="Times New Roman" w:hAnsi="Times New Roman"/>
                <w:sz w:val="24"/>
                <w:szCs w:val="24"/>
              </w:rPr>
              <w:t>, установленным в соответствии со ст. 5 Положения;</w:t>
            </w:r>
          </w:p>
          <w:p>
            <w:pPr>
              <w:pStyle w:val="Normal"/>
              <w:widowControl w:val="false"/>
              <w:spacing w:lineRule="auto" w:line="240" w:before="0" w:after="238"/>
              <w:ind w:firstLine="708"/>
              <w:contextualSpacing/>
              <w:jc w:val="both"/>
              <w:rPr>
                <w:rFonts w:ascii="Times New Roman" w:hAnsi="Times New Roman"/>
                <w:sz w:val="24"/>
                <w:szCs w:val="24"/>
              </w:rPr>
            </w:pPr>
            <w:r>
              <w:rPr>
                <w:rFonts w:ascii="Times New Roman" w:hAnsi="Times New Roman"/>
                <w:sz w:val="24"/>
                <w:szCs w:val="24"/>
              </w:rPr>
              <w:t>5) сведения и документы, подтверждающие соответствие соисполнителей, предприятий-изготовителей требованиям, установленным в документации в соответствии со ст. 5 Положения, если таковые требования были установлены, или справку о том, что соисполнители участником закупки привлекаться не будут;</w:t>
            </w:r>
          </w:p>
        </w:tc>
      </w:tr>
      <w:tr>
        <w:trPr>
          <w:trHeight w:val="411" w:hRule="atLeast"/>
        </w:trPr>
        <w:tc>
          <w:tcPr>
            <w:tcW w:w="486"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lineRule="auto" w:line="300"/>
              <w:rPr>
                <w:rFonts w:ascii="Times New Roman" w:hAnsi="Times New Roman" w:cs="Times New Roman"/>
                <w:sz w:val="24"/>
                <w:szCs w:val="24"/>
                <w:lang w:eastAsia="ru-RU"/>
              </w:rPr>
            </w:pPr>
            <w:r>
              <w:rPr>
                <w:rFonts w:cs="Times New Roman" w:ascii="Times New Roman" w:hAnsi="Times New Roman"/>
                <w:sz w:val="24"/>
                <w:szCs w:val="24"/>
                <w:lang w:eastAsia="ru-RU"/>
              </w:rPr>
              <w:t>20.</w:t>
            </w:r>
          </w:p>
        </w:tc>
        <w:tc>
          <w:tcPr>
            <w:tcW w:w="25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60"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Порядок и срок отзыва заявок на участие в открытом конкурсе, порядок возврата заявок на участие в  конкурсе</w:t>
            </w:r>
          </w:p>
        </w:tc>
        <w:tc>
          <w:tcPr>
            <w:tcW w:w="74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137" w:hanging="0"/>
              <w:jc w:val="both"/>
              <w:rPr>
                <w:rFonts w:ascii="Times New Roman" w:hAnsi="Times New Roman"/>
                <w:sz w:val="24"/>
                <w:szCs w:val="24"/>
                <w:lang w:eastAsia="ru-RU"/>
              </w:rPr>
            </w:pPr>
            <w:r>
              <w:rPr>
                <w:rFonts w:eastAsia="" w:cs="" w:ascii="Times New Roman" w:hAnsi="Times New Roman" w:cstheme="majorBidi" w:eastAsiaTheme="minorEastAsia"/>
                <w:sz w:val="24"/>
                <w:szCs w:val="24"/>
                <w:lang w:eastAsia="ru-RU"/>
              </w:rPr>
              <w:t>Участник закупки, подавший заявку на участие в конкурсе в электронной форме, вправе отозвать данную заявку либо внести в неё изменения не позднее даты окончания срока подачи заявок, направив об этом уведомление оператору электронной площадки</w:t>
            </w:r>
          </w:p>
        </w:tc>
      </w:tr>
      <w:tr>
        <w:trPr>
          <w:trHeight w:val="616" w:hRule="atLeast"/>
        </w:trPr>
        <w:tc>
          <w:tcPr>
            <w:tcW w:w="486"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lineRule="auto" w:line="300"/>
              <w:rPr/>
            </w:pPr>
            <w:r>
              <w:rPr/>
              <w:t>21</w:t>
            </w:r>
          </w:p>
        </w:tc>
        <w:tc>
          <w:tcPr>
            <w:tcW w:w="25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60" w:hanging="0"/>
              <w:jc w:val="both"/>
              <w:rPr>
                <w:rFonts w:ascii="Times New Roman" w:hAnsi="Times New Roman" w:cs="Times New Roman"/>
                <w:sz w:val="24"/>
                <w:szCs w:val="24"/>
                <w:lang w:eastAsia="ru-RU"/>
              </w:rPr>
            </w:pPr>
            <w:r>
              <w:rPr>
                <w:rFonts w:cs="Times New Roman" w:ascii="Times New Roman" w:hAnsi="Times New Roman"/>
                <w:sz w:val="24"/>
                <w:szCs w:val="24"/>
                <w:lang w:eastAsia="ru-RU"/>
              </w:rPr>
              <w:t>Обеспечение исполнения договора</w:t>
            </w:r>
          </w:p>
        </w:tc>
        <w:tc>
          <w:tcPr>
            <w:tcW w:w="74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69" w:hanging="0"/>
              <w:jc w:val="both"/>
              <w:rPr>
                <w:rFonts w:ascii="Times New Roman" w:hAnsi="Times New Roman" w:cs="Times New Roman"/>
                <w:sz w:val="24"/>
                <w:szCs w:val="24"/>
                <w:lang w:eastAsia="ru-RU"/>
              </w:rPr>
            </w:pPr>
            <w:r>
              <w:rPr>
                <w:rFonts w:cs="Times New Roman" w:ascii="Times New Roman" w:hAnsi="Times New Roman"/>
                <w:sz w:val="24"/>
                <w:szCs w:val="24"/>
                <w:lang w:eastAsia="ru-RU"/>
              </w:rPr>
              <w:t>Не требуется.</w:t>
            </w:r>
          </w:p>
        </w:tc>
      </w:tr>
      <w:tr>
        <w:trPr>
          <w:trHeight w:val="616" w:hRule="atLeast"/>
        </w:trPr>
        <w:tc>
          <w:tcPr>
            <w:tcW w:w="486" w:type="dxa"/>
            <w:tcBorders>
              <w:left w:val="single" w:sz="4" w:space="0" w:color="000000"/>
              <w:bottom w:val="single" w:sz="4" w:space="0" w:color="000000"/>
              <w:right w:val="single" w:sz="4" w:space="0" w:color="000000"/>
            </w:tcBorders>
            <w:shd w:color="auto" w:fill="auto" w:val="clear"/>
          </w:tcPr>
          <w:p>
            <w:pPr>
              <w:pStyle w:val="ListParagraph"/>
              <w:widowControl w:val="false"/>
              <w:spacing w:lineRule="auto" w:line="300"/>
              <w:rPr/>
            </w:pPr>
            <w:r>
              <w:rPr/>
              <w:t>22</w:t>
            </w:r>
          </w:p>
        </w:tc>
        <w:tc>
          <w:tcPr>
            <w:tcW w:w="2529"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60" w:hanging="0"/>
              <w:jc w:val="both"/>
              <w:rPr>
                <w:rFonts w:ascii="Times New Roman" w:hAnsi="Times New Roman" w:cs="Times New Roman"/>
                <w:sz w:val="24"/>
                <w:szCs w:val="24"/>
                <w:lang w:eastAsia="ru-RU"/>
              </w:rPr>
            </w:pPr>
            <w:r>
              <w:rPr>
                <w:rFonts w:cs="Times New Roman" w:ascii="Times New Roman" w:hAnsi="Times New Roman"/>
                <w:sz w:val="24"/>
                <w:szCs w:val="24"/>
                <w:lang w:eastAsia="ru-RU"/>
              </w:rPr>
              <w:t>Обеспечение исполнения Гарантийных обязательств</w:t>
            </w:r>
          </w:p>
        </w:tc>
        <w:tc>
          <w:tcPr>
            <w:tcW w:w="7425" w:type="dxa"/>
            <w:tcBorders>
              <w:left w:val="single" w:sz="4" w:space="0" w:color="000000"/>
              <w:bottom w:val="single" w:sz="4" w:space="0" w:color="000000"/>
              <w:right w:val="single" w:sz="4" w:space="0" w:color="000000"/>
            </w:tcBorders>
            <w:shd w:color="auto" w:fill="auto" w:val="clear"/>
          </w:tcPr>
          <w:p>
            <w:pPr>
              <w:pStyle w:val="Normal"/>
              <w:widowControl w:val="false"/>
              <w:numPr>
                <w:ilvl w:val="0"/>
                <w:numId w:val="3"/>
              </w:numPr>
              <w:spacing w:lineRule="auto" w:line="240" w:before="0" w:after="0"/>
              <w:ind w:right="69" w:hanging="0"/>
              <w:jc w:val="both"/>
              <w:rPr/>
            </w:pPr>
            <w:r>
              <w:rPr>
                <w:rFonts w:cs="Times New Roman" w:ascii="Times New Roman" w:hAnsi="Times New Roman"/>
                <w:color w:val="000000"/>
                <w:sz w:val="24"/>
                <w:szCs w:val="24"/>
                <w:lang w:eastAsia="ru-RU"/>
              </w:rPr>
              <w:t>Не требуется.</w:t>
            </w:r>
          </w:p>
          <w:p>
            <w:pPr>
              <w:pStyle w:val="Normal"/>
              <w:widowControl w:val="false"/>
              <w:spacing w:before="0" w:after="0"/>
              <w:contextualSpacing/>
              <w:rPr>
                <w:lang w:val="en-US"/>
              </w:rPr>
            </w:pPr>
            <w:r>
              <w:rPr>
                <w:lang w:val="en-US"/>
              </w:rPr>
            </w:r>
          </w:p>
        </w:tc>
      </w:tr>
      <w:tr>
        <w:trPr>
          <w:trHeight w:val="126" w:hRule="atLeast"/>
        </w:trPr>
        <w:tc>
          <w:tcPr>
            <w:tcW w:w="486"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lineRule="auto" w:line="300"/>
              <w:rPr>
                <w:rFonts w:ascii="Times New Roman" w:hAnsi="Times New Roman" w:cs="Times New Roman"/>
                <w:sz w:val="24"/>
                <w:szCs w:val="24"/>
                <w:lang w:eastAsia="ru-RU"/>
              </w:rPr>
            </w:pPr>
            <w:r>
              <w:rPr>
                <w:rFonts w:cs="Times New Roman" w:ascii="Times New Roman" w:hAnsi="Times New Roman"/>
                <w:sz w:val="24"/>
                <w:szCs w:val="24"/>
                <w:lang w:eastAsia="ru-RU"/>
              </w:rPr>
              <w:t>23.</w:t>
            </w:r>
          </w:p>
        </w:tc>
        <w:tc>
          <w:tcPr>
            <w:tcW w:w="25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60" w:hanging="0"/>
              <w:jc w:val="both"/>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Срок со дня размещения в Единой информационной системе протокола открытого конкурса в течение которого победитель должен подписать проект договора</w:t>
            </w:r>
          </w:p>
        </w:tc>
        <w:tc>
          <w:tcPr>
            <w:tcW w:w="74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137" w:hanging="0"/>
              <w:jc w:val="both"/>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Договор по результатам конкурса должен быть заключён не ранее чем через 10 (десять) дней и не позднее чем через 20 (двадцать) дней с даты размещения в единой информационной системе итогового протокола, составленного по результатам закупки.</w:t>
            </w:r>
          </w:p>
          <w:p>
            <w:pPr>
              <w:pStyle w:val="Normal"/>
              <w:widowControl w:val="false"/>
              <w:spacing w:lineRule="auto" w:line="240" w:before="0" w:after="0"/>
              <w:ind w:right="137" w:hanging="0"/>
              <w:jc w:val="both"/>
              <w:rPr>
                <w:rFonts w:ascii="Times New Roman" w:hAnsi="Times New Roman"/>
                <w:color w:val="000000"/>
                <w:sz w:val="24"/>
                <w:szCs w:val="24"/>
              </w:rPr>
            </w:pPr>
            <w:r>
              <w:rPr>
                <w:rFonts w:cs="Times New Roman" w:ascii="Times New Roman" w:hAnsi="Times New Roman"/>
                <w:color w:val="000000"/>
                <w:sz w:val="24"/>
                <w:szCs w:val="24"/>
                <w:lang w:eastAsia="ru-RU"/>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закупки, оператора электронной площадки договор должен быть заключён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закупки, оператора электронной площадки.</w:t>
            </w:r>
          </w:p>
        </w:tc>
      </w:tr>
      <w:tr>
        <w:trPr>
          <w:trHeight w:val="616" w:hRule="atLeast"/>
        </w:trPr>
        <w:tc>
          <w:tcPr>
            <w:tcW w:w="486"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lineRule="auto" w:line="300"/>
              <w:rPr>
                <w:rFonts w:ascii="Times New Roman" w:hAnsi="Times New Roman" w:cs="Times New Roman"/>
                <w:sz w:val="24"/>
                <w:szCs w:val="24"/>
                <w:lang w:eastAsia="ru-RU"/>
              </w:rPr>
            </w:pPr>
            <w:r>
              <w:rPr>
                <w:rFonts w:cs="Times New Roman" w:ascii="Times New Roman" w:hAnsi="Times New Roman"/>
                <w:sz w:val="24"/>
                <w:szCs w:val="24"/>
                <w:lang w:eastAsia="ru-RU"/>
              </w:rPr>
              <w:t>24.</w:t>
            </w:r>
          </w:p>
        </w:tc>
        <w:tc>
          <w:tcPr>
            <w:tcW w:w="25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60" w:hanging="0"/>
              <w:jc w:val="both"/>
              <w:rPr>
                <w:rFonts w:ascii="Times New Roman" w:hAnsi="Times New Roman" w:cs="Times New Roman"/>
                <w:sz w:val="24"/>
                <w:szCs w:val="24"/>
                <w:lang w:eastAsia="ru-RU"/>
              </w:rPr>
            </w:pPr>
            <w:r>
              <w:rPr>
                <w:rFonts w:cs="Times New Roman" w:ascii="Times New Roman" w:hAnsi="Times New Roman"/>
                <w:sz w:val="24"/>
                <w:szCs w:val="24"/>
                <w:lang w:eastAsia="ru-RU"/>
              </w:rPr>
              <w:t>Отказ от проведения открытого конкурса</w:t>
            </w:r>
          </w:p>
        </w:tc>
        <w:tc>
          <w:tcPr>
            <w:tcW w:w="74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137" w:hanging="0"/>
              <w:jc w:val="both"/>
              <w:rPr>
                <w:rFonts w:ascii="Times New Roman" w:hAnsi="Times New Roman"/>
                <w:sz w:val="24"/>
                <w:szCs w:val="24"/>
              </w:rPr>
            </w:pPr>
            <w:r>
              <w:rPr>
                <w:rFonts w:eastAsia="" w:cs="" w:ascii="Times New Roman" w:hAnsi="Times New Roman" w:cstheme="majorBidi" w:eastAsiaTheme="minorEastAsia"/>
                <w:sz w:val="24"/>
                <w:szCs w:val="24"/>
                <w:lang w:eastAsia="ru-RU"/>
              </w:rPr>
              <w:t>Заказчик, разместивший в единой информационной системе извещение о проведении конкурса в электронной форме, вправе отменить проведение конкурса в электронной форме до наступления даты и времени окончания срока подачи заявок на участие в конкурсе в электронной форме.</w:t>
            </w:r>
          </w:p>
          <w:p>
            <w:pPr>
              <w:pStyle w:val="Normal"/>
              <w:widowControl w:val="false"/>
              <w:spacing w:lineRule="auto" w:line="240" w:before="0" w:after="0"/>
              <w:ind w:right="137" w:hanging="0"/>
              <w:jc w:val="both"/>
              <w:rPr>
                <w:rFonts w:ascii="Times New Roman" w:hAnsi="Times New Roman"/>
                <w:sz w:val="24"/>
                <w:szCs w:val="24"/>
                <w:lang w:eastAsia="ru-RU"/>
              </w:rPr>
            </w:pPr>
            <w:r>
              <w:rPr>
                <w:rFonts w:eastAsia="" w:cs="" w:ascii="Times New Roman" w:hAnsi="Times New Roman" w:cstheme="majorBidi" w:eastAsiaTheme="minorEastAsia"/>
                <w:sz w:val="24"/>
                <w:szCs w:val="24"/>
                <w:lang w:eastAsia="ru-RU"/>
              </w:rPr>
              <w:t>Решение об отмене конкурса в электронной форме размещается в единой информационной системе в день принятия этого решения. В течение одного часа с момента размещения в единой информационной системе извещения об отказе от осуществления конкурса в электронной форме оператор электронной площадки размещает указанную информацию на электронной площадке.</w:t>
            </w:r>
          </w:p>
        </w:tc>
      </w:tr>
    </w:tbl>
    <w:p>
      <w:pPr>
        <w:pStyle w:val="Normal"/>
        <w:spacing w:lineRule="auto" w:line="300" w:before="0" w:after="0"/>
        <w:rPr>
          <w:rFonts w:ascii="Times New Roman" w:hAnsi="Times New Roman"/>
          <w:sz w:val="24"/>
          <w:szCs w:val="24"/>
        </w:rPr>
      </w:pPr>
      <w:r>
        <w:rPr>
          <w:rFonts w:ascii="Times New Roman" w:hAnsi="Times New Roman"/>
          <w:sz w:val="24"/>
          <w:szCs w:val="24"/>
        </w:rPr>
      </w:r>
    </w:p>
    <w:p>
      <w:pPr>
        <w:pStyle w:val="Normal"/>
        <w:spacing w:lineRule="auto" w:line="300" w:before="0" w:after="0"/>
        <w:rPr>
          <w:rFonts w:ascii="Times New Roman" w:hAnsi="Times New Roman"/>
          <w:sz w:val="24"/>
          <w:szCs w:val="24"/>
        </w:rPr>
      </w:pPr>
      <w:r>
        <w:rPr>
          <w:rFonts w:ascii="Times New Roman" w:hAnsi="Times New Roman"/>
          <w:sz w:val="24"/>
          <w:szCs w:val="24"/>
        </w:rPr>
      </w:r>
    </w:p>
    <w:p>
      <w:pPr>
        <w:pStyle w:val="1"/>
        <w:spacing w:lineRule="auto" w:line="300" w:before="0" w:after="0"/>
        <w:jc w:val="center"/>
        <w:rPr/>
      </w:pPr>
      <w:bookmarkStart w:id="18" w:name="_Toc527550219"/>
      <w:bookmarkStart w:id="19" w:name="_Toc454823348"/>
      <w:bookmarkStart w:id="20" w:name="__DdeLink__21776_3566167380"/>
      <w:bookmarkEnd w:id="20"/>
      <w:r>
        <w:rPr>
          <w:rFonts w:eastAsia="Times New Roman" w:cs="Times New Roman" w:ascii="Times New Roman" w:hAnsi="Times New Roman"/>
          <w:b/>
          <w:bCs/>
          <w:color w:val="000000"/>
          <w:sz w:val="24"/>
          <w:szCs w:val="24"/>
        </w:rPr>
        <w:t xml:space="preserve">РАЗДЕЛ 3. </w:t>
      </w:r>
      <w:bookmarkEnd w:id="19"/>
      <w:r>
        <w:rPr>
          <w:rFonts w:eastAsia="Times New Roman" w:cs="Times New Roman" w:ascii="Times New Roman" w:hAnsi="Times New Roman"/>
          <w:b/>
          <w:bCs/>
          <w:color w:val="000000"/>
          <w:sz w:val="24"/>
          <w:szCs w:val="24"/>
        </w:rPr>
        <w:t>КРИТЕРИИ ОЦЕНКИ ЗАЯВОК НА УЧАСТИЕ В КОНКУРСЕ</w:t>
      </w:r>
      <w:bookmarkEnd w:id="18"/>
    </w:p>
    <w:p>
      <w:pPr>
        <w:pStyle w:val="Normal"/>
        <w:spacing w:lineRule="auto" w:line="300" w:before="0" w:after="0"/>
        <w:rPr>
          <w:rFonts w:ascii="Times New Roman" w:hAnsi="Times New Roman"/>
          <w:sz w:val="24"/>
          <w:szCs w:val="24"/>
        </w:rPr>
      </w:pPr>
      <w:r>
        <w:rPr>
          <w:rFonts w:ascii="Times New Roman" w:hAnsi="Times New Roman"/>
          <w:sz w:val="24"/>
          <w:szCs w:val="24"/>
        </w:rPr>
      </w:r>
    </w:p>
    <w:p>
      <w:pPr>
        <w:pStyle w:val="Normal"/>
        <w:widowControl w:val="false"/>
        <w:spacing w:lineRule="auto" w:line="276" w:before="0" w:after="60"/>
        <w:ind w:firstLine="709"/>
        <w:jc w:val="both"/>
        <w:textAlignment w:val="baseline"/>
        <w:rPr/>
      </w:pPr>
      <w:r>
        <w:rPr>
          <w:rFonts w:eastAsia="Segoe UI" w:cs="Liberation Serif;Times New Roma" w:ascii="Liberation Serif;Times New Roma" w:hAnsi="Liberation Serif;Times New Roma"/>
          <w:i/>
          <w:color w:val="000000"/>
          <w:kern w:val="2"/>
          <w:lang w:eastAsia="zh-CN" w:bidi="hi-IN"/>
        </w:rPr>
        <w:t>3.1.1. Комиссия рассматривает заявки на участие в конкурсе на соответствие требованиям, установленным настоящей документацией о конкурсе. Также Комиссия осуществляет проверку соответствия участников закупки требованиям, установленным настоящей документацией о конкурсе в электронной форме.</w:t>
      </w:r>
    </w:p>
    <w:p>
      <w:pPr>
        <w:pStyle w:val="Normal"/>
        <w:widowControl w:val="false"/>
        <w:spacing w:lineRule="auto" w:line="276" w:before="0" w:after="60"/>
        <w:ind w:firstLine="709"/>
        <w:jc w:val="both"/>
        <w:textAlignment w:val="baseline"/>
        <w:rPr/>
      </w:pPr>
      <w:r>
        <w:rPr>
          <w:rFonts w:eastAsia="Segoe UI" w:cs="Liberation Serif;Times New Roma" w:ascii="Liberation Serif;Times New Roma" w:hAnsi="Liberation Serif;Times New Roma"/>
          <w:i/>
          <w:color w:val="000000"/>
          <w:kern w:val="2"/>
          <w:lang w:eastAsia="zh-CN" w:bidi="hi-IN"/>
        </w:rPr>
        <w:t>3.1.2. При рассмотрении заявок на участие в конкурсе участник закупки не допускается Комиссией к участию в конкурсе в случаях, предусмотренных настоящей документацией о конкурсе в электронной форме и Положением о закупке.</w:t>
      </w:r>
    </w:p>
    <w:p>
      <w:pPr>
        <w:pStyle w:val="Normal"/>
        <w:widowControl w:val="false"/>
        <w:spacing w:lineRule="auto" w:line="276" w:before="0" w:after="60"/>
        <w:ind w:firstLine="709"/>
        <w:jc w:val="both"/>
        <w:textAlignment w:val="baseline"/>
        <w:rPr/>
      </w:pPr>
      <w:r>
        <w:rPr>
          <w:rFonts w:eastAsia="Segoe UI" w:cs="Liberation Serif;Times New Roma" w:ascii="Liberation Serif;Times New Roma" w:hAnsi="Liberation Serif;Times New Roma"/>
          <w:i/>
          <w:color w:val="000000"/>
          <w:kern w:val="2"/>
          <w:lang w:eastAsia="zh-CN" w:bidi="hi-IN"/>
        </w:rPr>
        <w:t>5.1.3. В случае если на основании результатов рассмотрения заявок на участие в конкурсе в электронной форме принято решение об отказе в допуске к участию в конкурсе всех участников закупки, подавших заявки на участие в конкурсе в электронной форме, конкурс признается несостоявшимся.</w:t>
      </w:r>
    </w:p>
    <w:p>
      <w:pPr>
        <w:pStyle w:val="Normal"/>
        <w:widowControl w:val="false"/>
        <w:spacing w:lineRule="auto" w:line="276" w:before="0" w:after="60"/>
        <w:ind w:firstLine="709"/>
        <w:jc w:val="both"/>
        <w:textAlignment w:val="baseline"/>
        <w:rPr/>
      </w:pPr>
      <w:r>
        <w:rPr>
          <w:rFonts w:eastAsia="Segoe UI" w:cs="Liberation Serif;Times New Roma" w:ascii="Liberation Serif;Times New Roma" w:hAnsi="Liberation Serif;Times New Roma"/>
          <w:b/>
          <w:i/>
          <w:color w:val="000000"/>
          <w:kern w:val="2"/>
          <w:lang w:eastAsia="zh-CN" w:bidi="hi-IN"/>
        </w:rPr>
        <w:t>3.2. Оценка и сопоставление заявок</w:t>
      </w:r>
    </w:p>
    <w:p>
      <w:pPr>
        <w:pStyle w:val="Normal"/>
        <w:widowControl w:val="false"/>
        <w:spacing w:lineRule="auto" w:line="276" w:before="0" w:after="60"/>
        <w:ind w:firstLine="709"/>
        <w:jc w:val="both"/>
        <w:textAlignment w:val="baseline"/>
        <w:rPr/>
      </w:pPr>
      <w:r>
        <w:rPr>
          <w:rFonts w:eastAsia="Segoe UI" w:cs="Liberation Serif;Times New Roma" w:ascii="Liberation Serif;Times New Roma" w:hAnsi="Liberation Serif;Times New Roma"/>
          <w:i/>
          <w:color w:val="000000"/>
          <w:kern w:val="2"/>
          <w:lang w:eastAsia="zh-CN" w:bidi="hi-IN"/>
        </w:rPr>
        <w:t>3.2.1. Оценка заявок на участие в конкурсе в электронной форме осуществляется Комиссией в целях выявления лучших условий исполнения договора в соответствии с критериями и в порядке, которые установлены настоящей закупочной документацией.</w:t>
      </w:r>
    </w:p>
    <w:p>
      <w:pPr>
        <w:pStyle w:val="Normal"/>
        <w:widowControl w:val="false"/>
        <w:spacing w:lineRule="auto" w:line="276" w:before="0" w:after="60"/>
        <w:ind w:firstLine="709"/>
        <w:jc w:val="both"/>
        <w:textAlignment w:val="baseline"/>
        <w:rPr>
          <w:rFonts w:ascii="Liberation Serif;Times New Roma" w:hAnsi="Liberation Serif;Times New Roma" w:eastAsia="Segoe UI" w:cs="Liberation Serif;Times New Roma"/>
          <w:i/>
          <w:i/>
          <w:color w:val="000000"/>
          <w:kern w:val="2"/>
          <w:lang w:eastAsia="zh-CN" w:bidi="hi-IN"/>
        </w:rPr>
      </w:pPr>
      <w:r>
        <w:rPr>
          <w:rFonts w:eastAsia="Segoe UI" w:cs="Liberation Serif;Times New Roma" w:ascii="Liberation Serif;Times New Roma" w:hAnsi="Liberation Serif;Times New Roma"/>
          <w:i/>
          <w:color w:val="000000"/>
          <w:kern w:val="2"/>
          <w:lang w:eastAsia="zh-CN" w:bidi="hi-IN"/>
        </w:rPr>
        <w:t>Сумма величин значимости критериев оценки, применяемых Заказчиком, составляет 100%, и распределяется следующим образом:</w:t>
      </w:r>
    </w:p>
    <w:p>
      <w:pPr>
        <w:pStyle w:val="Normal"/>
        <w:widowControl w:val="false"/>
        <w:tabs>
          <w:tab w:val="clear" w:pos="408"/>
          <w:tab w:val="left" w:pos="-17436" w:leader="none"/>
        </w:tabs>
        <w:spacing w:lineRule="auto" w:line="276"/>
        <w:ind w:firstLine="709"/>
        <w:jc w:val="both"/>
        <w:textAlignment w:val="baseline"/>
        <w:rPr/>
      </w:pPr>
      <w:r>
        <w:rPr>
          <w:rFonts w:eastAsia="Segoe UI" w:cs="Liberation Serif;Times New Roma" w:ascii="Liberation Serif;Times New Roma" w:hAnsi="Liberation Serif;Times New Roma"/>
          <w:i/>
          <w:color w:val="000000"/>
          <w:kern w:val="2"/>
          <w:lang w:eastAsia="zh-CN" w:bidi="hi-IN"/>
        </w:rPr>
        <w:t>а) 40% – критерий «</w:t>
      </w:r>
      <w:r>
        <w:rPr>
          <w:rFonts w:eastAsia="Segoe UI" w:cs="Liberation Serif;Times New Roma" w:ascii="Liberation Serif;Times New Roma" w:hAnsi="Liberation Serif;Times New Roma"/>
          <w:b/>
          <w:bCs/>
          <w:i/>
          <w:color w:val="000000"/>
          <w:kern w:val="2"/>
          <w:lang w:eastAsia="zh-CN" w:bidi="hi-IN"/>
        </w:rPr>
        <w:t>Сумма цен единиц</w:t>
      </w:r>
      <w:r>
        <w:rPr>
          <w:rFonts w:eastAsia="Segoe UI" w:cs="Liberation Serif;Times New Roma" w:ascii="Liberation Serif;Times New Roma" w:hAnsi="Liberation Serif;Times New Roma"/>
          <w:i/>
          <w:color w:val="000000"/>
          <w:kern w:val="2"/>
          <w:lang w:eastAsia="zh-CN" w:bidi="hi-IN"/>
        </w:rPr>
        <w:t>», являющийся стоимостным критерием оценки;</w:t>
      </w:r>
    </w:p>
    <w:p>
      <w:pPr>
        <w:pStyle w:val="Normal"/>
        <w:widowControl w:val="false"/>
        <w:tabs>
          <w:tab w:val="clear" w:pos="408"/>
          <w:tab w:val="left" w:pos="-17436" w:leader="none"/>
        </w:tabs>
        <w:spacing w:lineRule="auto" w:line="276"/>
        <w:ind w:firstLine="709"/>
        <w:jc w:val="both"/>
        <w:textAlignment w:val="baseline"/>
        <w:rPr/>
      </w:pPr>
      <w:r>
        <w:rPr>
          <w:rFonts w:eastAsia="Segoe UI" w:cs="Liberation Serif;Times New Roma" w:ascii="Liberation Serif;Times New Roma" w:hAnsi="Liberation Serif;Times New Roma"/>
          <w:i/>
          <w:color w:val="000000"/>
          <w:kern w:val="2"/>
          <w:lang w:eastAsia="zh-CN" w:bidi="hi-IN"/>
        </w:rPr>
        <w:t xml:space="preserve">б) 60% – критерий </w:t>
      </w:r>
      <w:r>
        <w:rPr>
          <w:rFonts w:eastAsia="Segoe UI" w:cs="Liberation Serif;Times New Roma" w:ascii="Liberation Serif;Times New Roma" w:hAnsi="Liberation Serif;Times New Roma"/>
          <w:b/>
          <w:bCs/>
          <w:i/>
          <w:color w:val="000000"/>
          <w:kern w:val="2"/>
          <w:lang w:eastAsia="zh-CN" w:bidi="hi-IN"/>
        </w:rPr>
        <w:t>«Нестоимостные критерии оценки заявок участников закупки»;</w:t>
      </w:r>
    </w:p>
    <w:p>
      <w:pPr>
        <w:pStyle w:val="Normal"/>
        <w:widowControl w:val="false"/>
        <w:tabs>
          <w:tab w:val="clear" w:pos="408"/>
          <w:tab w:val="left" w:pos="-17436" w:leader="none"/>
        </w:tabs>
        <w:spacing w:lineRule="auto" w:line="276"/>
        <w:ind w:firstLine="709"/>
        <w:jc w:val="both"/>
        <w:textAlignment w:val="baseline"/>
        <w:rPr>
          <w:rFonts w:ascii="Liberation Serif;Times New Roma" w:hAnsi="Liberation Serif;Times New Roma" w:eastAsia="Segoe UI" w:cs="Liberation Serif;Times New Roma"/>
          <w:i/>
          <w:i/>
          <w:color w:val="000000"/>
          <w:kern w:val="2"/>
          <w:lang w:eastAsia="zh-CN" w:bidi="hi-IN"/>
        </w:rPr>
      </w:pPr>
      <w:r>
        <w:rPr>
          <w:rFonts w:eastAsia="Segoe UI" w:cs="Liberation Serif;Times New Roma" w:ascii="Liberation Serif;Times New Roma" w:hAnsi="Liberation Serif;Times New Roma"/>
          <w:i/>
          <w:color w:val="000000"/>
          <w:kern w:val="2"/>
          <w:lang w:eastAsia="zh-CN" w:bidi="hi-IN"/>
        </w:rPr>
        <w:t>Для оценки заявок участников закупки по каждому критерию оценки используется 100-балльная шкала оценки. Для каждого показателя устанавливается шкала предельных величин значимости показателей оценки, устанавливающая интервалы их изменений.</w:t>
      </w:r>
    </w:p>
    <w:p>
      <w:pPr>
        <w:pStyle w:val="Normal"/>
        <w:widowControl w:val="false"/>
        <w:tabs>
          <w:tab w:val="clear" w:pos="408"/>
          <w:tab w:val="left" w:pos="-17436" w:leader="none"/>
        </w:tabs>
        <w:spacing w:lineRule="auto" w:line="276"/>
        <w:ind w:firstLine="709"/>
        <w:jc w:val="both"/>
        <w:textAlignment w:val="baseline"/>
        <w:rPr>
          <w:rFonts w:ascii="Liberation Serif;Times New Roma" w:hAnsi="Liberation Serif;Times New Roma" w:eastAsia="Segoe UI" w:cs="Liberation Serif;Times New Roma"/>
          <w:i/>
          <w:i/>
          <w:color w:val="000000"/>
          <w:kern w:val="2"/>
          <w:lang w:eastAsia="zh-CN" w:bidi="hi-IN"/>
        </w:rPr>
      </w:pPr>
      <w:r>
        <w:rPr>
          <w:rFonts w:eastAsia="Segoe UI" w:cs="Liberation Serif;Times New Roma" w:ascii="Liberation Serif;Times New Roma" w:hAnsi="Liberation Serif;Times New Roma"/>
          <w:i/>
          <w:color w:val="000000"/>
          <w:kern w:val="2"/>
          <w:lang w:eastAsia="zh-CN" w:bidi="hi-IN"/>
        </w:rPr>
        <w:t>В отношении не стоимостного критерия оценки в закупочной документации Заказчиком предусматриваются показатели, для каждого показателя устанавливается его значимость, в соответствии с которой будет производиться оценка.</w:t>
      </w:r>
    </w:p>
    <w:p>
      <w:pPr>
        <w:pStyle w:val="Normal"/>
        <w:widowControl w:val="false"/>
        <w:tabs>
          <w:tab w:val="clear" w:pos="408"/>
          <w:tab w:val="left" w:pos="-17436" w:leader="none"/>
        </w:tabs>
        <w:spacing w:lineRule="auto" w:line="276"/>
        <w:ind w:firstLine="709"/>
        <w:jc w:val="both"/>
        <w:textAlignment w:val="baseline"/>
        <w:rPr>
          <w:rFonts w:ascii="Liberation Serif;Times New Roma" w:hAnsi="Liberation Serif;Times New Roma" w:eastAsia="Segoe UI" w:cs="Liberation Serif;Times New Roma"/>
          <w:color w:val="000000"/>
          <w:kern w:val="2"/>
          <w:lang w:eastAsia="zh-CN" w:bidi="hi-IN"/>
        </w:rPr>
      </w:pPr>
      <w:r>
        <w:rPr>
          <w:rFonts w:eastAsia="Segoe UI" w:cs="Liberation Serif;Times New Roma" w:ascii="Liberation Serif;Times New Roma" w:hAnsi="Liberation Serif;Times New Roma"/>
          <w:color w:val="000000"/>
          <w:kern w:val="2"/>
          <w:lang w:eastAsia="zh-CN" w:bidi="hi-IN"/>
        </w:rPr>
      </w:r>
    </w:p>
    <w:tbl>
      <w:tblPr>
        <w:tblW w:w="9885" w:type="dxa"/>
        <w:jc w:val="left"/>
        <w:tblInd w:w="179" w:type="dxa"/>
        <w:tblLayout w:type="fixed"/>
        <w:tblCellMar>
          <w:top w:w="0" w:type="dxa"/>
          <w:left w:w="108" w:type="dxa"/>
          <w:bottom w:w="0" w:type="dxa"/>
          <w:right w:w="108" w:type="dxa"/>
        </w:tblCellMar>
        <w:tblLook w:firstRow="1" w:noVBand="1" w:lastRow="0" w:firstColumn="1" w:lastColumn="0" w:noHBand="0" w:val="04a0"/>
      </w:tblPr>
      <w:tblGrid>
        <w:gridCol w:w="688"/>
        <w:gridCol w:w="23"/>
        <w:gridCol w:w="1385"/>
        <w:gridCol w:w="6016"/>
        <w:gridCol w:w="1772"/>
      </w:tblGrid>
      <w:tr>
        <w:trPr/>
        <w:tc>
          <w:tcPr>
            <w:tcW w:w="6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0" w:after="160"/>
              <w:jc w:val="center"/>
              <w:textAlignment w:val="baseline"/>
              <w:rPr>
                <w:rFonts w:ascii="Times New Roman" w:hAnsi="Times New Roman"/>
              </w:rPr>
            </w:pPr>
            <w:r>
              <w:rPr>
                <w:rFonts w:eastAsia="Segoe UI" w:cs="Liberation Serif;Times New Roma" w:ascii="Times New Roman" w:hAnsi="Times New Roman"/>
                <w:b/>
                <w:i/>
                <w:color w:val="000000"/>
                <w:kern w:val="2"/>
                <w:lang w:eastAsia="zh-CN" w:bidi="hi-IN"/>
              </w:rPr>
              <w:t>№</w:t>
            </w:r>
            <w:r>
              <w:rPr>
                <w:rFonts w:eastAsia="Liberation Serif;Times New Roma" w:cs="Liberation Serif;Times New Roma" w:ascii="Times New Roman" w:hAnsi="Times New Roman"/>
                <w:b/>
                <w:i/>
                <w:color w:val="000000"/>
                <w:kern w:val="2"/>
                <w:lang w:eastAsia="zh-CN" w:bidi="hi-IN"/>
              </w:rPr>
              <w:t xml:space="preserve"> </w:t>
            </w:r>
            <w:r>
              <w:rPr>
                <w:rFonts w:eastAsia="Segoe UI" w:cs="Liberation Serif;Times New Roma" w:ascii="Times New Roman" w:hAnsi="Times New Roman"/>
                <w:b/>
                <w:i/>
                <w:color w:val="000000"/>
                <w:kern w:val="2"/>
                <w:lang w:eastAsia="zh-CN" w:bidi="hi-IN"/>
              </w:rPr>
              <w:t>п/п</w:t>
            </w:r>
          </w:p>
        </w:tc>
        <w:tc>
          <w:tcPr>
            <w:tcW w:w="140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0" w:after="160"/>
              <w:jc w:val="center"/>
              <w:textAlignment w:val="baseline"/>
              <w:rPr>
                <w:rFonts w:ascii="Times New Roman" w:hAnsi="Times New Roman" w:eastAsia="Segoe UI" w:cs="Liberation Serif;Times New Roma"/>
                <w:b/>
                <w:i/>
                <w:i/>
                <w:color w:val="000000"/>
                <w:kern w:val="2"/>
                <w:lang w:eastAsia="zh-CN" w:bidi="hi-IN"/>
              </w:rPr>
            </w:pPr>
            <w:r>
              <w:rPr>
                <w:rFonts w:eastAsia="Segoe UI" w:cs="Liberation Serif;Times New Roma" w:ascii="Times New Roman" w:hAnsi="Times New Roman"/>
                <w:b/>
                <w:i/>
                <w:color w:val="000000"/>
                <w:kern w:val="2"/>
                <w:lang w:eastAsia="zh-CN" w:bidi="hi-IN"/>
              </w:rPr>
              <w:t>Максимальное количество баллов по критерию</w:t>
            </w:r>
          </w:p>
        </w:tc>
        <w:tc>
          <w:tcPr>
            <w:tcW w:w="60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0" w:after="160"/>
              <w:jc w:val="center"/>
              <w:textAlignment w:val="baseline"/>
              <w:rPr>
                <w:rFonts w:ascii="Times New Roman" w:hAnsi="Times New Roman" w:eastAsia="Segoe UI" w:cs="Liberation Serif;Times New Roma"/>
                <w:b/>
                <w:i/>
                <w:i/>
                <w:color w:val="000000"/>
                <w:kern w:val="2"/>
                <w:lang w:eastAsia="zh-CN" w:bidi="hi-IN"/>
              </w:rPr>
            </w:pPr>
            <w:r>
              <w:rPr>
                <w:rFonts w:eastAsia="Segoe UI" w:cs="Liberation Serif;Times New Roma" w:ascii="Times New Roman" w:hAnsi="Times New Roman"/>
                <w:b/>
                <w:i/>
                <w:color w:val="000000"/>
                <w:kern w:val="2"/>
                <w:lang w:eastAsia="zh-CN" w:bidi="hi-IN"/>
              </w:rPr>
              <w:t>Критерии оценки заявок и их содержание</w:t>
            </w:r>
          </w:p>
        </w:tc>
        <w:tc>
          <w:tcPr>
            <w:tcW w:w="17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0" w:after="160"/>
              <w:jc w:val="center"/>
              <w:textAlignment w:val="baseline"/>
              <w:rPr>
                <w:rFonts w:ascii="Times New Roman" w:hAnsi="Times New Roman"/>
              </w:rPr>
            </w:pPr>
            <w:r>
              <w:rPr>
                <w:rFonts w:eastAsia="Segoe UI" w:cs="Liberation Serif;Times New Roma" w:ascii="Times New Roman" w:hAnsi="Times New Roman"/>
                <w:b/>
                <w:i/>
                <w:color w:val="000000"/>
                <w:kern w:val="2"/>
                <w:lang w:eastAsia="zh-CN" w:bidi="hi-IN"/>
              </w:rPr>
              <w:t>Значимость критерия оценки заявок на участие в  конкурсе в электронной форме  (удельный вес)</w:t>
            </w:r>
          </w:p>
        </w:tc>
      </w:tr>
      <w:tr>
        <w:trPr/>
        <w:tc>
          <w:tcPr>
            <w:tcW w:w="6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0" w:after="160"/>
              <w:jc w:val="center"/>
              <w:textAlignment w:val="baseline"/>
              <w:rPr>
                <w:rFonts w:ascii="Times New Roman" w:hAnsi="Times New Roman" w:eastAsia="Segoe UI" w:cs="Liberation Serif;Times New Roma"/>
                <w:i/>
                <w:i/>
                <w:color w:val="000000"/>
                <w:kern w:val="2"/>
                <w:lang w:eastAsia="zh-CN" w:bidi="hi-IN"/>
              </w:rPr>
            </w:pPr>
            <w:r>
              <w:rPr>
                <w:rFonts w:eastAsia="Segoe UI" w:cs="Liberation Serif;Times New Roma" w:ascii="Times New Roman" w:hAnsi="Times New Roman"/>
                <w:i/>
                <w:color w:val="000000"/>
                <w:kern w:val="2"/>
                <w:lang w:eastAsia="zh-CN" w:bidi="hi-IN"/>
              </w:rPr>
              <w:t>1</w:t>
            </w:r>
          </w:p>
        </w:tc>
        <w:tc>
          <w:tcPr>
            <w:tcW w:w="140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0" w:after="160"/>
              <w:jc w:val="center"/>
              <w:textAlignment w:val="baseline"/>
              <w:rPr>
                <w:rFonts w:ascii="Times New Roman" w:hAnsi="Times New Roman" w:eastAsia="Segoe UI" w:cs="Liberation Serif;Times New Roma"/>
                <w:b/>
                <w:i/>
                <w:i/>
                <w:color w:val="000000"/>
                <w:kern w:val="2"/>
                <w:lang w:eastAsia="zh-CN" w:bidi="hi-IN"/>
              </w:rPr>
            </w:pPr>
            <w:r>
              <w:rPr>
                <w:rFonts w:eastAsia="Segoe UI" w:cs="Liberation Serif;Times New Roma" w:ascii="Times New Roman" w:hAnsi="Times New Roman"/>
                <w:b/>
                <w:i/>
                <w:color w:val="000000"/>
                <w:kern w:val="2"/>
                <w:lang w:eastAsia="zh-CN" w:bidi="hi-IN"/>
              </w:rPr>
              <w:t>100</w:t>
            </w:r>
          </w:p>
        </w:tc>
        <w:tc>
          <w:tcPr>
            <w:tcW w:w="60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textAlignment w:val="baseline"/>
              <w:rPr>
                <w:rFonts w:ascii="Times New Roman" w:hAnsi="Times New Roman"/>
              </w:rPr>
            </w:pPr>
            <w:r>
              <w:rPr>
                <w:rFonts w:eastAsia="Segoe UI" w:cs="Liberation Serif;Times New Roma" w:ascii="Times New Roman" w:hAnsi="Times New Roman"/>
                <w:b/>
                <w:bCs/>
                <w:i/>
                <w:color w:val="000000"/>
                <w:kern w:val="2"/>
                <w:lang w:eastAsia="zh-CN" w:bidi="hi-IN"/>
              </w:rPr>
              <w:t>Сумма цен единиц</w:t>
            </w:r>
            <w:r>
              <w:rPr>
                <w:rFonts w:eastAsia="Segoe UI" w:cs="Liberation Serif;Times New Roma" w:ascii="Times New Roman" w:hAnsi="Times New Roman"/>
                <w:b/>
                <w:i/>
                <w:color w:val="000000"/>
                <w:kern w:val="2"/>
                <w:lang w:eastAsia="zh-CN" w:bidi="hi-IN"/>
              </w:rPr>
              <w:t xml:space="preserve"> </w:t>
            </w:r>
            <w:r>
              <w:rPr>
                <w:rFonts w:eastAsia="Segoe UI" w:cs="Liberation Serif;Times New Roma" w:ascii="Times New Roman" w:hAnsi="Times New Roman"/>
                <w:b/>
                <w:i/>
                <w:color w:val="000000"/>
                <w:kern w:val="2"/>
                <w:vertAlign w:val="superscript"/>
                <w:lang w:eastAsia="zh-CN" w:bidi="hi-IN"/>
              </w:rPr>
              <w:t>*</w:t>
            </w:r>
            <w:r>
              <w:rPr>
                <w:rFonts w:eastAsia="Segoe UI" w:cs="Liberation Serif;Times New Roma" w:ascii="Times New Roman" w:hAnsi="Times New Roman"/>
                <w:b/>
                <w:i/>
                <w:color w:val="000000"/>
                <w:kern w:val="2"/>
                <w:lang w:eastAsia="zh-CN" w:bidi="hi-IN"/>
              </w:rPr>
              <w:t>:</w:t>
            </w:r>
          </w:p>
          <w:p>
            <w:pPr>
              <w:pStyle w:val="Normal"/>
              <w:widowControl w:val="false"/>
              <w:tabs>
                <w:tab w:val="clear" w:pos="408"/>
                <w:tab w:val="left" w:pos="900" w:leader="none"/>
              </w:tabs>
              <w:spacing w:lineRule="auto" w:line="276"/>
              <w:jc w:val="center"/>
              <w:textAlignment w:val="baseline"/>
              <w:rPr>
                <w:rFonts w:ascii="Times New Roman" w:hAnsi="Times New Roman" w:eastAsia="Segoe UI" w:cs="Liberation Serif;Times New Roma"/>
                <w:i/>
                <w:i/>
                <w:color w:val="000000"/>
                <w:kern w:val="2"/>
                <w:lang w:eastAsia="zh-CN" w:bidi="hi-IN"/>
              </w:rPr>
            </w:pPr>
            <w:r>
              <w:rPr>
                <w:rFonts w:eastAsia="Segoe UI" w:cs="Liberation Serif;Times New Roma" w:ascii="Times New Roman" w:hAnsi="Times New Roman"/>
                <w:i/>
                <w:color w:val="000000"/>
                <w:kern w:val="2"/>
                <w:lang w:eastAsia="zh-CN" w:bidi="hi-IN"/>
              </w:rPr>
              <w:t>Оценка предложений участников закупки осуществляется по 100-бальной шкале.</w:t>
            </w:r>
          </w:p>
          <w:p>
            <w:pPr>
              <w:pStyle w:val="Normal"/>
              <w:widowControl w:val="false"/>
              <w:tabs>
                <w:tab w:val="clear" w:pos="408"/>
                <w:tab w:val="left" w:pos="900" w:leader="none"/>
              </w:tabs>
              <w:spacing w:lineRule="auto" w:line="276"/>
              <w:jc w:val="center"/>
              <w:textAlignment w:val="baseline"/>
              <w:rPr>
                <w:rFonts w:ascii="Times New Roman" w:hAnsi="Times New Roman"/>
              </w:rPr>
            </w:pPr>
            <w:r>
              <w:rPr>
                <w:rFonts w:eastAsia="Segoe UI" w:cs="Liberation Serif;Times New Roma" w:ascii="Times New Roman" w:hAnsi="Times New Roman"/>
                <w:i/>
                <w:color w:val="000000"/>
                <w:kern w:val="2"/>
                <w:lang w:eastAsia="zh-CN" w:bidi="hi-IN"/>
              </w:rPr>
              <w:t>Количество баллов, присуждаемых по критерию оценки «</w:t>
            </w:r>
            <w:r>
              <w:rPr>
                <w:rFonts w:eastAsia="Segoe UI" w:cs="Liberation Serif;Times New Roma" w:ascii="Times New Roman" w:hAnsi="Times New Roman"/>
                <w:b/>
                <w:bCs/>
                <w:i/>
                <w:color w:val="000000"/>
                <w:kern w:val="2"/>
                <w:lang w:eastAsia="zh-CN" w:bidi="hi-IN"/>
              </w:rPr>
              <w:t>Сумма цен единиц</w:t>
            </w:r>
            <w:r>
              <w:rPr>
                <w:rFonts w:eastAsia="Segoe UI" w:cs="Liberation Serif;Times New Roma" w:ascii="Times New Roman" w:hAnsi="Times New Roman"/>
                <w:i/>
                <w:color w:val="000000"/>
                <w:kern w:val="2"/>
                <w:lang w:eastAsia="zh-CN" w:bidi="hi-IN"/>
              </w:rPr>
              <w:t>» (ЦБ</w:t>
            </w:r>
            <w:r>
              <w:rPr>
                <w:rFonts w:eastAsia="Segoe UI" w:cs="Liberation Serif;Times New Roma" w:ascii="Times New Roman" w:hAnsi="Times New Roman"/>
                <w:i/>
                <w:color w:val="000000"/>
                <w:kern w:val="2"/>
                <w:lang w:val="en-US" w:eastAsia="zh-CN" w:bidi="hi-IN"/>
              </w:rPr>
              <w:t>i</w:t>
            </w:r>
            <w:r>
              <w:rPr>
                <w:rFonts w:eastAsia="Segoe UI" w:cs="Liberation Serif;Times New Roma" w:ascii="Times New Roman" w:hAnsi="Times New Roman"/>
                <w:i/>
                <w:color w:val="000000"/>
                <w:kern w:val="2"/>
                <w:lang w:eastAsia="zh-CN" w:bidi="hi-IN"/>
              </w:rPr>
              <w:t>), определяется по формуле:</w:t>
            </w:r>
          </w:p>
          <w:p>
            <w:pPr>
              <w:pStyle w:val="Normal"/>
              <w:widowControl w:val="false"/>
              <w:tabs>
                <w:tab w:val="clear" w:pos="408"/>
                <w:tab w:val="left" w:pos="900" w:leader="none"/>
              </w:tabs>
              <w:spacing w:lineRule="auto" w:line="276"/>
              <w:jc w:val="center"/>
              <w:textAlignment w:val="baseline"/>
              <w:rPr>
                <w:rFonts w:ascii="Times New Roman" w:hAnsi="Times New Roman" w:eastAsia="Segoe UI" w:cs="Liberation Serif;Times New Roma"/>
                <w:color w:val="000000"/>
                <w:kern w:val="2"/>
                <w:highlight w:val="yellow"/>
                <w:lang w:eastAsia="zh-CN" w:bidi="hi-IN"/>
              </w:rPr>
            </w:pPr>
            <w:r>
              <w:rPr/>
              <w:drawing>
                <wp:inline distT="0" distB="0" distL="0" distR="0">
                  <wp:extent cx="1181735" cy="344805"/>
                  <wp:effectExtent l="0" t="0" r="0" b="0"/>
                  <wp:docPr id="1"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
                          <pic:cNvPicPr>
                            <a:picLocks noChangeAspect="1" noChangeArrowheads="1"/>
                          </pic:cNvPicPr>
                        </pic:nvPicPr>
                        <pic:blipFill>
                          <a:blip r:embed="rId6"/>
                          <a:stretch>
                            <a:fillRect/>
                          </a:stretch>
                        </pic:blipFill>
                        <pic:spPr bwMode="auto">
                          <a:xfrm>
                            <a:off x="0" y="0"/>
                            <a:ext cx="1181735" cy="344805"/>
                          </a:xfrm>
                          <a:prstGeom prst="rect">
                            <a:avLst/>
                          </a:prstGeom>
                        </pic:spPr>
                      </pic:pic>
                    </a:graphicData>
                  </a:graphic>
                </wp:inline>
              </w:drawing>
            </w:r>
          </w:p>
          <w:p>
            <w:pPr>
              <w:pStyle w:val="Normal"/>
              <w:widowControl w:val="false"/>
              <w:tabs>
                <w:tab w:val="clear" w:pos="408"/>
                <w:tab w:val="left" w:pos="900" w:leader="none"/>
              </w:tabs>
              <w:spacing w:lineRule="auto" w:line="276"/>
              <w:jc w:val="center"/>
              <w:textAlignment w:val="baseline"/>
              <w:rPr>
                <w:highlight w:val="none"/>
                <w:shd w:fill="auto" w:val="clear"/>
              </w:rPr>
            </w:pPr>
            <w:r>
              <w:rPr>
                <w:rFonts w:eastAsia="Segoe UI" w:cs="Liberation Serif;Times New Roma" w:ascii="Times New Roman" w:hAnsi="Times New Roman"/>
                <w:i/>
                <w:color w:val="000000"/>
                <w:kern w:val="2"/>
                <w:shd w:fill="auto" w:val="clear"/>
                <w:lang w:eastAsia="zh-CN" w:bidi="hi-IN"/>
              </w:rPr>
              <w:t>где:</w:t>
            </w:r>
          </w:p>
          <w:p>
            <w:pPr>
              <w:pStyle w:val="Normal"/>
              <w:widowControl w:val="false"/>
              <w:tabs>
                <w:tab w:val="clear" w:pos="408"/>
                <w:tab w:val="left" w:pos="900" w:leader="none"/>
              </w:tabs>
              <w:spacing w:lineRule="auto" w:line="276"/>
              <w:jc w:val="center"/>
              <w:textAlignment w:val="baseline"/>
              <w:rPr>
                <w:highlight w:val="none"/>
                <w:shd w:fill="auto" w:val="clear"/>
              </w:rPr>
            </w:pPr>
            <w:r>
              <w:rPr>
                <w:rFonts w:eastAsia="Liberation Serif;Times New Roma" w:cs="Liberation Serif;Times New Roma" w:ascii="Times New Roman" w:hAnsi="Times New Roman"/>
                <w:i/>
                <w:color w:val="000000"/>
                <w:kern w:val="2"/>
                <w:shd w:fill="auto" w:val="clear"/>
                <w:lang w:eastAsia="zh-CN" w:bidi="hi-IN"/>
              </w:rPr>
              <w:t>ЦБi – количество баллов по критерию                                    Цi - ценовое предложение участника закупки, заявка (предложение) которого оценивается;</w:t>
            </w:r>
          </w:p>
          <w:p>
            <w:pPr>
              <w:pStyle w:val="Normal"/>
              <w:widowControl w:val="false"/>
              <w:tabs>
                <w:tab w:val="clear" w:pos="408"/>
                <w:tab w:val="left" w:pos="900" w:leader="none"/>
              </w:tabs>
              <w:spacing w:lineRule="auto" w:line="276"/>
              <w:jc w:val="center"/>
              <w:textAlignment w:val="baseline"/>
              <w:rPr>
                <w:highlight w:val="none"/>
                <w:shd w:fill="auto" w:val="clear"/>
              </w:rPr>
            </w:pPr>
            <w:r>
              <w:rPr>
                <w:rFonts w:eastAsia="Liberation Serif;Times New Roma" w:cs="Liberation Serif;Times New Roma" w:ascii="Times New Roman" w:hAnsi="Times New Roman"/>
                <w:i/>
                <w:color w:val="000000"/>
                <w:kern w:val="2"/>
                <w:shd w:fill="auto" w:val="clear"/>
                <w:lang w:eastAsia="zh-CN" w:bidi="hi-IN"/>
              </w:rPr>
              <w:t>Цmin - минимальное ценовое предложение из ценовых предложений по критерию оценки, сделанных участниками закупки.</w:t>
            </w:r>
          </w:p>
          <w:p>
            <w:pPr>
              <w:pStyle w:val="Normal"/>
              <w:widowControl w:val="false"/>
              <w:tabs>
                <w:tab w:val="clear" w:pos="408"/>
                <w:tab w:val="left" w:pos="900" w:leader="none"/>
              </w:tabs>
              <w:spacing w:lineRule="auto" w:line="276"/>
              <w:jc w:val="center"/>
              <w:textAlignment w:val="baseline"/>
              <w:rPr>
                <w:highlight w:val="none"/>
                <w:shd w:fill="auto" w:val="clear"/>
              </w:rPr>
            </w:pPr>
            <w:r>
              <w:rPr>
                <w:rFonts w:eastAsia="Liberation Serif;Times New Roma" w:cs="Liberation Serif;Times New Roma" w:ascii="Times New Roman" w:hAnsi="Times New Roman"/>
                <w:i/>
                <w:color w:val="000000"/>
                <w:kern w:val="2"/>
                <w:shd w:fill="auto" w:val="clear"/>
                <w:lang w:eastAsia="zh-CN" w:bidi="hi-IN"/>
              </w:rPr>
              <w:t>При оценке заявок по критерию «цена договора» округление результата осуществляется по правилам математического округления до ближайшего второго десятичного знака после запятой.</w:t>
            </w:r>
          </w:p>
          <w:p>
            <w:pPr>
              <w:pStyle w:val="Normal"/>
              <w:widowControl w:val="false"/>
              <w:tabs>
                <w:tab w:val="clear" w:pos="408"/>
                <w:tab w:val="left" w:pos="900" w:leader="none"/>
              </w:tabs>
              <w:spacing w:lineRule="auto" w:line="276"/>
              <w:jc w:val="center"/>
              <w:textAlignment w:val="baseline"/>
              <w:rPr>
                <w:highlight w:val="none"/>
                <w:shd w:fill="auto" w:val="clear"/>
              </w:rPr>
            </w:pPr>
            <w:r>
              <w:rPr>
                <w:rFonts w:eastAsia="Liberation Serif;Times New Roma" w:cs="Liberation Serif;Times New Roma" w:ascii="Times New Roman" w:hAnsi="Times New Roman"/>
                <w:i/>
                <w:color w:val="000000"/>
                <w:kern w:val="2"/>
                <w:shd w:fill="auto" w:val="clear"/>
                <w:lang w:eastAsia="zh-CN" w:bidi="hi-IN"/>
              </w:rPr>
              <w:t>При оценке заявок по критерию «цена договора» лучшим условием исполнения договора по указанному критерию признается предложение участника закупки с наименьшей ценой договора.</w:t>
            </w:r>
          </w:p>
          <w:p>
            <w:pPr>
              <w:pStyle w:val="Normal"/>
              <w:widowControl w:val="false"/>
              <w:spacing w:lineRule="auto" w:line="276" w:before="0" w:after="160"/>
              <w:jc w:val="center"/>
              <w:textAlignment w:val="baseline"/>
              <w:rPr>
                <w:highlight w:val="none"/>
                <w:shd w:fill="auto" w:val="clear"/>
              </w:rPr>
            </w:pPr>
            <w:r>
              <w:rPr>
                <w:rFonts w:eastAsia="Liberation Serif;Times New Roma" w:cs="Liberation Serif;Times New Roma" w:ascii="Times New Roman" w:hAnsi="Times New Roman"/>
                <w:i/>
                <w:color w:val="000000"/>
                <w:kern w:val="2"/>
                <w:shd w:fill="auto" w:val="clear"/>
                <w:lang w:eastAsia="zh-CN" w:bidi="hi-IN"/>
              </w:rPr>
              <w:t>Договор заключается по данному критерию на условиях, указанных в заявке.</w:t>
            </w:r>
          </w:p>
        </w:tc>
        <w:tc>
          <w:tcPr>
            <w:tcW w:w="17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0" w:after="160"/>
              <w:jc w:val="center"/>
              <w:textAlignment w:val="baseline"/>
              <w:rPr>
                <w:rFonts w:ascii="Times New Roman" w:hAnsi="Times New Roman" w:eastAsia="Segoe UI" w:cs="Liberation Serif;Times New Roma"/>
                <w:b/>
                <w:i/>
                <w:i/>
                <w:color w:val="000000"/>
                <w:kern w:val="2"/>
                <w:lang w:eastAsia="zh-CN" w:bidi="hi-IN"/>
              </w:rPr>
            </w:pPr>
            <w:r>
              <w:rPr>
                <w:rFonts w:eastAsia="Segoe UI" w:cs="Liberation Serif;Times New Roma" w:ascii="Times New Roman" w:hAnsi="Times New Roman"/>
                <w:b/>
                <w:i/>
                <w:color w:val="000000"/>
                <w:kern w:val="2"/>
                <w:lang w:eastAsia="zh-CN" w:bidi="hi-IN"/>
              </w:rPr>
              <w:t>40%</w:t>
            </w:r>
          </w:p>
        </w:tc>
      </w:tr>
      <w:tr>
        <w:trPr/>
        <w:tc>
          <w:tcPr>
            <w:tcW w:w="6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0" w:after="160"/>
              <w:jc w:val="center"/>
              <w:textAlignment w:val="baseline"/>
              <w:rPr>
                <w:rFonts w:ascii="Times New Roman" w:hAnsi="Times New Roman" w:eastAsia="Segoe UI" w:cs="Liberation Serif;Times New Roma"/>
                <w:i/>
                <w:i/>
                <w:color w:val="000000"/>
                <w:kern w:val="2"/>
                <w:lang w:eastAsia="zh-CN" w:bidi="hi-IN"/>
              </w:rPr>
            </w:pPr>
            <w:r>
              <w:rPr>
                <w:rFonts w:eastAsia="Segoe UI" w:cs="Liberation Serif;Times New Roma" w:ascii="Times New Roman" w:hAnsi="Times New Roman"/>
                <w:i/>
                <w:color w:val="000000"/>
                <w:kern w:val="2"/>
                <w:lang w:eastAsia="zh-CN" w:bidi="hi-IN"/>
              </w:rPr>
              <w:t>2</w:t>
            </w:r>
          </w:p>
        </w:tc>
        <w:tc>
          <w:tcPr>
            <w:tcW w:w="140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0" w:after="160"/>
              <w:jc w:val="center"/>
              <w:textAlignment w:val="baseline"/>
              <w:rPr>
                <w:rFonts w:ascii="Times New Roman" w:hAnsi="Times New Roman" w:eastAsia="Segoe UI" w:cs="Liberation Serif;Times New Roma"/>
                <w:b/>
                <w:i/>
                <w:i/>
                <w:color w:val="000000"/>
                <w:kern w:val="2"/>
                <w:lang w:eastAsia="zh-CN" w:bidi="hi-IN"/>
              </w:rPr>
            </w:pPr>
            <w:r>
              <w:rPr>
                <w:rFonts w:eastAsia="Segoe UI" w:cs="Liberation Serif;Times New Roma" w:ascii="Times New Roman" w:hAnsi="Times New Roman"/>
                <w:b/>
                <w:i/>
                <w:color w:val="000000"/>
                <w:kern w:val="2"/>
                <w:lang w:eastAsia="zh-CN" w:bidi="hi-IN"/>
              </w:rPr>
              <w:t>100</w:t>
            </w:r>
          </w:p>
        </w:tc>
        <w:tc>
          <w:tcPr>
            <w:tcW w:w="60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0" w:after="160"/>
              <w:jc w:val="center"/>
              <w:textAlignment w:val="baseline"/>
              <w:rPr>
                <w:rFonts w:ascii="Times New Roman" w:hAnsi="Times New Roman" w:eastAsia="Segoe UI" w:cs="Liberation Serif;Times New Roma"/>
                <w:b/>
                <w:i/>
                <w:i/>
                <w:color w:val="000000"/>
                <w:kern w:val="2"/>
                <w:lang w:eastAsia="zh-CN" w:bidi="hi-IN"/>
              </w:rPr>
            </w:pPr>
            <w:r>
              <w:rPr>
                <w:rFonts w:eastAsia="Segoe UI" w:cs="Liberation Serif;Times New Roma" w:ascii="Times New Roman" w:hAnsi="Times New Roman"/>
                <w:b/>
                <w:i/>
                <w:color w:val="000000"/>
                <w:kern w:val="2"/>
                <w:lang w:eastAsia="zh-CN" w:bidi="hi-IN"/>
              </w:rPr>
              <w:t>Нестоимостные критерии оценки заявок участников закупки</w:t>
            </w:r>
          </w:p>
        </w:tc>
        <w:tc>
          <w:tcPr>
            <w:tcW w:w="17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0" w:after="160"/>
              <w:jc w:val="center"/>
              <w:textAlignment w:val="baseline"/>
              <w:rPr>
                <w:rFonts w:ascii="Times New Roman" w:hAnsi="Times New Roman" w:eastAsia="Segoe UI" w:cs="Liberation Serif;Times New Roma"/>
                <w:b/>
                <w:i/>
                <w:i/>
                <w:color w:val="000000"/>
                <w:kern w:val="2"/>
                <w:lang w:eastAsia="zh-CN" w:bidi="hi-IN"/>
              </w:rPr>
            </w:pPr>
            <w:r>
              <w:rPr>
                <w:rFonts w:eastAsia="Segoe UI" w:cs="Liberation Serif;Times New Roma" w:ascii="Times New Roman" w:hAnsi="Times New Roman"/>
                <w:b/>
                <w:i/>
                <w:color w:val="000000"/>
                <w:kern w:val="2"/>
                <w:lang w:eastAsia="zh-CN" w:bidi="hi-IN"/>
              </w:rPr>
              <w:t>60%</w:t>
            </w:r>
          </w:p>
        </w:tc>
      </w:tr>
      <w:tr>
        <w:trPr/>
        <w:tc>
          <w:tcPr>
            <w:tcW w:w="6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0" w:after="160"/>
              <w:jc w:val="center"/>
              <w:textAlignment w:val="baseline"/>
              <w:rPr>
                <w:rFonts w:ascii="Times New Roman" w:hAnsi="Times New Roman" w:eastAsia="Segoe UI" w:cs="Liberation Serif;Times New Roma"/>
                <w:i/>
                <w:i/>
                <w:color w:val="000000"/>
                <w:kern w:val="2"/>
                <w:lang w:eastAsia="zh-CN" w:bidi="hi-IN"/>
              </w:rPr>
            </w:pPr>
            <w:r>
              <w:rPr>
                <w:rFonts w:eastAsia="Segoe UI" w:cs="Liberation Serif;Times New Roma" w:ascii="Times New Roman" w:hAnsi="Times New Roman"/>
                <w:i/>
                <w:color w:val="000000"/>
                <w:kern w:val="2"/>
                <w:lang w:eastAsia="zh-CN" w:bidi="hi-IN"/>
              </w:rPr>
              <w:t>2.1</w:t>
            </w:r>
          </w:p>
        </w:tc>
        <w:tc>
          <w:tcPr>
            <w:tcW w:w="140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0" w:after="160"/>
              <w:jc w:val="center"/>
              <w:textAlignment w:val="baseline"/>
              <w:rPr>
                <w:rFonts w:ascii="Times New Roman" w:hAnsi="Times New Roman" w:eastAsia="Segoe UI" w:cs="Liberation Serif;Times New Roma"/>
                <w:b/>
                <w:i/>
                <w:i/>
                <w:color w:val="000000"/>
                <w:kern w:val="2"/>
                <w:lang w:eastAsia="zh-CN" w:bidi="hi-IN"/>
              </w:rPr>
            </w:pPr>
            <w:r>
              <w:rPr>
                <w:rFonts w:eastAsia="Segoe UI" w:cs="Liberation Serif;Times New Roma" w:ascii="Times New Roman" w:hAnsi="Times New Roman"/>
                <w:b/>
                <w:i/>
                <w:color w:val="000000"/>
                <w:kern w:val="2"/>
                <w:lang w:eastAsia="zh-CN" w:bidi="hi-IN"/>
              </w:rPr>
              <w:t>100</w:t>
            </w:r>
          </w:p>
        </w:tc>
        <w:tc>
          <w:tcPr>
            <w:tcW w:w="60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textAlignment w:val="baseline"/>
              <w:rPr>
                <w:rFonts w:ascii="Times New Roman" w:hAnsi="Times New Roman" w:eastAsia="Segoe UI" w:cs="Liberation Serif;Times New Roma"/>
                <w:b/>
                <w:i/>
                <w:i/>
                <w:color w:val="000000"/>
                <w:kern w:val="2"/>
                <w:lang w:eastAsia="zh-CN" w:bidi="hi-IN"/>
              </w:rPr>
            </w:pPr>
            <w:r>
              <w:rPr>
                <w:rFonts w:eastAsia="Segoe UI" w:cs="Liberation Serif;Times New Roma" w:ascii="Times New Roman" w:hAnsi="Times New Roman"/>
                <w:b/>
                <w:i/>
                <w:color w:val="000000"/>
                <w:kern w:val="2"/>
                <w:lang w:eastAsia="zh-CN" w:bidi="hi-IN"/>
              </w:rPr>
              <w:t>Срок оплаты выполненных работ (НЦБ1i):</w:t>
            </w:r>
          </w:p>
          <w:p>
            <w:pPr>
              <w:pStyle w:val="Normal"/>
              <w:widowControl w:val="false"/>
              <w:jc w:val="center"/>
              <w:textAlignment w:val="baseline"/>
              <w:rPr>
                <w:rFonts w:ascii="Times New Roman" w:hAnsi="Times New Roman" w:eastAsia="Segoe UI" w:cs="Liberation Serif;Times New Roma"/>
                <w:bCs/>
                <w:i/>
                <w:i/>
                <w:color w:val="000000"/>
                <w:kern w:val="2"/>
                <w:lang w:eastAsia="zh-CN" w:bidi="hi-IN"/>
              </w:rPr>
            </w:pPr>
            <w:r>
              <w:rPr>
                <w:rFonts w:eastAsia="Segoe UI" w:cs="Liberation Serif;Times New Roma" w:ascii="Times New Roman" w:hAnsi="Times New Roman"/>
                <w:bCs/>
                <w:i/>
                <w:color w:val="000000"/>
                <w:kern w:val="2"/>
                <w:lang w:eastAsia="zh-CN" w:bidi="hi-IN"/>
              </w:rPr>
            </w:r>
          </w:p>
          <w:tbl>
            <w:tblPr>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599"/>
              <w:gridCol w:w="3401"/>
              <w:gridCol w:w="1800"/>
            </w:tblGrid>
            <w:tr>
              <w:trPr/>
              <w:tc>
                <w:tcPr>
                  <w:tcW w:w="5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textAlignment w:val="baseline"/>
                    <w:rPr>
                      <w:rFonts w:ascii="Times New Roman" w:hAnsi="Times New Roman"/>
                    </w:rPr>
                  </w:pPr>
                  <w:r>
                    <w:rPr>
                      <w:rFonts w:eastAsia="Segoe UI" w:cs="Liberation Serif;Times New Roma" w:ascii="Times New Roman" w:hAnsi="Times New Roman"/>
                      <w:color w:val="000000"/>
                      <w:kern w:val="2"/>
                      <w:lang w:eastAsia="zh-CN" w:bidi="hi-IN"/>
                    </w:rPr>
                    <w:t>№</w:t>
                  </w:r>
                  <w:r>
                    <w:rPr>
                      <w:rFonts w:eastAsia="Liberation Serif;Times New Roma" w:cs="Liberation Serif;Times New Roma" w:ascii="Times New Roman" w:hAnsi="Times New Roman"/>
                      <w:color w:val="000000"/>
                      <w:kern w:val="2"/>
                      <w:lang w:eastAsia="zh-CN" w:bidi="hi-IN"/>
                    </w:rPr>
                    <w:t xml:space="preserve"> </w:t>
                  </w:r>
                  <w:r>
                    <w:rPr>
                      <w:rFonts w:eastAsia="Segoe UI" w:cs="Liberation Serif;Times New Roma" w:ascii="Times New Roman" w:hAnsi="Times New Roman"/>
                      <w:color w:val="000000"/>
                      <w:kern w:val="2"/>
                      <w:lang w:eastAsia="zh-CN" w:bidi="hi-IN"/>
                    </w:rPr>
                    <w:t>п/п</w:t>
                  </w:r>
                </w:p>
              </w:tc>
              <w:tc>
                <w:tcPr>
                  <w:tcW w:w="3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textAlignment w:val="baseline"/>
                    <w:rPr>
                      <w:rFonts w:ascii="Times New Roman" w:hAnsi="Times New Roman" w:eastAsia="Segoe UI" w:cs="Liberation Serif;Times New Roma"/>
                      <w:bCs/>
                      <w:i/>
                      <w:i/>
                      <w:color w:val="000000"/>
                      <w:kern w:val="2"/>
                      <w:lang w:eastAsia="zh-CN" w:bidi="hi-IN"/>
                    </w:rPr>
                  </w:pPr>
                  <w:r>
                    <w:rPr>
                      <w:rFonts w:eastAsia="Segoe UI" w:cs="Liberation Serif;Times New Roma" w:ascii="Times New Roman" w:hAnsi="Times New Roman"/>
                      <w:bCs/>
                      <w:i/>
                      <w:color w:val="000000"/>
                      <w:kern w:val="2"/>
                      <w:lang w:eastAsia="zh-CN" w:bidi="hi-IN"/>
                    </w:rPr>
                    <w:t>срок оплаты выполненных работ:</w:t>
                  </w:r>
                </w:p>
              </w:tc>
              <w:tc>
                <w:tcPr>
                  <w:tcW w:w="18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textAlignment w:val="baseline"/>
                    <w:rPr>
                      <w:rFonts w:ascii="Times New Roman" w:hAnsi="Times New Roman" w:eastAsia="Segoe UI" w:cs="Liberation Serif;Times New Roma"/>
                      <w:color w:val="000000"/>
                      <w:kern w:val="2"/>
                      <w:lang w:eastAsia="zh-CN" w:bidi="hi-IN"/>
                    </w:rPr>
                  </w:pPr>
                  <w:r>
                    <w:rPr>
                      <w:rFonts w:eastAsia="Segoe UI" w:cs="Liberation Serif;Times New Roma" w:ascii="Times New Roman" w:hAnsi="Times New Roman"/>
                      <w:color w:val="000000"/>
                      <w:kern w:val="2"/>
                      <w:lang w:eastAsia="zh-CN" w:bidi="hi-IN"/>
                    </w:rPr>
                    <w:t>Количество баллов</w:t>
                  </w:r>
                </w:p>
              </w:tc>
            </w:tr>
            <w:tr>
              <w:trPr/>
              <w:tc>
                <w:tcPr>
                  <w:tcW w:w="5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textAlignment w:val="baseline"/>
                    <w:rPr>
                      <w:rFonts w:ascii="Times New Roman" w:hAnsi="Times New Roman" w:eastAsia="Segoe UI" w:cs="Liberation Serif;Times New Roma"/>
                      <w:color w:val="000000"/>
                      <w:kern w:val="2"/>
                      <w:lang w:eastAsia="zh-CN" w:bidi="hi-IN"/>
                    </w:rPr>
                  </w:pPr>
                  <w:r>
                    <w:rPr>
                      <w:rFonts w:eastAsia="Segoe UI" w:cs="Liberation Serif;Times New Roma" w:ascii="Times New Roman" w:hAnsi="Times New Roman"/>
                      <w:color w:val="000000"/>
                      <w:kern w:val="2"/>
                      <w:lang w:eastAsia="zh-CN" w:bidi="hi-IN"/>
                    </w:rPr>
                    <w:t>1</w:t>
                  </w:r>
                </w:p>
              </w:tc>
              <w:tc>
                <w:tcPr>
                  <w:tcW w:w="3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textAlignment w:val="baseline"/>
                    <w:rPr>
                      <w:rFonts w:ascii="Times New Roman" w:hAnsi="Times New Roman"/>
                    </w:rPr>
                  </w:pPr>
                  <w:r>
                    <w:rPr>
                      <w:rFonts w:eastAsia="Segoe UI" w:cs="Liberation Serif;Times New Roma" w:ascii="Times New Roman" w:hAnsi="Times New Roman"/>
                      <w:color w:val="000000"/>
                      <w:kern w:val="2"/>
                      <w:lang w:eastAsia="zh-CN" w:bidi="hi-IN"/>
                    </w:rPr>
                    <w:t xml:space="preserve">В течение 100 рабочих дней с момента выполнения всего (100%) объема работ, </w:t>
                  </w:r>
                  <w:r>
                    <w:rPr>
                      <w:rFonts w:eastAsia="Segoe UI" w:cs="Liberation Serif;Times New Roma" w:ascii="Times New Roman" w:hAnsi="Times New Roman"/>
                      <w:b/>
                      <w:bCs/>
                      <w:i/>
                      <w:color w:val="000000"/>
                      <w:kern w:val="2"/>
                      <w:u w:val="single"/>
                      <w:lang w:bidi="hi-IN"/>
                    </w:rPr>
                    <w:t>в соответствии с заявками Заказчика</w:t>
                  </w:r>
                </w:p>
              </w:tc>
              <w:tc>
                <w:tcPr>
                  <w:tcW w:w="18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textAlignment w:val="baseline"/>
                    <w:rPr>
                      <w:rFonts w:ascii="Times New Roman" w:hAnsi="Times New Roman" w:eastAsia="Segoe UI" w:cs="Liberation Serif;Times New Roma"/>
                      <w:color w:val="000000"/>
                      <w:kern w:val="2"/>
                      <w:lang w:eastAsia="zh-CN" w:bidi="hi-IN"/>
                    </w:rPr>
                  </w:pPr>
                  <w:r>
                    <w:rPr>
                      <w:rFonts w:eastAsia="Segoe UI" w:cs="Liberation Serif;Times New Roma" w:ascii="Times New Roman" w:hAnsi="Times New Roman"/>
                      <w:color w:val="000000"/>
                      <w:kern w:val="2"/>
                      <w:lang w:eastAsia="zh-CN" w:bidi="hi-IN"/>
                    </w:rPr>
                    <w:t>5</w:t>
                  </w:r>
                </w:p>
              </w:tc>
            </w:tr>
            <w:tr>
              <w:trPr/>
              <w:tc>
                <w:tcPr>
                  <w:tcW w:w="5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textAlignment w:val="baseline"/>
                    <w:rPr>
                      <w:rFonts w:ascii="Times New Roman" w:hAnsi="Times New Roman" w:eastAsia="Segoe UI" w:cs="Liberation Serif;Times New Roma"/>
                      <w:color w:val="000000"/>
                      <w:kern w:val="2"/>
                      <w:lang w:eastAsia="zh-CN" w:bidi="hi-IN"/>
                    </w:rPr>
                  </w:pPr>
                  <w:r>
                    <w:rPr>
                      <w:rFonts w:eastAsia="Segoe UI" w:cs="Liberation Serif;Times New Roma" w:ascii="Times New Roman" w:hAnsi="Times New Roman"/>
                      <w:color w:val="000000"/>
                      <w:kern w:val="2"/>
                      <w:lang w:eastAsia="zh-CN" w:bidi="hi-IN"/>
                    </w:rPr>
                    <w:t>2</w:t>
                  </w:r>
                </w:p>
              </w:tc>
              <w:tc>
                <w:tcPr>
                  <w:tcW w:w="3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textAlignment w:val="baseline"/>
                    <w:rPr>
                      <w:rFonts w:ascii="Times New Roman" w:hAnsi="Times New Roman"/>
                    </w:rPr>
                  </w:pPr>
                  <w:r>
                    <w:rPr>
                      <w:rFonts w:eastAsia="Segoe UI" w:cs="Liberation Serif;Times New Roma" w:ascii="Times New Roman" w:hAnsi="Times New Roman"/>
                      <w:color w:val="000000"/>
                      <w:kern w:val="2"/>
                      <w:lang w:eastAsia="zh-CN" w:bidi="hi-IN"/>
                    </w:rPr>
                    <w:t xml:space="preserve">В течение 110рабочих дней с момента выполнения всего (100%) объема работ, </w:t>
                  </w:r>
                  <w:r>
                    <w:rPr>
                      <w:rFonts w:eastAsia="Segoe UI" w:cs="Liberation Serif;Times New Roma" w:ascii="Times New Roman" w:hAnsi="Times New Roman"/>
                      <w:b/>
                      <w:bCs/>
                      <w:i/>
                      <w:color w:val="000000"/>
                      <w:kern w:val="2"/>
                      <w:u w:val="single"/>
                      <w:lang w:bidi="hi-IN"/>
                    </w:rPr>
                    <w:t>в соответствии с заявками Заказчика</w:t>
                  </w:r>
                </w:p>
              </w:tc>
              <w:tc>
                <w:tcPr>
                  <w:tcW w:w="18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textAlignment w:val="baseline"/>
                    <w:rPr>
                      <w:rFonts w:ascii="Times New Roman" w:hAnsi="Times New Roman" w:eastAsia="Segoe UI" w:cs="Liberation Serif;Times New Roma"/>
                      <w:color w:val="000000"/>
                      <w:kern w:val="2"/>
                      <w:lang w:eastAsia="zh-CN" w:bidi="hi-IN"/>
                    </w:rPr>
                  </w:pPr>
                  <w:r>
                    <w:rPr>
                      <w:rFonts w:eastAsia="Segoe UI" w:cs="Liberation Serif;Times New Roma" w:ascii="Times New Roman" w:hAnsi="Times New Roman"/>
                      <w:color w:val="000000"/>
                      <w:kern w:val="2"/>
                      <w:lang w:eastAsia="zh-CN" w:bidi="hi-IN"/>
                    </w:rPr>
                    <w:t>20</w:t>
                  </w:r>
                </w:p>
              </w:tc>
            </w:tr>
            <w:tr>
              <w:trPr/>
              <w:tc>
                <w:tcPr>
                  <w:tcW w:w="5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textAlignment w:val="baseline"/>
                    <w:rPr>
                      <w:rFonts w:ascii="Times New Roman" w:hAnsi="Times New Roman" w:eastAsia="Segoe UI" w:cs="Liberation Serif;Times New Roma"/>
                      <w:color w:val="000000"/>
                      <w:kern w:val="2"/>
                      <w:lang w:eastAsia="zh-CN" w:bidi="hi-IN"/>
                    </w:rPr>
                  </w:pPr>
                  <w:r>
                    <w:rPr>
                      <w:rFonts w:eastAsia="Segoe UI" w:cs="Liberation Serif;Times New Roma" w:ascii="Times New Roman" w:hAnsi="Times New Roman"/>
                      <w:color w:val="000000"/>
                      <w:kern w:val="2"/>
                      <w:lang w:eastAsia="zh-CN" w:bidi="hi-IN"/>
                    </w:rPr>
                    <w:t>3</w:t>
                  </w:r>
                </w:p>
              </w:tc>
              <w:tc>
                <w:tcPr>
                  <w:tcW w:w="3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textAlignment w:val="baseline"/>
                    <w:rPr>
                      <w:rFonts w:ascii="Times New Roman" w:hAnsi="Times New Roman"/>
                    </w:rPr>
                  </w:pPr>
                  <w:r>
                    <w:rPr>
                      <w:rFonts w:eastAsia="Segoe UI" w:cs="Liberation Serif;Times New Roma" w:ascii="Times New Roman" w:hAnsi="Times New Roman"/>
                      <w:color w:val="000000"/>
                      <w:kern w:val="2"/>
                      <w:lang w:eastAsia="zh-CN" w:bidi="hi-IN"/>
                    </w:rPr>
                    <w:t xml:space="preserve">В течение 120 рабочих дней с момента выполнения всего (100%) объема работ, </w:t>
                  </w:r>
                  <w:r>
                    <w:rPr>
                      <w:rFonts w:eastAsia="Segoe UI" w:cs="Liberation Serif;Times New Roma" w:ascii="Times New Roman" w:hAnsi="Times New Roman"/>
                      <w:b/>
                      <w:bCs/>
                      <w:i/>
                      <w:color w:val="000000"/>
                      <w:kern w:val="2"/>
                      <w:u w:val="single"/>
                      <w:lang w:bidi="hi-IN"/>
                    </w:rPr>
                    <w:t>в соответствии с заявками Заказчика</w:t>
                  </w:r>
                </w:p>
              </w:tc>
              <w:tc>
                <w:tcPr>
                  <w:tcW w:w="18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textAlignment w:val="baseline"/>
                    <w:rPr>
                      <w:rFonts w:ascii="Times New Roman" w:hAnsi="Times New Roman" w:eastAsia="Segoe UI" w:cs="Liberation Serif;Times New Roma"/>
                      <w:color w:val="000000"/>
                      <w:kern w:val="2"/>
                      <w:lang w:eastAsia="zh-CN" w:bidi="hi-IN"/>
                    </w:rPr>
                  </w:pPr>
                  <w:r>
                    <w:rPr>
                      <w:rFonts w:eastAsia="Segoe UI" w:cs="Liberation Serif;Times New Roma" w:ascii="Times New Roman" w:hAnsi="Times New Roman"/>
                      <w:color w:val="000000"/>
                      <w:kern w:val="2"/>
                      <w:lang w:eastAsia="zh-CN" w:bidi="hi-IN"/>
                    </w:rPr>
                    <w:t>40</w:t>
                  </w:r>
                </w:p>
              </w:tc>
            </w:tr>
            <w:tr>
              <w:trPr/>
              <w:tc>
                <w:tcPr>
                  <w:tcW w:w="5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textAlignment w:val="baseline"/>
                    <w:rPr>
                      <w:rFonts w:ascii="Times New Roman" w:hAnsi="Times New Roman" w:eastAsia="Segoe UI" w:cs="Liberation Serif;Times New Roma"/>
                      <w:color w:val="000000"/>
                      <w:kern w:val="2"/>
                      <w:lang w:eastAsia="zh-CN" w:bidi="hi-IN"/>
                    </w:rPr>
                  </w:pPr>
                  <w:r>
                    <w:rPr>
                      <w:rFonts w:eastAsia="Segoe UI" w:cs="Liberation Serif;Times New Roma" w:ascii="Times New Roman" w:hAnsi="Times New Roman"/>
                      <w:color w:val="000000"/>
                      <w:kern w:val="2"/>
                      <w:lang w:eastAsia="zh-CN" w:bidi="hi-IN"/>
                    </w:rPr>
                    <w:t>4</w:t>
                  </w:r>
                </w:p>
              </w:tc>
              <w:tc>
                <w:tcPr>
                  <w:tcW w:w="3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textAlignment w:val="baseline"/>
                    <w:rPr>
                      <w:rFonts w:ascii="Times New Roman" w:hAnsi="Times New Roman"/>
                    </w:rPr>
                  </w:pPr>
                  <w:r>
                    <w:rPr>
                      <w:rFonts w:eastAsia="Segoe UI" w:cs="Liberation Serif;Times New Roma" w:ascii="Times New Roman" w:hAnsi="Times New Roman"/>
                      <w:color w:val="000000"/>
                      <w:kern w:val="2"/>
                      <w:lang w:eastAsia="zh-CN" w:bidi="hi-IN"/>
                    </w:rPr>
                    <w:t xml:space="preserve">В течение 130 рабочих дней с момента выполнения всего (100%) объема работ, </w:t>
                  </w:r>
                  <w:r>
                    <w:rPr>
                      <w:rFonts w:eastAsia="Segoe UI" w:cs="Liberation Serif;Times New Roma" w:ascii="Times New Roman" w:hAnsi="Times New Roman"/>
                      <w:b/>
                      <w:bCs/>
                      <w:i/>
                      <w:color w:val="000000"/>
                      <w:kern w:val="2"/>
                      <w:u w:val="single"/>
                      <w:lang w:bidi="hi-IN"/>
                    </w:rPr>
                    <w:t>в соответствии с заявками Заказчика</w:t>
                  </w:r>
                </w:p>
              </w:tc>
              <w:tc>
                <w:tcPr>
                  <w:tcW w:w="18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textAlignment w:val="baseline"/>
                    <w:rPr>
                      <w:rFonts w:ascii="Times New Roman" w:hAnsi="Times New Roman" w:eastAsia="Segoe UI" w:cs="Liberation Serif;Times New Roma"/>
                      <w:color w:val="000000"/>
                      <w:kern w:val="2"/>
                      <w:lang w:eastAsia="zh-CN" w:bidi="hi-IN"/>
                    </w:rPr>
                  </w:pPr>
                  <w:r>
                    <w:rPr>
                      <w:rFonts w:eastAsia="Segoe UI" w:cs="Liberation Serif;Times New Roma" w:ascii="Times New Roman" w:hAnsi="Times New Roman"/>
                      <w:color w:val="000000"/>
                      <w:kern w:val="2"/>
                      <w:lang w:eastAsia="zh-CN" w:bidi="hi-IN"/>
                    </w:rPr>
                    <w:t>60</w:t>
                  </w:r>
                </w:p>
              </w:tc>
            </w:tr>
            <w:tr>
              <w:trPr>
                <w:trHeight w:val="655" w:hRule="atLeast"/>
              </w:trPr>
              <w:tc>
                <w:tcPr>
                  <w:tcW w:w="5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textAlignment w:val="baseline"/>
                    <w:rPr>
                      <w:rFonts w:ascii="Times New Roman" w:hAnsi="Times New Roman" w:eastAsia="Segoe UI" w:cs="Liberation Serif;Times New Roma"/>
                      <w:color w:val="000000"/>
                      <w:kern w:val="2"/>
                      <w:lang w:eastAsia="zh-CN" w:bidi="hi-IN"/>
                    </w:rPr>
                  </w:pPr>
                  <w:r>
                    <w:rPr>
                      <w:rFonts w:eastAsia="Segoe UI" w:cs="Liberation Serif;Times New Roma" w:ascii="Times New Roman" w:hAnsi="Times New Roman"/>
                      <w:color w:val="000000"/>
                      <w:kern w:val="2"/>
                      <w:lang w:eastAsia="zh-CN" w:bidi="hi-IN"/>
                    </w:rPr>
                    <w:t>5</w:t>
                  </w:r>
                </w:p>
              </w:tc>
              <w:tc>
                <w:tcPr>
                  <w:tcW w:w="3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textAlignment w:val="baseline"/>
                    <w:rPr>
                      <w:rFonts w:ascii="Times New Roman" w:hAnsi="Times New Roman"/>
                    </w:rPr>
                  </w:pPr>
                  <w:r>
                    <w:rPr>
                      <w:rFonts w:eastAsia="Segoe UI" w:cs="Liberation Serif;Times New Roma" w:ascii="Times New Roman" w:hAnsi="Times New Roman"/>
                      <w:color w:val="000000"/>
                      <w:kern w:val="2"/>
                      <w:lang w:eastAsia="zh-CN" w:bidi="hi-IN"/>
                    </w:rPr>
                    <w:t xml:space="preserve">В течение 140 рабочих дней с момента выполнения всего (100%) объема работ, </w:t>
                  </w:r>
                  <w:r>
                    <w:rPr>
                      <w:rFonts w:eastAsia="Segoe UI" w:cs="Liberation Serif;Times New Roma" w:ascii="Times New Roman" w:hAnsi="Times New Roman"/>
                      <w:b/>
                      <w:bCs/>
                      <w:i/>
                      <w:color w:val="000000"/>
                      <w:kern w:val="2"/>
                      <w:u w:val="single"/>
                      <w:lang w:bidi="hi-IN"/>
                    </w:rPr>
                    <w:t>в соответствии с заявками Заказчика</w:t>
                  </w:r>
                </w:p>
              </w:tc>
              <w:tc>
                <w:tcPr>
                  <w:tcW w:w="18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textAlignment w:val="baseline"/>
                    <w:rPr>
                      <w:rFonts w:ascii="Times New Roman" w:hAnsi="Times New Roman" w:eastAsia="Segoe UI" w:cs="Liberation Serif;Times New Roma"/>
                      <w:color w:val="000000"/>
                      <w:kern w:val="2"/>
                      <w:lang w:eastAsia="zh-CN" w:bidi="hi-IN"/>
                    </w:rPr>
                  </w:pPr>
                  <w:r>
                    <w:rPr>
                      <w:rFonts w:eastAsia="Segoe UI" w:cs="Liberation Serif;Times New Roma" w:ascii="Times New Roman" w:hAnsi="Times New Roman"/>
                      <w:color w:val="000000"/>
                      <w:kern w:val="2"/>
                      <w:lang w:eastAsia="zh-CN" w:bidi="hi-IN"/>
                    </w:rPr>
                    <w:t>80</w:t>
                  </w:r>
                </w:p>
              </w:tc>
            </w:tr>
            <w:tr>
              <w:trPr/>
              <w:tc>
                <w:tcPr>
                  <w:tcW w:w="5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textAlignment w:val="baseline"/>
                    <w:rPr>
                      <w:rFonts w:ascii="Times New Roman" w:hAnsi="Times New Roman" w:eastAsia="Segoe UI" w:cs="Liberation Serif;Times New Roma"/>
                      <w:color w:val="000000"/>
                      <w:kern w:val="2"/>
                      <w:lang w:eastAsia="zh-CN" w:bidi="hi-IN"/>
                    </w:rPr>
                  </w:pPr>
                  <w:r>
                    <w:rPr>
                      <w:rFonts w:eastAsia="Segoe UI" w:cs="Liberation Serif;Times New Roma" w:ascii="Times New Roman" w:hAnsi="Times New Roman"/>
                      <w:color w:val="000000"/>
                      <w:kern w:val="2"/>
                      <w:lang w:eastAsia="zh-CN" w:bidi="hi-IN"/>
                    </w:rPr>
                    <w:t>6</w:t>
                  </w:r>
                </w:p>
              </w:tc>
              <w:tc>
                <w:tcPr>
                  <w:tcW w:w="3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textAlignment w:val="baseline"/>
                    <w:rPr>
                      <w:rFonts w:ascii="Times New Roman" w:hAnsi="Times New Roman"/>
                    </w:rPr>
                  </w:pPr>
                  <w:r>
                    <w:rPr>
                      <w:rFonts w:eastAsia="Segoe UI" w:cs="Liberation Serif;Times New Roma" w:ascii="Times New Roman" w:hAnsi="Times New Roman"/>
                      <w:color w:val="000000"/>
                      <w:kern w:val="2"/>
                      <w:lang w:eastAsia="zh-CN" w:bidi="hi-IN"/>
                    </w:rPr>
                    <w:t xml:space="preserve">В течение 150 рабочих дней с момента выполнения всего (100%) объема работ, </w:t>
                  </w:r>
                  <w:r>
                    <w:rPr>
                      <w:rFonts w:eastAsia="Segoe UI" w:cs="Liberation Serif;Times New Roma" w:ascii="Times New Roman" w:hAnsi="Times New Roman"/>
                      <w:b/>
                      <w:bCs/>
                      <w:i/>
                      <w:color w:val="000000"/>
                      <w:kern w:val="2"/>
                      <w:u w:val="single"/>
                      <w:lang w:bidi="hi-IN"/>
                    </w:rPr>
                    <w:t>в соответствии с заявками Заказчика</w:t>
                  </w:r>
                </w:p>
              </w:tc>
              <w:tc>
                <w:tcPr>
                  <w:tcW w:w="18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textAlignment w:val="baseline"/>
                    <w:rPr>
                      <w:rFonts w:ascii="Times New Roman" w:hAnsi="Times New Roman" w:eastAsia="Segoe UI" w:cs="Liberation Serif;Times New Roma"/>
                      <w:color w:val="000000"/>
                      <w:kern w:val="2"/>
                      <w:lang w:eastAsia="zh-CN" w:bidi="hi-IN"/>
                    </w:rPr>
                  </w:pPr>
                  <w:r>
                    <w:rPr>
                      <w:rFonts w:eastAsia="Segoe UI" w:cs="Liberation Serif;Times New Roma" w:ascii="Times New Roman" w:hAnsi="Times New Roman"/>
                      <w:color w:val="000000"/>
                      <w:kern w:val="2"/>
                      <w:lang w:eastAsia="zh-CN" w:bidi="hi-IN"/>
                    </w:rPr>
                    <w:t>100</w:t>
                  </w:r>
                </w:p>
              </w:tc>
            </w:tr>
          </w:tbl>
          <w:p>
            <w:pPr>
              <w:pStyle w:val="Normal"/>
              <w:widowControl w:val="false"/>
              <w:jc w:val="center"/>
              <w:textAlignment w:val="baseline"/>
              <w:rPr>
                <w:rFonts w:ascii="Times New Roman" w:hAnsi="Times New Roman"/>
              </w:rPr>
            </w:pPr>
            <w:r>
              <w:rPr>
                <w:rFonts w:eastAsia="Segoe UI" w:cs="Liberation Serif;Times New Roma" w:ascii="Times New Roman" w:hAnsi="Times New Roman"/>
                <w:bCs/>
                <w:i/>
                <w:color w:val="000000"/>
                <w:kern w:val="2"/>
                <w:lang w:eastAsia="zh-CN" w:bidi="hi-IN"/>
              </w:rPr>
              <w:t>Минимальный срок оплаты выполненных работ: в течение 100 рабочих дней с момента выполнения всего (100%) объема рабо</w:t>
            </w:r>
            <w:r>
              <w:rPr>
                <w:rFonts w:eastAsia="Segoe UI" w:cs="Liberation Serif;Times New Roma" w:ascii="Times New Roman" w:hAnsi="Times New Roman"/>
                <w:i/>
                <w:iCs/>
                <w:color w:val="000000"/>
                <w:kern w:val="2"/>
                <w:lang w:eastAsia="zh-CN" w:bidi="hi-IN"/>
              </w:rPr>
              <w:t xml:space="preserve">т, </w:t>
            </w:r>
            <w:r>
              <w:rPr>
                <w:rFonts w:eastAsia="Segoe UI" w:cs="Liberation Serif;Times New Roma" w:ascii="Times New Roman" w:hAnsi="Times New Roman"/>
                <w:i/>
                <w:iCs/>
                <w:color w:val="000000"/>
                <w:kern w:val="2"/>
                <w:lang w:bidi="hi-IN"/>
              </w:rPr>
              <w:t>в соответствии с заявками Заказчика.</w:t>
            </w:r>
          </w:p>
          <w:p>
            <w:pPr>
              <w:pStyle w:val="Normal"/>
              <w:widowControl w:val="false"/>
              <w:jc w:val="center"/>
              <w:textAlignment w:val="baseline"/>
              <w:rPr>
                <w:rFonts w:ascii="Times New Roman" w:hAnsi="Times New Roman" w:eastAsia="Segoe UI" w:cs="Liberation Serif;Times New Roma"/>
                <w:bCs/>
                <w:i/>
                <w:i/>
                <w:color w:val="000000"/>
                <w:kern w:val="2"/>
                <w:lang w:eastAsia="zh-CN" w:bidi="hi-IN"/>
              </w:rPr>
            </w:pPr>
            <w:r>
              <w:rPr>
                <w:rFonts w:eastAsia="Segoe UI" w:cs="Liberation Serif;Times New Roma" w:ascii="Times New Roman" w:hAnsi="Times New Roman"/>
                <w:bCs/>
                <w:i/>
                <w:color w:val="000000"/>
                <w:kern w:val="2"/>
                <w:lang w:eastAsia="zh-CN" w:bidi="hi-IN"/>
              </w:rPr>
            </w:r>
          </w:p>
          <w:p>
            <w:pPr>
              <w:pStyle w:val="Normal"/>
              <w:widowControl w:val="false"/>
              <w:spacing w:before="0" w:after="160"/>
              <w:jc w:val="center"/>
              <w:textAlignment w:val="baseline"/>
              <w:rPr>
                <w:rFonts w:ascii="Times New Roman" w:hAnsi="Times New Roman" w:eastAsia="Segoe UI" w:cs="Liberation Serif;Times New Roma"/>
                <w:bCs/>
                <w:i/>
                <w:i/>
                <w:color w:val="000000"/>
                <w:kern w:val="2"/>
                <w:lang w:eastAsia="zh-CN" w:bidi="hi-IN"/>
              </w:rPr>
            </w:pPr>
            <w:r>
              <w:rPr>
                <w:rFonts w:eastAsia="Segoe UI" w:cs="Liberation Serif;Times New Roma" w:ascii="Times New Roman" w:hAnsi="Times New Roman"/>
                <w:bCs/>
                <w:i/>
                <w:color w:val="000000"/>
                <w:kern w:val="2"/>
                <w:lang w:eastAsia="zh-CN" w:bidi="hi-IN"/>
              </w:rPr>
              <w:t>Предложения участников закупки, которые содержат предложения об оплате выполненных работ, превышающие минимальный и максимальный срок оплаты выполненных работ, Заказчиком не оцениваются</w:t>
            </w:r>
          </w:p>
        </w:tc>
        <w:tc>
          <w:tcPr>
            <w:tcW w:w="17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0" w:after="160"/>
              <w:jc w:val="center"/>
              <w:textAlignment w:val="baseline"/>
              <w:rPr>
                <w:rFonts w:ascii="Times New Roman" w:hAnsi="Times New Roman" w:eastAsia="Segoe UI" w:cs="Liberation Serif;Times New Roma"/>
                <w:b/>
                <w:i/>
                <w:i/>
                <w:color w:val="000000"/>
                <w:kern w:val="2"/>
                <w:lang w:eastAsia="zh-CN" w:bidi="hi-IN"/>
              </w:rPr>
            </w:pPr>
            <w:r>
              <w:rPr>
                <w:rFonts w:eastAsia="Segoe UI" w:cs="Liberation Serif;Times New Roma" w:ascii="Times New Roman" w:hAnsi="Times New Roman"/>
                <w:b/>
                <w:i/>
                <w:color w:val="000000"/>
                <w:kern w:val="2"/>
                <w:lang w:eastAsia="zh-CN" w:bidi="hi-IN"/>
              </w:rPr>
              <w:t>50%</w:t>
            </w:r>
          </w:p>
        </w:tc>
      </w:tr>
      <w:tr>
        <w:trPr/>
        <w:tc>
          <w:tcPr>
            <w:tcW w:w="688" w:type="dxa"/>
            <w:tcBorders>
              <w:top w:val="single" w:sz="4" w:space="0" w:color="000000"/>
              <w:left w:val="single" w:sz="4" w:space="0" w:color="000000"/>
              <w:bottom w:val="single" w:sz="4" w:space="0" w:color="000000"/>
            </w:tcBorders>
            <w:vAlign w:val="center"/>
          </w:tcPr>
          <w:p>
            <w:pPr>
              <w:pStyle w:val="Normal"/>
              <w:widowControl w:val="false"/>
              <w:tabs>
                <w:tab w:val="clear" w:pos="408"/>
                <w:tab w:val="left" w:pos="9180" w:leader="none"/>
              </w:tabs>
              <w:spacing w:before="0" w:after="160"/>
              <w:jc w:val="both"/>
              <w:textAlignment w:val="baseline"/>
              <w:rPr>
                <w:rFonts w:ascii="Times New Roman" w:hAnsi="Times New Roman" w:cs="Calibri"/>
                <w:b/>
                <w:color w:val="000000"/>
                <w:kern w:val="2"/>
                <w:lang w:bidi="hi-IN"/>
              </w:rPr>
            </w:pPr>
            <w:r>
              <w:rPr>
                <w:rFonts w:cs="Calibri" w:ascii="Times New Roman" w:hAnsi="Times New Roman"/>
                <w:b/>
                <w:color w:val="000000"/>
                <w:kern w:val="2"/>
                <w:lang w:bidi="hi-IN"/>
              </w:rPr>
              <w:t>2.2</w:t>
            </w:r>
          </w:p>
        </w:tc>
        <w:tc>
          <w:tcPr>
            <w:tcW w:w="1408" w:type="dxa"/>
            <w:gridSpan w:val="2"/>
            <w:tcBorders>
              <w:top w:val="single" w:sz="4" w:space="0" w:color="000000"/>
              <w:left w:val="single" w:sz="4" w:space="0" w:color="000000"/>
              <w:bottom w:val="single" w:sz="4" w:space="0" w:color="000000"/>
            </w:tcBorders>
            <w:vAlign w:val="center"/>
          </w:tcPr>
          <w:p>
            <w:pPr>
              <w:pStyle w:val="Normal"/>
              <w:widowControl w:val="false"/>
              <w:tabs>
                <w:tab w:val="clear" w:pos="408"/>
                <w:tab w:val="left" w:pos="9180" w:leader="none"/>
              </w:tabs>
              <w:spacing w:lineRule="auto" w:line="276" w:before="0" w:after="160"/>
              <w:jc w:val="center"/>
              <w:textAlignment w:val="baseline"/>
              <w:rPr>
                <w:rFonts w:ascii="Times New Roman" w:hAnsi="Times New Roman" w:cs="Calibri"/>
                <w:b/>
                <w:i/>
                <w:i/>
                <w:color w:val="000000"/>
                <w:kern w:val="2"/>
                <w:lang w:bidi="hi-IN"/>
              </w:rPr>
            </w:pPr>
            <w:r>
              <w:rPr>
                <w:rFonts w:cs="Calibri" w:ascii="Times New Roman" w:hAnsi="Times New Roman"/>
                <w:b/>
                <w:i/>
                <w:color w:val="000000"/>
                <w:kern w:val="2"/>
                <w:lang w:bidi="hi-IN"/>
              </w:rPr>
              <w:t>100</w:t>
            </w:r>
          </w:p>
        </w:tc>
        <w:tc>
          <w:tcPr>
            <w:tcW w:w="6016" w:type="dxa"/>
            <w:tcBorders>
              <w:top w:val="single" w:sz="4" w:space="0" w:color="000000"/>
              <w:left w:val="single" w:sz="4" w:space="0" w:color="000000"/>
              <w:bottom w:val="single" w:sz="4" w:space="0" w:color="000000"/>
            </w:tcBorders>
            <w:vAlign w:val="center"/>
          </w:tcPr>
          <w:p>
            <w:pPr>
              <w:pStyle w:val="Normal"/>
              <w:widowControl w:val="false"/>
              <w:jc w:val="both"/>
              <w:textAlignment w:val="baseline"/>
              <w:rPr>
                <w:rFonts w:ascii="Times New Roman" w:hAnsi="Times New Roman" w:eastAsia="SimSun"/>
                <w:color w:val="000000"/>
                <w:kern w:val="2"/>
                <w:lang w:eastAsia="zh-CN" w:bidi="hi-IN"/>
              </w:rPr>
            </w:pPr>
            <w:r>
              <w:rPr>
                <w:rFonts w:eastAsia="SimSun" w:ascii="Times New Roman" w:hAnsi="Times New Roman"/>
                <w:color w:val="000000"/>
                <w:kern w:val="2"/>
                <w:lang w:eastAsia="zh-CN" w:bidi="hi-IN"/>
              </w:rPr>
              <w:t xml:space="preserve">Наличие опыта исполнения (с учетом правопреемства) контрактов (договоров), по которым участник закупки выступает в роли подрядчика на выполнение работ по объектам, относящимся к электросетевому хозяйству и/или электроэнергетики и/или электроснабжению без применения штрафных санкций (штрафы, пени и прочее) (исполненных с </w:t>
            </w:r>
            <w:r>
              <w:rPr>
                <w:rFonts w:eastAsia="SimSun" w:ascii="Times New Roman" w:hAnsi="Times New Roman"/>
                <w:color w:val="000000"/>
                <w:kern w:val="2"/>
                <w:shd w:fill="auto" w:val="clear"/>
                <w:lang w:eastAsia="zh-CN" w:bidi="hi-IN"/>
              </w:rPr>
              <w:t>2020</w:t>
            </w:r>
            <w:r>
              <w:rPr>
                <w:rFonts w:eastAsia="SimSun" w:ascii="Times New Roman" w:hAnsi="Times New Roman"/>
                <w:color w:val="000000"/>
                <w:kern w:val="2"/>
                <w:lang w:eastAsia="zh-CN" w:bidi="hi-IN"/>
              </w:rPr>
              <w:t xml:space="preserve"> года).</w:t>
            </w:r>
          </w:p>
          <w:p>
            <w:pPr>
              <w:pStyle w:val="Normal"/>
              <w:widowControl w:val="false"/>
              <w:jc w:val="both"/>
              <w:textAlignment w:val="baseline"/>
              <w:rPr>
                <w:rFonts w:ascii="Times New Roman" w:hAnsi="Times New Roman"/>
                <w:b/>
                <w:bCs/>
                <w:color w:val="000000"/>
                <w:kern w:val="2"/>
                <w:lang w:bidi="hi-IN"/>
              </w:rPr>
            </w:pPr>
            <w:r>
              <w:rPr>
                <w:rFonts w:ascii="Times New Roman" w:hAnsi="Times New Roman"/>
                <w:b/>
                <w:bCs/>
                <w:color w:val="000000"/>
                <w:kern w:val="2"/>
                <w:lang w:bidi="hi-IN"/>
              </w:rPr>
              <w:t>При этом, стоимость каждого ранее исполненного контракта (договора) составляет не менее 3 млн рублей.</w:t>
            </w:r>
          </w:p>
          <w:p>
            <w:pPr>
              <w:pStyle w:val="Normal"/>
              <w:widowControl w:val="false"/>
              <w:jc w:val="both"/>
              <w:textAlignment w:val="baseline"/>
              <w:rPr>
                <w:rFonts w:ascii="Times New Roman" w:hAnsi="Times New Roman"/>
                <w:color w:val="000000"/>
                <w:kern w:val="2"/>
                <w:lang w:bidi="hi-IN"/>
              </w:rPr>
            </w:pPr>
            <w:r>
              <w:rPr>
                <w:rFonts w:ascii="Times New Roman" w:hAnsi="Times New Roman"/>
                <w:color w:val="000000"/>
                <w:kern w:val="2"/>
                <w:lang w:bidi="hi-IN"/>
              </w:rPr>
              <w:t>Рейтинг, присуждаемый заявке по настоящему критерию, определяется по формуле:</w:t>
            </w:r>
          </w:p>
          <w:p>
            <w:pPr>
              <w:pStyle w:val="Normal"/>
              <w:widowControl w:val="false"/>
              <w:jc w:val="both"/>
              <w:textAlignment w:val="baseline"/>
              <w:rPr>
                <w:rFonts w:ascii="Times New Roman" w:hAnsi="Times New Roman"/>
              </w:rPr>
            </w:pPr>
            <w:r>
              <w:rPr>
                <w:rFonts w:ascii="Times New Roman" w:hAnsi="Times New Roman"/>
                <w:color w:val="000000"/>
                <w:kern w:val="2"/>
                <w:lang w:bidi="hi-IN"/>
              </w:rPr>
              <w:t>РЦ</w:t>
            </w:r>
            <w:r>
              <w:rPr>
                <w:rFonts w:ascii="Times New Roman" w:hAnsi="Times New Roman"/>
                <w:color w:val="000000"/>
                <w:kern w:val="2"/>
                <w:lang w:val="en-US" w:bidi="hi-IN"/>
              </w:rPr>
              <w:t>i</w:t>
            </w:r>
            <w:r>
              <w:rPr>
                <w:rFonts w:ascii="Times New Roman" w:hAnsi="Times New Roman"/>
                <w:color w:val="000000"/>
                <w:kern w:val="2"/>
                <w:lang w:bidi="hi-IN"/>
              </w:rPr>
              <w:t xml:space="preserve"> = (</w:t>
            </w:r>
            <w:r>
              <w:rPr>
                <w:rFonts w:ascii="Times New Roman" w:hAnsi="Times New Roman"/>
                <w:color w:val="000000"/>
                <w:kern w:val="2"/>
                <w:lang w:val="en-US" w:bidi="hi-IN"/>
              </w:rPr>
              <w:t>O</w:t>
            </w:r>
            <w:r>
              <w:rPr>
                <w:rFonts w:ascii="Times New Roman" w:hAnsi="Times New Roman"/>
                <w:color w:val="000000"/>
                <w:kern w:val="2"/>
                <w:lang w:bidi="hi-IN"/>
              </w:rPr>
              <w:t>i / Оmax) х 100</w:t>
            </w:r>
          </w:p>
          <w:p>
            <w:pPr>
              <w:pStyle w:val="Normal"/>
              <w:widowControl w:val="false"/>
              <w:jc w:val="both"/>
              <w:textAlignment w:val="baseline"/>
              <w:rPr>
                <w:rFonts w:ascii="Times New Roman" w:hAnsi="Times New Roman"/>
                <w:color w:val="000000"/>
                <w:kern w:val="2"/>
                <w:lang w:bidi="hi-IN"/>
              </w:rPr>
            </w:pPr>
            <w:r>
              <w:rPr>
                <w:rFonts w:ascii="Times New Roman" w:hAnsi="Times New Roman"/>
                <w:color w:val="000000"/>
                <w:kern w:val="2"/>
                <w:lang w:bidi="hi-IN"/>
              </w:rPr>
              <w:t>где:</w:t>
            </w:r>
          </w:p>
          <w:p>
            <w:pPr>
              <w:pStyle w:val="Normal"/>
              <w:widowControl w:val="false"/>
              <w:jc w:val="both"/>
              <w:textAlignment w:val="baseline"/>
              <w:rPr>
                <w:rFonts w:ascii="Times New Roman" w:hAnsi="Times New Roman"/>
              </w:rPr>
            </w:pPr>
            <w:r>
              <w:rPr>
                <w:rFonts w:ascii="Times New Roman" w:hAnsi="Times New Roman"/>
                <w:color w:val="000000"/>
                <w:kern w:val="2"/>
                <w:lang w:bidi="hi-IN"/>
              </w:rPr>
              <w:t>РЦ</w:t>
            </w:r>
            <w:r>
              <w:rPr>
                <w:rFonts w:ascii="Times New Roman" w:hAnsi="Times New Roman"/>
                <w:color w:val="000000"/>
                <w:kern w:val="2"/>
                <w:lang w:val="en-US" w:bidi="hi-IN"/>
              </w:rPr>
              <w:t>i</w:t>
            </w:r>
            <w:r>
              <w:rPr>
                <w:rFonts w:ascii="Times New Roman" w:hAnsi="Times New Roman"/>
                <w:color w:val="000000"/>
                <w:kern w:val="2"/>
                <w:lang w:bidi="hi-IN"/>
              </w:rPr>
              <w:t xml:space="preserve"> - рейтинг, присуждаемый заявке по указанному критерию;</w:t>
            </w:r>
          </w:p>
          <w:p>
            <w:pPr>
              <w:pStyle w:val="Normal"/>
              <w:widowControl w:val="false"/>
              <w:jc w:val="both"/>
              <w:textAlignment w:val="baseline"/>
              <w:rPr>
                <w:rFonts w:ascii="Times New Roman" w:hAnsi="Times New Roman"/>
                <w:color w:val="000000"/>
                <w:kern w:val="2"/>
                <w:lang w:bidi="hi-IN"/>
              </w:rPr>
            </w:pPr>
            <w:r>
              <w:rPr>
                <w:rFonts w:ascii="Times New Roman" w:hAnsi="Times New Roman"/>
                <w:color w:val="000000"/>
                <w:kern w:val="2"/>
                <w:lang w:bidi="hi-IN"/>
              </w:rPr>
              <w:t>Оi – количество договоров (контрактов), предложенная i-м участником, заявка (предложение) которого оценивается;</w:t>
            </w:r>
          </w:p>
          <w:p>
            <w:pPr>
              <w:pStyle w:val="Normal"/>
              <w:widowControl w:val="false"/>
              <w:jc w:val="both"/>
              <w:textAlignment w:val="baseline"/>
              <w:rPr>
                <w:rFonts w:ascii="Times New Roman" w:hAnsi="Times New Roman"/>
                <w:color w:val="000000"/>
                <w:kern w:val="2"/>
                <w:lang w:bidi="hi-IN"/>
              </w:rPr>
            </w:pPr>
            <w:r>
              <w:rPr>
                <w:rFonts w:ascii="Times New Roman" w:hAnsi="Times New Roman"/>
                <w:color w:val="000000"/>
                <w:kern w:val="2"/>
                <w:lang w:bidi="hi-IN"/>
              </w:rPr>
              <w:t>Оmax – максимальное количество исполненных договоров (контрактов).</w:t>
            </w:r>
          </w:p>
          <w:p>
            <w:pPr>
              <w:pStyle w:val="Normal"/>
              <w:widowControl w:val="false"/>
              <w:jc w:val="both"/>
              <w:textAlignment w:val="baseline"/>
              <w:rPr>
                <w:rFonts w:ascii="Times New Roman" w:hAnsi="Times New Roman" w:eastAsia="SimSun"/>
                <w:b/>
                <w:color w:val="00000A"/>
                <w:kern w:val="2"/>
                <w:lang w:eastAsia="zh-CN" w:bidi="hi-IN"/>
              </w:rPr>
            </w:pPr>
            <w:r>
              <w:rPr>
                <w:rFonts w:eastAsia="SimSun" w:ascii="Times New Roman" w:hAnsi="Times New Roman"/>
                <w:b/>
                <w:color w:val="00000A"/>
                <w:kern w:val="2"/>
                <w:lang w:eastAsia="zh-CN" w:bidi="hi-IN"/>
              </w:rPr>
            </w:r>
          </w:p>
          <w:p>
            <w:pPr>
              <w:pStyle w:val="Normal"/>
              <w:widowControl w:val="false"/>
              <w:jc w:val="both"/>
              <w:textAlignment w:val="baseline"/>
              <w:rPr>
                <w:rFonts w:ascii="Times New Roman" w:hAnsi="Times New Roman" w:eastAsia="SimSun"/>
                <w:b/>
                <w:color w:val="00000A"/>
                <w:kern w:val="2"/>
                <w:lang w:eastAsia="zh-CN" w:bidi="hi-IN"/>
              </w:rPr>
            </w:pPr>
            <w:r>
              <w:rPr>
                <w:rFonts w:eastAsia="SimSun" w:ascii="Times New Roman" w:hAnsi="Times New Roman"/>
                <w:b/>
                <w:color w:val="00000A"/>
                <w:kern w:val="2"/>
                <w:lang w:eastAsia="zh-CN" w:bidi="hi-IN"/>
              </w:rPr>
              <w:t>Копии предоставляемых документов:</w:t>
            </w:r>
          </w:p>
          <w:p>
            <w:pPr>
              <w:pStyle w:val="Normal"/>
              <w:widowControl w:val="false"/>
              <w:jc w:val="both"/>
              <w:textAlignment w:val="baseline"/>
              <w:rPr>
                <w:rFonts w:ascii="Times New Roman" w:hAnsi="Times New Roman" w:eastAsia="SimSun"/>
                <w:color w:val="000000"/>
                <w:kern w:val="2"/>
                <w:lang w:eastAsia="zh-CN" w:bidi="hi-IN"/>
              </w:rPr>
            </w:pPr>
            <w:r>
              <w:rPr>
                <w:rFonts w:eastAsia="SimSun" w:ascii="Times New Roman" w:hAnsi="Times New Roman"/>
                <w:color w:val="000000"/>
                <w:kern w:val="2"/>
                <w:lang w:eastAsia="zh-CN" w:bidi="hi-IN"/>
              </w:rPr>
              <w:t>- копии ранее исполненных контрактов (договоров), по которым участник закупки выступает в роли подрядчика на выполнение работ по объектам, относящимся к электросетевому хозяйству и/или электроэнергетики и/или электроснабжению без применения штрафных санкций (штрафы, пени и прочее) (исполненных с 2023 года);</w:t>
            </w:r>
          </w:p>
          <w:p>
            <w:pPr>
              <w:pStyle w:val="Normal"/>
              <w:widowControl w:val="false"/>
              <w:jc w:val="both"/>
              <w:textAlignment w:val="baseline"/>
              <w:rPr>
                <w:rFonts w:ascii="Times New Roman" w:hAnsi="Times New Roman"/>
                <w:color w:val="000000"/>
                <w:kern w:val="2"/>
                <w:lang w:bidi="hi-IN"/>
              </w:rPr>
            </w:pPr>
            <w:r>
              <w:rPr>
                <w:rFonts w:ascii="Times New Roman" w:hAnsi="Times New Roman"/>
                <w:color w:val="000000"/>
                <w:kern w:val="2"/>
                <w:lang w:bidi="hi-IN"/>
              </w:rPr>
              <w:t>- копия акта (актов) выполненных работ, содержащего (содержащих) все обязательные реквизиты, установленные частью 2 статьи 9 Федерального закона «О бухгалтерском учете», и подтверждающего (подтверждающих) стоимость исполненного контракта (договора)</w:t>
            </w:r>
          </w:p>
          <w:p>
            <w:pPr>
              <w:pStyle w:val="Normal"/>
              <w:widowControl w:val="false"/>
              <w:spacing w:before="0" w:after="160"/>
              <w:jc w:val="both"/>
              <w:textAlignment w:val="baseline"/>
              <w:rPr>
                <w:rFonts w:ascii="Times New Roman" w:hAnsi="Times New Roman"/>
                <w:color w:val="000000"/>
                <w:kern w:val="2"/>
                <w:lang w:bidi="hi-IN"/>
              </w:rPr>
            </w:pPr>
            <w:r>
              <w:rPr>
                <w:rFonts w:ascii="Times New Roman" w:hAnsi="Times New Roman"/>
                <w:color w:val="000000"/>
                <w:kern w:val="2"/>
                <w:lang w:bidi="hi-IN"/>
              </w:rPr>
              <w:t>- копии актов выполненных работ (КС-2, КС-3).</w:t>
            </w:r>
          </w:p>
        </w:tc>
        <w:tc>
          <w:tcPr>
            <w:tcW w:w="17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408"/>
                <w:tab w:val="left" w:pos="9180" w:leader="none"/>
              </w:tabs>
              <w:spacing w:before="0" w:after="160"/>
              <w:jc w:val="both"/>
              <w:textAlignment w:val="baseline"/>
              <w:rPr>
                <w:rFonts w:ascii="Times New Roman" w:hAnsi="Times New Roman"/>
              </w:rPr>
            </w:pPr>
            <w:r>
              <w:rPr>
                <w:rFonts w:cs="Calibri" w:ascii="Times New Roman" w:hAnsi="Times New Roman"/>
                <w:b/>
                <w:color w:val="000000"/>
                <w:kern w:val="2"/>
                <w:lang w:bidi="hi-IN"/>
              </w:rPr>
              <w:t>25</w:t>
            </w:r>
            <w:r>
              <w:rPr>
                <w:rFonts w:cs="Calibri" w:ascii="Times New Roman" w:hAnsi="Times New Roman"/>
                <w:b/>
                <w:color w:val="000000"/>
                <w:kern w:val="2"/>
                <w:lang w:val="en-US" w:bidi="hi-IN"/>
              </w:rPr>
              <w:t>%</w:t>
            </w:r>
          </w:p>
        </w:tc>
      </w:tr>
      <w:tr>
        <w:trPr/>
        <w:tc>
          <w:tcPr>
            <w:tcW w:w="711" w:type="dxa"/>
            <w:gridSpan w:val="2"/>
            <w:tcBorders>
              <w:left w:val="single" w:sz="4" w:space="0" w:color="000000"/>
              <w:bottom w:val="single" w:sz="4" w:space="0" w:color="000000"/>
            </w:tcBorders>
            <w:vAlign w:val="center"/>
          </w:tcPr>
          <w:p>
            <w:pPr>
              <w:pStyle w:val="Normal"/>
              <w:widowControl w:val="false"/>
              <w:tabs>
                <w:tab w:val="clear" w:pos="408"/>
                <w:tab w:val="left" w:pos="9180" w:leader="none"/>
              </w:tabs>
              <w:spacing w:before="0" w:after="160"/>
              <w:jc w:val="both"/>
              <w:textAlignment w:val="baseline"/>
              <w:rPr>
                <w:rFonts w:ascii="Times New Roman" w:hAnsi="Times New Roman" w:cs="Calibri"/>
                <w:b/>
                <w:color w:val="000000"/>
                <w:kern w:val="2"/>
                <w:lang w:val="en-US" w:bidi="hi-IN"/>
              </w:rPr>
            </w:pPr>
            <w:r>
              <w:rPr>
                <w:rFonts w:cs="Calibri" w:ascii="Times New Roman" w:hAnsi="Times New Roman"/>
                <w:b/>
                <w:color w:val="000000"/>
                <w:kern w:val="2"/>
                <w:lang w:val="en-US" w:bidi="hi-IN"/>
              </w:rPr>
              <w:t>2.3</w:t>
            </w:r>
          </w:p>
        </w:tc>
        <w:tc>
          <w:tcPr>
            <w:tcW w:w="1385" w:type="dxa"/>
            <w:tcBorders>
              <w:left w:val="single" w:sz="4" w:space="0" w:color="000000"/>
              <w:bottom w:val="single" w:sz="4" w:space="0" w:color="000000"/>
            </w:tcBorders>
            <w:vAlign w:val="center"/>
          </w:tcPr>
          <w:p>
            <w:pPr>
              <w:pStyle w:val="Normal"/>
              <w:widowControl w:val="false"/>
              <w:tabs>
                <w:tab w:val="clear" w:pos="408"/>
                <w:tab w:val="left" w:pos="9180" w:leader="none"/>
              </w:tabs>
              <w:spacing w:before="0" w:after="160"/>
              <w:jc w:val="both"/>
              <w:textAlignment w:val="baseline"/>
              <w:rPr>
                <w:rFonts w:ascii="Times New Roman" w:hAnsi="Times New Roman" w:cs="Calibri"/>
                <w:b/>
                <w:color w:val="000000"/>
                <w:kern w:val="2"/>
                <w:lang w:val="en-US" w:bidi="hi-IN"/>
              </w:rPr>
            </w:pPr>
            <w:r>
              <w:rPr>
                <w:rFonts w:cs="Calibri" w:ascii="Times New Roman" w:hAnsi="Times New Roman"/>
                <w:b/>
                <w:color w:val="000000"/>
                <w:kern w:val="2"/>
                <w:lang w:val="en-US" w:bidi="hi-IN"/>
              </w:rPr>
              <w:t>100</w:t>
            </w:r>
          </w:p>
        </w:tc>
        <w:tc>
          <w:tcPr>
            <w:tcW w:w="6016" w:type="dxa"/>
            <w:tcBorders>
              <w:left w:val="single" w:sz="4" w:space="0" w:color="000000"/>
              <w:bottom w:val="single" w:sz="4" w:space="0" w:color="000000"/>
            </w:tcBorders>
            <w:vAlign w:val="center"/>
          </w:tcPr>
          <w:p>
            <w:pPr>
              <w:pStyle w:val="Normal"/>
              <w:widowControl w:val="false"/>
              <w:jc w:val="both"/>
              <w:textAlignment w:val="baseline"/>
              <w:rPr>
                <w:rFonts w:ascii="Times New Roman" w:hAnsi="Times New Roman" w:eastAsia="SimSun"/>
                <w:color w:val="000000"/>
                <w:kern w:val="2"/>
                <w:lang w:eastAsia="zh-CN" w:bidi="hi-IN"/>
              </w:rPr>
            </w:pPr>
            <w:r>
              <w:rPr>
                <w:rFonts w:eastAsia="SimSun" w:ascii="Times New Roman" w:hAnsi="Times New Roman"/>
                <w:color w:val="000000"/>
                <w:kern w:val="2"/>
                <w:lang w:eastAsia="zh-CN" w:bidi="hi-IN"/>
              </w:rPr>
              <w:t xml:space="preserve">Наличие опыта исполнения (с учетом правопреемства) контрактов (договоров), по которым участник закупки выступает в роли подрядчика на выполнение работ по объектам, относящимся к электросетевому хозяйству и/или электроэнергетики и/или электроснабжению без применения штрафных санкций (штрафы, пени и прочее) (исполненных с </w:t>
            </w:r>
            <w:r>
              <w:rPr>
                <w:rFonts w:eastAsia="SimSun" w:ascii="Times New Roman" w:hAnsi="Times New Roman"/>
                <w:color w:val="000000"/>
                <w:kern w:val="2"/>
                <w:shd w:fill="auto" w:val="clear"/>
                <w:lang w:eastAsia="zh-CN" w:bidi="hi-IN"/>
              </w:rPr>
              <w:t>2020</w:t>
            </w:r>
            <w:r>
              <w:rPr>
                <w:rFonts w:eastAsia="SimSun" w:ascii="Times New Roman" w:hAnsi="Times New Roman"/>
                <w:color w:val="000000"/>
                <w:kern w:val="2"/>
                <w:lang w:eastAsia="zh-CN" w:bidi="hi-IN"/>
              </w:rPr>
              <w:t xml:space="preserve"> года).</w:t>
            </w:r>
          </w:p>
          <w:p>
            <w:pPr>
              <w:pStyle w:val="Normal"/>
              <w:widowControl w:val="false"/>
              <w:jc w:val="both"/>
              <w:textAlignment w:val="baseline"/>
              <w:rPr>
                <w:rFonts w:ascii="Times New Roman" w:hAnsi="Times New Roman"/>
              </w:rPr>
            </w:pPr>
            <w:r>
              <w:rPr>
                <w:rFonts w:ascii="Times New Roman" w:hAnsi="Times New Roman"/>
                <w:b/>
                <w:bCs/>
                <w:color w:val="000000"/>
                <w:kern w:val="2"/>
                <w:lang w:bidi="hi-IN"/>
              </w:rPr>
              <w:t xml:space="preserve">При этом, стоимость каждого ранее исполненного контракта (договора) составляет не менее </w:t>
            </w:r>
            <w:r>
              <w:rPr>
                <w:rFonts w:cs="Times New Roman" w:ascii="Times New Roman" w:hAnsi="Times New Roman"/>
                <w:b/>
                <w:bCs/>
                <w:color w:val="000000"/>
                <w:kern w:val="2"/>
                <w:lang w:eastAsia="ru-RU" w:bidi="hi-IN"/>
              </w:rPr>
              <w:t>3</w:t>
            </w:r>
            <w:r>
              <w:rPr>
                <w:rFonts w:ascii="Times New Roman" w:hAnsi="Times New Roman"/>
                <w:b/>
                <w:bCs/>
                <w:color w:val="000000"/>
                <w:kern w:val="2"/>
                <w:lang w:bidi="hi-IN"/>
              </w:rPr>
              <w:t xml:space="preserve"> млн рублей.</w:t>
            </w:r>
          </w:p>
          <w:p>
            <w:pPr>
              <w:pStyle w:val="Normal"/>
              <w:widowControl w:val="false"/>
              <w:jc w:val="both"/>
              <w:textAlignment w:val="baseline"/>
              <w:rPr>
                <w:rFonts w:ascii="Times New Roman" w:hAnsi="Times New Roman"/>
                <w:b/>
                <w:bCs/>
                <w:color w:val="000000"/>
                <w:kern w:val="2"/>
                <w:lang w:bidi="hi-IN"/>
              </w:rPr>
            </w:pPr>
            <w:r>
              <w:rPr>
                <w:rFonts w:ascii="Times New Roman" w:hAnsi="Times New Roman"/>
                <w:b/>
                <w:bCs/>
                <w:color w:val="000000"/>
                <w:kern w:val="2"/>
                <w:lang w:bidi="hi-IN"/>
              </w:rPr>
            </w:r>
          </w:p>
          <w:p>
            <w:pPr>
              <w:pStyle w:val="Normal"/>
              <w:widowControl w:val="false"/>
              <w:jc w:val="both"/>
              <w:textAlignment w:val="baseline"/>
              <w:rPr>
                <w:rFonts w:ascii="Times New Roman" w:hAnsi="Times New Roman"/>
                <w:color w:val="000000"/>
                <w:kern w:val="2"/>
                <w:lang w:bidi="hi-IN"/>
              </w:rPr>
            </w:pPr>
            <w:r>
              <w:rPr>
                <w:rFonts w:ascii="Times New Roman" w:hAnsi="Times New Roman"/>
                <w:color w:val="000000"/>
                <w:kern w:val="2"/>
                <w:lang w:bidi="hi-IN"/>
              </w:rPr>
              <w:t>Рейтинг, присуждаемый заявке по настоящему критерию, определяется по формуле:</w:t>
            </w:r>
          </w:p>
          <w:p>
            <w:pPr>
              <w:pStyle w:val="Normal"/>
              <w:widowControl w:val="false"/>
              <w:jc w:val="both"/>
              <w:textAlignment w:val="baseline"/>
              <w:rPr>
                <w:rFonts w:ascii="Times New Roman" w:hAnsi="Times New Roman"/>
              </w:rPr>
            </w:pPr>
            <w:r>
              <w:rPr>
                <w:rFonts w:ascii="Times New Roman" w:hAnsi="Times New Roman"/>
                <w:color w:val="000000"/>
                <w:kern w:val="2"/>
                <w:lang w:bidi="hi-IN"/>
              </w:rPr>
              <w:t>РОП</w:t>
            </w:r>
            <w:r>
              <w:rPr>
                <w:rFonts w:ascii="Times New Roman" w:hAnsi="Times New Roman"/>
                <w:color w:val="000000"/>
                <w:kern w:val="2"/>
                <w:lang w:val="en-US" w:bidi="hi-IN"/>
              </w:rPr>
              <w:t>i</w:t>
            </w:r>
            <w:r>
              <w:rPr>
                <w:rFonts w:ascii="Times New Roman" w:hAnsi="Times New Roman"/>
                <w:color w:val="000000"/>
                <w:kern w:val="2"/>
                <w:lang w:bidi="hi-IN"/>
              </w:rPr>
              <w:t xml:space="preserve"> = (</w:t>
            </w:r>
            <w:r>
              <w:rPr>
                <w:rFonts w:ascii="Times New Roman" w:hAnsi="Times New Roman"/>
                <w:color w:val="000000"/>
                <w:kern w:val="2"/>
                <w:lang w:val="en-US" w:bidi="hi-IN"/>
              </w:rPr>
              <w:t>O</w:t>
            </w:r>
            <w:r>
              <w:rPr>
                <w:rFonts w:ascii="Times New Roman" w:hAnsi="Times New Roman"/>
                <w:color w:val="000000"/>
                <w:kern w:val="2"/>
                <w:lang w:bidi="hi-IN"/>
              </w:rPr>
              <w:t>Пi / ОПmax) х 100</w:t>
            </w:r>
          </w:p>
          <w:p>
            <w:pPr>
              <w:pStyle w:val="Normal"/>
              <w:widowControl w:val="false"/>
              <w:jc w:val="both"/>
              <w:textAlignment w:val="baseline"/>
              <w:rPr>
                <w:rFonts w:ascii="Times New Roman" w:hAnsi="Times New Roman"/>
                <w:color w:val="000000"/>
                <w:kern w:val="2"/>
                <w:lang w:bidi="hi-IN"/>
              </w:rPr>
            </w:pPr>
            <w:r>
              <w:rPr>
                <w:rFonts w:ascii="Times New Roman" w:hAnsi="Times New Roman"/>
                <w:color w:val="000000"/>
                <w:kern w:val="2"/>
                <w:lang w:bidi="hi-IN"/>
              </w:rPr>
              <w:t>где:</w:t>
            </w:r>
          </w:p>
          <w:p>
            <w:pPr>
              <w:pStyle w:val="Normal"/>
              <w:widowControl w:val="false"/>
              <w:jc w:val="both"/>
              <w:textAlignment w:val="baseline"/>
              <w:rPr>
                <w:rFonts w:ascii="Times New Roman" w:hAnsi="Times New Roman"/>
              </w:rPr>
            </w:pPr>
            <w:r>
              <w:rPr>
                <w:rFonts w:ascii="Times New Roman" w:hAnsi="Times New Roman"/>
                <w:color w:val="000000"/>
                <w:kern w:val="2"/>
                <w:lang w:bidi="hi-IN"/>
              </w:rPr>
              <w:t>РОП</w:t>
            </w:r>
            <w:r>
              <w:rPr>
                <w:rFonts w:ascii="Times New Roman" w:hAnsi="Times New Roman"/>
                <w:color w:val="000000"/>
                <w:kern w:val="2"/>
                <w:lang w:val="en-US" w:bidi="hi-IN"/>
              </w:rPr>
              <w:t>i</w:t>
            </w:r>
            <w:r>
              <w:rPr>
                <w:rFonts w:ascii="Times New Roman" w:hAnsi="Times New Roman"/>
                <w:color w:val="000000"/>
                <w:kern w:val="2"/>
                <w:lang w:bidi="hi-IN"/>
              </w:rPr>
              <w:t xml:space="preserve"> - рейтинг, присуждаемый заявке по указанному критерию;</w:t>
            </w:r>
          </w:p>
          <w:p>
            <w:pPr>
              <w:pStyle w:val="Normal"/>
              <w:widowControl w:val="false"/>
              <w:jc w:val="both"/>
              <w:textAlignment w:val="baseline"/>
              <w:rPr>
                <w:rFonts w:ascii="Times New Roman" w:hAnsi="Times New Roman"/>
                <w:color w:val="000000"/>
                <w:kern w:val="2"/>
                <w:lang w:bidi="hi-IN"/>
              </w:rPr>
            </w:pPr>
            <w:r>
              <w:rPr>
                <w:rFonts w:ascii="Times New Roman" w:hAnsi="Times New Roman"/>
                <w:color w:val="000000"/>
                <w:kern w:val="2"/>
                <w:lang w:bidi="hi-IN"/>
              </w:rPr>
              <w:t>ОПi – общая сумма цен договоров (контрактов), предложенная i-м участником, заявка (предложение) которого оценивается;</w:t>
            </w:r>
          </w:p>
          <w:p>
            <w:pPr>
              <w:pStyle w:val="Normal"/>
              <w:widowControl w:val="false"/>
              <w:jc w:val="both"/>
              <w:textAlignment w:val="baseline"/>
              <w:rPr>
                <w:rFonts w:ascii="Times New Roman" w:hAnsi="Times New Roman"/>
                <w:color w:val="000000"/>
                <w:kern w:val="2"/>
                <w:lang w:bidi="hi-IN"/>
              </w:rPr>
            </w:pPr>
            <w:r>
              <w:rPr>
                <w:rFonts w:ascii="Times New Roman" w:hAnsi="Times New Roman"/>
                <w:color w:val="000000"/>
                <w:kern w:val="2"/>
                <w:lang w:bidi="hi-IN"/>
              </w:rPr>
              <w:t>ОПmax – максимальная общая сумма цен договоров (контрактов).</w:t>
            </w:r>
          </w:p>
          <w:p>
            <w:pPr>
              <w:pStyle w:val="Normal"/>
              <w:widowControl w:val="false"/>
              <w:jc w:val="both"/>
              <w:textAlignment w:val="baseline"/>
              <w:rPr>
                <w:rFonts w:ascii="Times New Roman" w:hAnsi="Times New Roman" w:eastAsia="SimSun"/>
                <w:b/>
                <w:color w:val="00000A"/>
                <w:kern w:val="2"/>
                <w:lang w:eastAsia="zh-CN" w:bidi="hi-IN"/>
              </w:rPr>
            </w:pPr>
            <w:r>
              <w:rPr>
                <w:rFonts w:eastAsia="SimSun" w:ascii="Times New Roman" w:hAnsi="Times New Roman"/>
                <w:b/>
                <w:color w:val="00000A"/>
                <w:kern w:val="2"/>
                <w:lang w:eastAsia="zh-CN" w:bidi="hi-IN"/>
              </w:rPr>
              <w:t>2/Копии предоставляемых документов:</w:t>
            </w:r>
          </w:p>
          <w:p>
            <w:pPr>
              <w:pStyle w:val="Normal"/>
              <w:widowControl w:val="false"/>
              <w:jc w:val="both"/>
              <w:textAlignment w:val="baseline"/>
              <w:rPr>
                <w:rFonts w:ascii="Times New Roman" w:hAnsi="Times New Roman" w:eastAsia="SimSun"/>
                <w:color w:val="000000"/>
                <w:kern w:val="2"/>
                <w:lang w:eastAsia="zh-CN" w:bidi="hi-IN"/>
              </w:rPr>
            </w:pPr>
            <w:r>
              <w:rPr>
                <w:rFonts w:eastAsia="SimSun" w:ascii="Times New Roman" w:hAnsi="Times New Roman"/>
                <w:color w:val="000000"/>
                <w:kern w:val="2"/>
                <w:lang w:eastAsia="zh-CN" w:bidi="hi-IN"/>
              </w:rPr>
              <w:t>- копии ранее исполненных контрактов (договоров), по которым участник закупки выступает в роли подрядчика на выполнение работ по объектам, относящимся к электросетевому хозяйству и/или электроэнергетики и/или электроснабжению без применения штрафных санкций (штрафы, пени и прочее) (исполненных с 2023 года);</w:t>
            </w:r>
          </w:p>
          <w:p>
            <w:pPr>
              <w:pStyle w:val="Normal"/>
              <w:widowControl w:val="false"/>
              <w:jc w:val="both"/>
              <w:textAlignment w:val="baseline"/>
              <w:rPr>
                <w:rFonts w:ascii="Times New Roman" w:hAnsi="Times New Roman"/>
                <w:color w:val="000000"/>
                <w:kern w:val="2"/>
                <w:lang w:bidi="hi-IN"/>
              </w:rPr>
            </w:pPr>
            <w:r>
              <w:rPr>
                <w:rFonts w:ascii="Times New Roman" w:hAnsi="Times New Roman"/>
                <w:color w:val="000000"/>
                <w:kern w:val="2"/>
                <w:lang w:bidi="hi-IN"/>
              </w:rPr>
              <w:t>- копия акта (актов) выполненных работ, содержащего (содержащих) все обязательные реквизиты, установленные частью 2 статьи 9 Федерального закона «О бухгалтерском учете», и подтверждающего (подтверждающих) стоимость исполненного контракта (договора)</w:t>
            </w:r>
          </w:p>
          <w:p>
            <w:pPr>
              <w:pStyle w:val="Normal"/>
              <w:widowControl w:val="false"/>
              <w:spacing w:before="0" w:after="160"/>
              <w:jc w:val="both"/>
              <w:textAlignment w:val="baseline"/>
              <w:rPr>
                <w:rFonts w:ascii="Times New Roman" w:hAnsi="Times New Roman"/>
                <w:color w:val="000000"/>
                <w:kern w:val="2"/>
                <w:lang w:bidi="hi-IN"/>
              </w:rPr>
            </w:pPr>
            <w:r>
              <w:rPr>
                <w:rFonts w:ascii="Times New Roman" w:hAnsi="Times New Roman"/>
                <w:color w:val="000000"/>
                <w:kern w:val="2"/>
                <w:lang w:bidi="hi-IN"/>
              </w:rPr>
              <w:t>- копии актов выполненных работ (КС-2, КС-3).</w:t>
            </w:r>
          </w:p>
        </w:tc>
        <w:tc>
          <w:tcPr>
            <w:tcW w:w="1772" w:type="dxa"/>
            <w:tcBorders>
              <w:left w:val="single" w:sz="4" w:space="0" w:color="000000"/>
              <w:bottom w:val="single" w:sz="4" w:space="0" w:color="000000"/>
              <w:right w:val="single" w:sz="4" w:space="0" w:color="000000"/>
            </w:tcBorders>
            <w:vAlign w:val="center"/>
          </w:tcPr>
          <w:p>
            <w:pPr>
              <w:pStyle w:val="Normal"/>
              <w:widowControl w:val="false"/>
              <w:tabs>
                <w:tab w:val="clear" w:pos="408"/>
                <w:tab w:val="left" w:pos="9180" w:leader="none"/>
              </w:tabs>
              <w:spacing w:before="0" w:after="160"/>
              <w:jc w:val="both"/>
              <w:textAlignment w:val="baseline"/>
              <w:rPr>
                <w:rFonts w:ascii="Times New Roman" w:hAnsi="Times New Roman"/>
                <w:b/>
                <w:bCs/>
                <w:color w:val="000000"/>
                <w:kern w:val="2"/>
                <w:lang w:bidi="hi-IN"/>
              </w:rPr>
            </w:pPr>
            <w:r>
              <w:rPr>
                <w:rFonts w:ascii="Times New Roman" w:hAnsi="Times New Roman"/>
                <w:b/>
                <w:bCs/>
                <w:color w:val="000000"/>
                <w:kern w:val="2"/>
                <w:lang w:bidi="hi-IN"/>
              </w:rPr>
              <w:t>25%</w:t>
            </w:r>
          </w:p>
        </w:tc>
      </w:tr>
      <w:tr>
        <w:trPr/>
        <w:tc>
          <w:tcPr>
            <w:tcW w:w="9884" w:type="dxa"/>
            <w:gridSpan w:val="5"/>
            <w:tcBorders>
              <w:left w:val="single" w:sz="4" w:space="0" w:color="000000"/>
              <w:bottom w:val="single" w:sz="4" w:space="0" w:color="000000"/>
              <w:right w:val="single" w:sz="4" w:space="0" w:color="000000"/>
            </w:tcBorders>
            <w:vAlign w:val="center"/>
          </w:tcPr>
          <w:p>
            <w:pPr>
              <w:pStyle w:val="Normal"/>
              <w:widowControl w:val="false"/>
              <w:spacing w:lineRule="auto" w:line="276"/>
              <w:jc w:val="center"/>
              <w:textAlignment w:val="baseline"/>
              <w:rPr>
                <w:rFonts w:ascii="Times New Roman" w:hAnsi="Times New Roman" w:eastAsia="Segoe UI" w:cs="Liberation Serif;Times New Roma"/>
                <w:b/>
                <w:i/>
                <w:i/>
                <w:color w:val="000000"/>
                <w:kern w:val="2"/>
                <w:lang w:eastAsia="zh-CN" w:bidi="hi-IN"/>
              </w:rPr>
            </w:pPr>
            <w:r>
              <w:rPr>
                <w:rFonts w:eastAsia="Segoe UI" w:cs="Liberation Serif;Times New Roma" w:ascii="Times New Roman" w:hAnsi="Times New Roman"/>
                <w:b/>
                <w:i/>
                <w:color w:val="000000"/>
                <w:kern w:val="2"/>
                <w:lang w:eastAsia="zh-CN" w:bidi="hi-IN"/>
              </w:rPr>
              <w:t>Итоговый рейтинг заявки (предложения) вычисляется как сумма рейтингов по каждому критерию оценки заявки (предложения)</w:t>
            </w:r>
          </w:p>
          <w:p>
            <w:pPr>
              <w:pStyle w:val="Normal"/>
              <w:widowControl w:val="false"/>
              <w:spacing w:lineRule="auto" w:line="276" w:before="0" w:after="160"/>
              <w:jc w:val="center"/>
              <w:textAlignment w:val="baseline"/>
              <w:rPr>
                <w:rFonts w:ascii="Times New Roman" w:hAnsi="Times New Roman"/>
              </w:rPr>
            </w:pPr>
            <w:r>
              <w:rPr>
                <w:rFonts w:eastAsia="Segoe UI" w:cs="Liberation Serif;Times New Roma" w:ascii="Times New Roman" w:hAnsi="Times New Roman"/>
                <w:b/>
                <w:i/>
                <w:color w:val="000000"/>
                <w:kern w:val="2"/>
                <w:lang w:eastAsia="zh-CN" w:bidi="hi-IN"/>
              </w:rPr>
              <w:t xml:space="preserve">Итоговый рейтинг заявки = ЦБi*0,4 + (НЦБ1i * 0,5 + </w:t>
            </w:r>
            <w:r>
              <w:rPr>
                <w:rFonts w:ascii="Times New Roman" w:hAnsi="Times New Roman"/>
                <w:b/>
                <w:bCs/>
                <w:i/>
                <w:color w:val="000000"/>
                <w:kern w:val="2"/>
                <w:lang w:bidi="hi-IN"/>
              </w:rPr>
              <w:t>РЦ</w:t>
            </w:r>
            <w:r>
              <w:rPr>
                <w:rFonts w:ascii="Times New Roman" w:hAnsi="Times New Roman"/>
                <w:b/>
                <w:bCs/>
                <w:i/>
                <w:color w:val="000000"/>
                <w:kern w:val="2"/>
                <w:lang w:val="en-US" w:bidi="hi-IN"/>
              </w:rPr>
              <w:t>i</w:t>
            </w:r>
            <w:r>
              <w:rPr>
                <w:rFonts w:ascii="Times New Roman" w:hAnsi="Times New Roman"/>
                <w:b/>
                <w:bCs/>
                <w:i/>
                <w:color w:val="000000"/>
                <w:kern w:val="2"/>
                <w:lang w:bidi="hi-IN"/>
              </w:rPr>
              <w:t xml:space="preserve"> * 0,25 +</w:t>
            </w:r>
            <w:r>
              <w:rPr>
                <w:rFonts w:ascii="Times New Roman" w:hAnsi="Times New Roman"/>
                <w:b/>
                <w:bCs/>
                <w:i/>
                <w:color w:val="000000"/>
                <w:kern w:val="2"/>
                <w:lang w:eastAsia="ar-SA" w:bidi="hi-IN"/>
              </w:rPr>
              <w:t xml:space="preserve"> </w:t>
            </w:r>
            <w:r>
              <w:rPr>
                <w:rFonts w:ascii="Times New Roman" w:hAnsi="Times New Roman"/>
                <w:b/>
                <w:i/>
                <w:color w:val="000000"/>
                <w:kern w:val="2"/>
                <w:lang w:bidi="hi-IN"/>
              </w:rPr>
              <w:t>РОП</w:t>
            </w:r>
            <w:r>
              <w:rPr>
                <w:rFonts w:ascii="Times New Roman" w:hAnsi="Times New Roman"/>
                <w:b/>
                <w:i/>
                <w:color w:val="000000"/>
                <w:kern w:val="2"/>
                <w:lang w:val="en-US" w:bidi="hi-IN"/>
              </w:rPr>
              <w:t>i</w:t>
            </w:r>
            <w:r>
              <w:rPr>
                <w:rFonts w:ascii="Times New Roman" w:hAnsi="Times New Roman"/>
                <w:b/>
                <w:bCs/>
                <w:i/>
                <w:color w:val="000000"/>
                <w:kern w:val="2"/>
                <w:vertAlign w:val="subscript"/>
                <w:lang w:bidi="hi-IN"/>
              </w:rPr>
              <w:t xml:space="preserve"> </w:t>
            </w:r>
            <w:r>
              <w:rPr>
                <w:rFonts w:ascii="Times New Roman" w:hAnsi="Times New Roman"/>
                <w:b/>
                <w:bCs/>
                <w:i/>
                <w:color w:val="000000"/>
                <w:kern w:val="2"/>
                <w:lang w:bidi="hi-IN"/>
              </w:rPr>
              <w:t>* 0,25)*0,6</w:t>
            </w:r>
          </w:p>
        </w:tc>
      </w:tr>
    </w:tbl>
    <w:p>
      <w:pPr>
        <w:pStyle w:val="Normal"/>
        <w:keepNext w:val="true"/>
        <w:keepLines/>
        <w:widowControl w:val="false"/>
        <w:spacing w:lineRule="auto" w:line="300"/>
        <w:jc w:val="center"/>
        <w:textAlignment w:val="baseline"/>
        <w:rPr>
          <w:i/>
          <w:i/>
        </w:rPr>
      </w:pPr>
      <w:r>
        <w:rPr>
          <w:i/>
        </w:rPr>
      </w:r>
    </w:p>
    <w:p>
      <w:pPr>
        <w:pStyle w:val="Normal"/>
        <w:widowControl w:val="false"/>
        <w:spacing w:lineRule="auto" w:line="276" w:before="0" w:after="60"/>
        <w:ind w:firstLine="709"/>
        <w:jc w:val="both"/>
        <w:rPr/>
      </w:pPr>
      <w:r>
        <w:rPr>
          <w:i/>
        </w:rPr>
        <w:t xml:space="preserve">По итогам рассмотрения и оценки заявок на участие в </w:t>
      </w:r>
      <w:r>
        <w:rPr>
          <w:rFonts w:eastAsia="Segoe UI" w:cs="Liberation Serif;Times New Roma" w:ascii="Liberation Serif;Times New Roma" w:hAnsi="Liberation Serif;Times New Roma"/>
          <w:i/>
          <w:color w:val="000000"/>
          <w:kern w:val="2"/>
          <w:lang w:eastAsia="zh-CN" w:bidi="hi-IN"/>
        </w:rPr>
        <w:t xml:space="preserve">конкурсе в электронной форме </w:t>
      </w:r>
      <w:r>
        <w:rPr>
          <w:i/>
        </w:rPr>
        <w:t xml:space="preserve"> составляется протокол рассмотрения и оценки заявок, в котором содержится следующая информация:</w:t>
      </w:r>
    </w:p>
    <w:p>
      <w:pPr>
        <w:pStyle w:val="Normal"/>
        <w:widowControl w:val="false"/>
        <w:spacing w:lineRule="auto" w:line="276" w:before="0" w:after="60"/>
        <w:ind w:firstLine="709"/>
        <w:jc w:val="both"/>
        <w:rPr>
          <w:i/>
          <w:i/>
        </w:rPr>
      </w:pPr>
      <w:r>
        <w:rPr>
          <w:i/>
        </w:rPr>
        <w:t>- дата подписания протокола;</w:t>
      </w:r>
    </w:p>
    <w:p>
      <w:pPr>
        <w:pStyle w:val="Normal"/>
        <w:widowControl w:val="false"/>
        <w:spacing w:lineRule="auto" w:line="276" w:before="0" w:after="60"/>
        <w:ind w:firstLine="709"/>
        <w:jc w:val="both"/>
        <w:rPr>
          <w:i/>
          <w:i/>
        </w:rPr>
      </w:pPr>
      <w:r>
        <w:rPr>
          <w:i/>
        </w:rPr>
        <w:t>- количество поданных заявок на участие в закупке, а также дата и время регистрации каждой такой заявки;</w:t>
      </w:r>
    </w:p>
    <w:p>
      <w:pPr>
        <w:pStyle w:val="Normal"/>
        <w:widowControl w:val="false"/>
        <w:spacing w:lineRule="auto" w:line="276" w:before="0" w:after="60"/>
        <w:ind w:firstLine="709"/>
        <w:jc w:val="both"/>
        <w:rPr>
          <w:i/>
          <w:i/>
        </w:rPr>
      </w:pPr>
      <w:r>
        <w:rPr>
          <w:i/>
        </w:rPr>
        <w:t>- сведения об объеме, цене закупаемых товаров, работ, услуг, сроке исполнения договора;</w:t>
      </w:r>
    </w:p>
    <w:p>
      <w:pPr>
        <w:pStyle w:val="Normal"/>
        <w:widowControl w:val="false"/>
        <w:spacing w:lineRule="auto" w:line="276" w:before="0" w:after="60"/>
        <w:ind w:firstLine="709"/>
        <w:jc w:val="both"/>
        <w:rPr>
          <w:i/>
          <w:i/>
        </w:rPr>
      </w:pPr>
      <w:r>
        <w:rPr>
          <w:i/>
        </w:rPr>
        <w:t>- место, дата, время проведения рассмотрения и оценки заявок;</w:t>
      </w:r>
    </w:p>
    <w:p>
      <w:pPr>
        <w:pStyle w:val="Normal"/>
        <w:widowControl w:val="false"/>
        <w:spacing w:lineRule="auto" w:line="276" w:before="0" w:after="60"/>
        <w:ind w:firstLine="709"/>
        <w:jc w:val="both"/>
        <w:rPr>
          <w:i/>
          <w:i/>
        </w:rPr>
      </w:pPr>
      <w:r>
        <w:rPr>
          <w:i/>
        </w:rPr>
        <w:t>-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pPr>
        <w:pStyle w:val="Normal"/>
        <w:widowControl w:val="false"/>
        <w:spacing w:lineRule="auto" w:line="276" w:before="0" w:after="60"/>
        <w:ind w:firstLine="709"/>
        <w:jc w:val="both"/>
        <w:rPr>
          <w:i/>
          <w:i/>
        </w:rPr>
      </w:pPr>
      <w:r>
        <w:rPr>
          <w:i/>
        </w:rPr>
        <w:t>-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pPr>
        <w:pStyle w:val="Normal"/>
        <w:widowControl w:val="false"/>
        <w:spacing w:lineRule="auto" w:line="276" w:before="0" w:after="60"/>
        <w:ind w:firstLine="709"/>
        <w:jc w:val="both"/>
        <w:rPr>
          <w:i/>
          <w:i/>
        </w:rPr>
      </w:pPr>
      <w:r>
        <w:rPr>
          <w:i/>
        </w:rPr>
        <w:t>а) количества заявок на участие в закупке, окончательных предложений, которые отклонены;</w:t>
      </w:r>
    </w:p>
    <w:p>
      <w:pPr>
        <w:pStyle w:val="Normal"/>
        <w:widowControl w:val="false"/>
        <w:spacing w:lineRule="auto" w:line="276" w:before="0" w:after="60"/>
        <w:ind w:firstLine="709"/>
        <w:jc w:val="both"/>
        <w:rPr>
          <w:i/>
          <w:i/>
        </w:rPr>
      </w:pPr>
      <w:r>
        <w:rPr>
          <w:i/>
        </w:rPr>
        <w:t>б) 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конкурса, которым не соответствуют такие заявка, окончательное предложение;</w:t>
      </w:r>
    </w:p>
    <w:p>
      <w:pPr>
        <w:pStyle w:val="Normal"/>
        <w:widowControl w:val="false"/>
        <w:spacing w:lineRule="auto" w:line="276" w:before="0" w:after="60"/>
        <w:ind w:firstLine="709"/>
        <w:jc w:val="both"/>
        <w:rPr>
          <w:i/>
          <w:i/>
        </w:rPr>
      </w:pPr>
      <w:r>
        <w:rPr>
          <w:i/>
        </w:rPr>
        <w:t>-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pPr>
        <w:pStyle w:val="Normal"/>
        <w:widowControl w:val="false"/>
        <w:spacing w:lineRule="auto" w:line="276" w:before="0" w:after="60"/>
        <w:ind w:firstLine="709"/>
        <w:jc w:val="both"/>
        <w:rPr>
          <w:i/>
          <w:i/>
        </w:rPr>
      </w:pPr>
      <w:r>
        <w:rPr>
          <w:i/>
        </w:rPr>
        <w:t>- причины, по которым закупка признана несостоявшейся, в случае признания ее таковой;</w:t>
      </w:r>
    </w:p>
    <w:p>
      <w:pPr>
        <w:pStyle w:val="Normal"/>
        <w:widowControl w:val="false"/>
        <w:spacing w:lineRule="auto" w:line="276" w:before="0" w:after="60"/>
        <w:ind w:firstLine="709"/>
        <w:jc w:val="both"/>
        <w:rPr>
          <w:i/>
          <w:i/>
        </w:rPr>
      </w:pPr>
      <w:r>
        <w:rPr>
          <w:i/>
        </w:rPr>
        <w:t>- иные сведения в случае, если необходимость их указания в протоколе предусмотрена положением о закупке.</w:t>
      </w:r>
    </w:p>
    <w:p>
      <w:pPr>
        <w:pStyle w:val="Normal"/>
        <w:widowControl w:val="false"/>
        <w:spacing w:lineRule="auto" w:line="276" w:before="0" w:after="60"/>
        <w:ind w:firstLine="709"/>
        <w:jc w:val="both"/>
        <w:rPr/>
      </w:pPr>
      <w:r>
        <w:rPr>
          <w:i/>
        </w:rPr>
        <w:t xml:space="preserve">Протокол рассмотрения и оценки заявок на участие в </w:t>
      </w:r>
      <w:r>
        <w:rPr>
          <w:rFonts w:eastAsia="Segoe UI" w:cs="Liberation Serif;Times New Roma" w:ascii="Liberation Serif;Times New Roma" w:hAnsi="Liberation Serif;Times New Roma"/>
          <w:i/>
          <w:color w:val="000000"/>
          <w:kern w:val="2"/>
          <w:lang w:eastAsia="zh-CN" w:bidi="hi-IN"/>
        </w:rPr>
        <w:t xml:space="preserve">конкурсе в электронной форме </w:t>
      </w:r>
      <w:r>
        <w:rPr>
          <w:i/>
        </w:rPr>
        <w:t xml:space="preserve"> подписывается всеми присутствующими членами Комиссии в день окончания рассмотрения и оценки заявок на участие в з</w:t>
      </w:r>
      <w:r>
        <w:rPr>
          <w:rFonts w:eastAsia="Segoe UI" w:cs="Liberation Serif;Times New Roma" w:ascii="Liberation Serif;Times New Roma" w:hAnsi="Liberation Serif;Times New Roma"/>
          <w:i/>
          <w:color w:val="000000"/>
          <w:kern w:val="2"/>
          <w:lang w:eastAsia="zh-CN" w:bidi="hi-IN"/>
        </w:rPr>
        <w:t xml:space="preserve">конкурсе в электронной форме </w:t>
      </w:r>
      <w:r>
        <w:rPr>
          <w:i/>
        </w:rPr>
        <w:t>.</w:t>
      </w:r>
    </w:p>
    <w:p>
      <w:pPr>
        <w:pStyle w:val="Normal"/>
        <w:widowControl w:val="false"/>
        <w:spacing w:lineRule="auto" w:line="276" w:before="0" w:after="60"/>
        <w:ind w:firstLine="709"/>
        <w:jc w:val="both"/>
        <w:rPr/>
      </w:pPr>
      <w:r>
        <w:rPr>
          <w:i/>
        </w:rPr>
        <w:t xml:space="preserve">Протокол рассмотрения и оценки заявок на участие в </w:t>
      </w:r>
      <w:r>
        <w:rPr>
          <w:rFonts w:eastAsia="Segoe UI" w:cs="Liberation Serif;Times New Roma" w:ascii="Liberation Serif;Times New Roma" w:hAnsi="Liberation Serif;Times New Roma"/>
          <w:i/>
          <w:color w:val="000000"/>
          <w:kern w:val="2"/>
          <w:lang w:eastAsia="zh-CN" w:bidi="hi-IN"/>
        </w:rPr>
        <w:t xml:space="preserve">конкурсе в электронной форме </w:t>
      </w:r>
      <w:r>
        <w:rPr>
          <w:i/>
        </w:rPr>
        <w:t xml:space="preserve">размещается в Единой информационной системе Заказчиком не позднее чем через 3 дня со дня его подписания. </w:t>
      </w:r>
    </w:p>
    <w:p>
      <w:pPr>
        <w:pStyle w:val="Normal"/>
        <w:widowControl w:val="false"/>
        <w:spacing w:lineRule="auto" w:line="276" w:before="0" w:after="60"/>
        <w:ind w:firstLine="709"/>
        <w:jc w:val="both"/>
        <w:rPr/>
      </w:pPr>
      <w:r>
        <w:rPr>
          <w:b/>
          <w:i/>
        </w:rPr>
        <w:t>3.3. Определение победителя конкурса</w:t>
      </w:r>
    </w:p>
    <w:p>
      <w:pPr>
        <w:pStyle w:val="Normal"/>
        <w:widowControl w:val="false"/>
        <w:spacing w:lineRule="auto" w:line="276"/>
        <w:ind w:firstLine="709"/>
        <w:jc w:val="both"/>
        <w:rPr/>
      </w:pPr>
      <w:r>
        <w:rPr>
          <w:i/>
        </w:rPr>
        <w:t xml:space="preserve">3.3.1. На основании результатов оценки заявок на участие в </w:t>
      </w:r>
      <w:r>
        <w:rPr>
          <w:rFonts w:eastAsia="Segoe UI" w:cs="Liberation Serif;Times New Roma" w:ascii="Liberation Serif;Times New Roma" w:hAnsi="Liberation Serif;Times New Roma"/>
          <w:i/>
          <w:color w:val="000000"/>
          <w:kern w:val="2"/>
          <w:lang w:eastAsia="zh-CN" w:bidi="hi-IN"/>
        </w:rPr>
        <w:t xml:space="preserve">конкурсе в электронной форме  </w:t>
      </w:r>
      <w:r>
        <w:rPr>
          <w:i/>
        </w:rPr>
        <w:t xml:space="preserve">Комиссией каждой заявке на участие в конкурсе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w:t>
      </w:r>
      <w:r>
        <w:rPr>
          <w:rFonts w:eastAsia="Segoe UI" w:cs="Liberation Serif;Times New Roma" w:ascii="Liberation Serif;Times New Roma" w:hAnsi="Liberation Serif;Times New Roma"/>
          <w:i/>
          <w:color w:val="000000"/>
          <w:kern w:val="2"/>
          <w:lang w:eastAsia="zh-CN" w:bidi="hi-IN"/>
        </w:rPr>
        <w:t xml:space="preserve">конкурсе в электронной форме </w:t>
      </w:r>
      <w:r>
        <w:rPr>
          <w:i/>
        </w:rPr>
        <w:t>, в которой содержатся лучшие условия исполнения договора, присваивается первый номер.</w:t>
      </w:r>
    </w:p>
    <w:p>
      <w:pPr>
        <w:pStyle w:val="Normal"/>
        <w:widowControl w:val="false"/>
        <w:spacing w:lineRule="auto" w:line="276"/>
        <w:ind w:firstLine="709"/>
        <w:jc w:val="both"/>
        <w:rPr/>
      </w:pPr>
      <w:r>
        <w:rPr>
          <w:i/>
        </w:rPr>
        <w:t xml:space="preserve">3.3.2. Победителем конкурса признается участник закупки, который предложил лучшие условия исполнения договора и заявке на участие, в </w:t>
      </w:r>
      <w:r>
        <w:rPr>
          <w:rFonts w:eastAsia="Segoe UI" w:cs="Liberation Serif;Times New Roma" w:ascii="Liberation Serif;Times New Roma" w:hAnsi="Liberation Serif;Times New Roma"/>
          <w:i/>
          <w:color w:val="000000"/>
          <w:kern w:val="2"/>
          <w:lang w:eastAsia="zh-CN" w:bidi="hi-IN"/>
        </w:rPr>
        <w:t xml:space="preserve">конкурсе в электронной форме </w:t>
      </w:r>
      <w:r>
        <w:rPr>
          <w:i/>
        </w:rPr>
        <w:t xml:space="preserve"> которого присвоен первый номер.</w:t>
      </w:r>
    </w:p>
    <w:p>
      <w:pPr>
        <w:pStyle w:val="Normal"/>
        <w:widowControl w:val="false"/>
        <w:spacing w:lineRule="auto" w:line="276"/>
        <w:ind w:firstLine="709"/>
        <w:jc w:val="both"/>
        <w:rPr/>
      </w:pPr>
      <w:r>
        <w:rPr>
          <w:i/>
        </w:rPr>
        <w:t>3.3.3. Заказчик направляет выигравшему участнику закупки уведомление о признании его победителем конкурса. Уведомление отправляется в течение трех дней с даты его подписания Заказчиком.</w:t>
      </w:r>
    </w:p>
    <w:p>
      <w:pPr>
        <w:pStyle w:val="Normal"/>
        <w:widowControl w:val="false"/>
        <w:spacing w:lineRule="auto" w:line="276"/>
        <w:ind w:firstLine="709"/>
        <w:jc w:val="both"/>
        <w:rPr/>
      </w:pPr>
      <w:r>
        <w:rPr>
          <w:b/>
          <w:i/>
        </w:rPr>
        <w:t>3.4. Размещение информации о результатах конкурса</w:t>
      </w:r>
    </w:p>
    <w:p>
      <w:pPr>
        <w:pStyle w:val="Normal"/>
        <w:widowControl w:val="false"/>
        <w:spacing w:lineRule="auto" w:line="276"/>
        <w:ind w:firstLine="709"/>
        <w:jc w:val="both"/>
        <w:rPr/>
      </w:pPr>
      <w:r>
        <w:rPr>
          <w:i/>
        </w:rPr>
        <w:t xml:space="preserve">3.4.1. Протокол рассмотрения и оценки заявок подписывается всеми присутствующими членами Комиссии в день рассмотрения и оценки заявок на участие в </w:t>
      </w:r>
      <w:r>
        <w:rPr>
          <w:rFonts w:eastAsia="Segoe UI" w:cs="Liberation Serif;Times New Roma" w:ascii="Liberation Serif;Times New Roma" w:hAnsi="Liberation Serif;Times New Roma"/>
          <w:i/>
          <w:color w:val="000000"/>
          <w:kern w:val="2"/>
          <w:lang w:eastAsia="zh-CN" w:bidi="hi-IN"/>
        </w:rPr>
        <w:t>конкурсе в электронной форме</w:t>
      </w:r>
      <w:r>
        <w:rPr>
          <w:i/>
        </w:rPr>
        <w:t xml:space="preserve"> и размещается на электронной торговой площадке </w:t>
      </w:r>
      <w:hyperlink r:id="rId7">
        <w:r>
          <w:rPr>
            <w:i/>
          </w:rPr>
          <w:t>https://etp-region.ru</w:t>
        </w:r>
      </w:hyperlink>
      <w:r>
        <w:rPr>
          <w:i/>
        </w:rPr>
        <w:t xml:space="preserve"> и в Единой информационной системе www.zakupki.gov.ru не позднее чем через 3 дня со дня его подписания.</w:t>
      </w:r>
    </w:p>
    <w:p>
      <w:pPr>
        <w:pStyle w:val="Normal"/>
        <w:widowControl w:val="false"/>
        <w:spacing w:lineRule="auto" w:line="276"/>
        <w:ind w:firstLine="709"/>
        <w:jc w:val="both"/>
        <w:rPr>
          <w:b/>
          <w:i/>
          <w:i/>
        </w:rPr>
      </w:pPr>
      <w:r>
        <w:rPr>
          <w:b/>
          <w:i/>
        </w:rPr>
        <w:t>3.5. Сведения о праве Заказчика отказаться от проведения закупки</w:t>
      </w:r>
    </w:p>
    <w:p>
      <w:pPr>
        <w:pStyle w:val="35"/>
        <w:tabs>
          <w:tab w:val="left" w:pos="-19562" w:leader="none"/>
          <w:tab w:val="left" w:pos="227" w:leader="none"/>
          <w:tab w:val="left" w:pos="720" w:leader="none"/>
        </w:tabs>
        <w:spacing w:lineRule="auto" w:line="276" w:before="120" w:after="240"/>
        <w:ind w:left="0" w:firstLine="709"/>
        <w:rPr>
          <w:szCs w:val="24"/>
        </w:rPr>
      </w:pPr>
      <w:r>
        <w:rPr>
          <w:i/>
          <w:color w:val="000000"/>
          <w:kern w:val="2"/>
          <w:sz w:val="22"/>
          <w:szCs w:val="22"/>
          <w:lang w:bidi="hi-IN"/>
        </w:rPr>
        <w:t>3.5.1. Заказчик вправе отменить проведение конкурса до наступления даты и времени окончания срока подачи заявок на участие в конкурсе. Заказчик в день принятия решения об отмене конкурса уведомляет всех участников закупки, размещая соответствующую информацию в Единой информационной системе www.zakupki.gov.ru.</w:t>
      </w:r>
      <w:r>
        <w:br w:type="page"/>
      </w:r>
    </w:p>
    <w:p>
      <w:pPr>
        <w:pStyle w:val="1"/>
        <w:spacing w:lineRule="auto" w:line="300" w:before="0" w:after="0"/>
        <w:jc w:val="center"/>
        <w:rPr>
          <w:rFonts w:ascii="Times New Roman" w:hAnsi="Times New Roman" w:eastAsia="Times New Roman" w:cs="Times New Roman"/>
          <w:b/>
          <w:bCs/>
          <w:color w:val="auto"/>
          <w:sz w:val="28"/>
          <w:szCs w:val="28"/>
        </w:rPr>
      </w:pPr>
      <w:bookmarkStart w:id="21" w:name="_Toc61615005"/>
      <w:bookmarkStart w:id="22" w:name="_Toc454823351"/>
      <w:r>
        <w:rPr>
          <w:rFonts w:eastAsia="Times New Roman" w:cs="Times New Roman" w:ascii="Times New Roman" w:hAnsi="Times New Roman"/>
          <w:b/>
          <w:bCs/>
          <w:color w:val="auto"/>
          <w:sz w:val="28"/>
          <w:szCs w:val="28"/>
        </w:rPr>
        <w:t>РАЗДЕЛ 4. ТЕХНИЧЕСКОЕ ЗАДАНИЕ</w:t>
      </w:r>
      <w:bookmarkEnd w:id="21"/>
      <w:bookmarkEnd w:id="22"/>
    </w:p>
    <w:p>
      <w:pPr>
        <w:pStyle w:val="Normal"/>
        <w:spacing w:lineRule="auto" w:line="30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jc w:val="center"/>
        <w:rPr>
          <w:color w:val="C9211E"/>
        </w:rPr>
      </w:pPr>
      <w:r>
        <w:rPr>
          <w:rFonts w:cs="Times New Roman" w:ascii="Times New Roman" w:hAnsi="Times New Roman"/>
          <w:color w:val="C9211E"/>
          <w:sz w:val="24"/>
          <w:szCs w:val="24"/>
        </w:rPr>
        <w:t xml:space="preserve">Техническое задание размещено отдельным документом </w:t>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1"/>
        <w:spacing w:lineRule="auto" w:line="300" w:before="0" w:after="0"/>
        <w:jc w:val="center"/>
        <w:rPr/>
      </w:pPr>
      <w:r>
        <w:rPr>
          <w:rFonts w:eastAsia="Times New Roman" w:cs="Times New Roman" w:ascii="Times New Roman" w:hAnsi="Times New Roman"/>
          <w:b/>
          <w:bCs/>
          <w:color w:val="auto"/>
          <w:sz w:val="28"/>
          <w:szCs w:val="28"/>
        </w:rPr>
        <w:t>Р</w:t>
      </w:r>
      <w:bookmarkStart w:id="23" w:name="_Toc454823352"/>
      <w:bookmarkStart w:id="24" w:name="_Toc61615006"/>
      <w:r>
        <w:rPr>
          <w:rFonts w:eastAsia="Times New Roman" w:cs="Times New Roman" w:ascii="Times New Roman" w:hAnsi="Times New Roman"/>
          <w:b/>
          <w:bCs/>
          <w:color w:val="auto"/>
          <w:sz w:val="28"/>
          <w:szCs w:val="28"/>
        </w:rPr>
        <w:t>АЗДЕЛ 5. РАСЧЕТ И ОБОСНОВАНИЕ НАЧАЛЬНОЙ (МАКСИМАЛЬНОЙ) ЦЕНЫ ДОГОВОРА</w:t>
      </w:r>
      <w:bookmarkEnd w:id="23"/>
      <w:bookmarkEnd w:id="24"/>
    </w:p>
    <w:p>
      <w:pPr>
        <w:pStyle w:val="Normal"/>
        <w:rPr/>
      </w:pPr>
      <w:r>
        <w:rPr/>
      </w:r>
    </w:p>
    <w:p>
      <w:pPr>
        <w:pStyle w:val="Normal"/>
        <w:ind w:firstLine="709"/>
        <w:rPr>
          <w:color w:val="C9211E"/>
        </w:rPr>
      </w:pPr>
      <w:r>
        <w:rPr>
          <w:rFonts w:eastAsia="Times New Roman" w:cs="Times New Roman" w:ascii="Times New Roman" w:hAnsi="Times New Roman"/>
          <w:color w:val="C9211E"/>
          <w:sz w:val="24"/>
          <w:szCs w:val="24"/>
        </w:rPr>
        <w:t>Расчет и обоснование начальной (максимальной) цены договора представлен отдельным документом.</w:t>
      </w:r>
    </w:p>
    <w:p>
      <w:pPr>
        <w:pStyle w:val="Normal"/>
        <w:spacing w:lineRule="auto" w:line="240" w:before="240" w:after="0"/>
        <w:jc w:val="both"/>
        <w:rPr/>
      </w:pPr>
      <w:r>
        <w:rPr/>
      </w:r>
    </w:p>
    <w:p>
      <w:pPr>
        <w:pStyle w:val="Normal"/>
        <w:spacing w:lineRule="auto" w:line="240" w:before="240" w:after="0"/>
        <w:jc w:val="both"/>
        <w:rPr/>
      </w:pPr>
      <w:r>
        <w:rPr/>
      </w:r>
    </w:p>
    <w:p>
      <w:pPr>
        <w:pStyle w:val="Normal"/>
        <w:spacing w:lineRule="auto" w:line="240" w:before="240" w:after="0"/>
        <w:jc w:val="both"/>
        <w:rPr/>
      </w:pPr>
      <w:r>
        <w:rPr/>
      </w:r>
    </w:p>
    <w:p>
      <w:pPr>
        <w:pStyle w:val="Normal"/>
        <w:spacing w:lineRule="auto" w:line="240" w:before="240" w:after="0"/>
        <w:jc w:val="both"/>
        <w:rPr/>
      </w:pPr>
      <w:r>
        <w:rPr/>
      </w:r>
    </w:p>
    <w:p>
      <w:pPr>
        <w:pStyle w:val="Normal"/>
        <w:spacing w:lineRule="auto" w:line="240" w:before="240" w:after="0"/>
        <w:jc w:val="both"/>
        <w:rPr>
          <w:rFonts w:ascii="Times New Roman" w:hAnsi="Times New Roman" w:cs="Times New Roman"/>
          <w:sz w:val="24"/>
          <w:szCs w:val="24"/>
        </w:rPr>
      </w:pPr>
      <w:r>
        <w:rPr>
          <w:rFonts w:cs="Times New Roman" w:ascii="Times New Roman" w:hAnsi="Times New Roman"/>
          <w:sz w:val="24"/>
          <w:szCs w:val="24"/>
        </w:rPr>
      </w:r>
    </w:p>
    <w:p>
      <w:pPr>
        <w:pStyle w:val="1"/>
        <w:spacing w:lineRule="auto" w:line="300" w:before="0" w:after="0"/>
        <w:jc w:val="center"/>
        <w:rPr>
          <w:rFonts w:ascii="Times New Roman" w:hAnsi="Times New Roman" w:eastAsia="Times New Roman" w:cs="Times New Roman"/>
          <w:b/>
          <w:bCs/>
          <w:color w:val="auto"/>
          <w:sz w:val="28"/>
          <w:szCs w:val="28"/>
          <w:lang w:eastAsia="ru-RU"/>
        </w:rPr>
      </w:pPr>
      <w:bookmarkStart w:id="25" w:name="_Toc454823353"/>
      <w:bookmarkStart w:id="26" w:name="_Toc61615007"/>
      <w:r>
        <w:rPr>
          <w:rFonts w:eastAsia="Times New Roman" w:cs="Times New Roman" w:ascii="Times New Roman" w:hAnsi="Times New Roman"/>
          <w:b/>
          <w:bCs/>
          <w:color w:val="auto"/>
          <w:sz w:val="28"/>
          <w:szCs w:val="28"/>
          <w:lang w:eastAsia="ru-RU"/>
        </w:rPr>
        <w:t>РАЗДЕЛ 6. ПРОЕКТ ДОГОВОРА</w:t>
      </w:r>
      <w:bookmarkEnd w:id="25"/>
      <w:bookmarkEnd w:id="26"/>
    </w:p>
    <w:p>
      <w:pPr>
        <w:pStyle w:val="Normal"/>
        <w:spacing w:lineRule="auto" w:line="312" w:before="240" w:after="0"/>
        <w:jc w:val="center"/>
        <w:rPr>
          <w:color w:val="C9211E"/>
        </w:rPr>
      </w:pPr>
      <w:r>
        <w:rPr>
          <w:rFonts w:cs="Times New Roman" w:ascii="Times New Roman" w:hAnsi="Times New Roman"/>
          <w:color w:val="C9211E"/>
          <w:sz w:val="24"/>
          <w:szCs w:val="24"/>
          <w:lang w:eastAsia="ru-RU"/>
        </w:rPr>
        <w:t>Проект договора представлен отдельным документом.</w:t>
      </w:r>
    </w:p>
    <w:p>
      <w:pPr>
        <w:pStyle w:val="Normal"/>
        <w:spacing w:lineRule="auto" w:line="300" w:before="240" w:after="0"/>
        <w:rPr>
          <w:rFonts w:ascii="Times New Roman" w:hAnsi="Times New Roman" w:eastAsia="Times New Roman" w:cs="Times New Roman"/>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240" w:after="0"/>
        <w:rPr/>
      </w:pPr>
      <w:r>
        <w:rPr/>
      </w:r>
      <w:r>
        <w:br w:type="page"/>
      </w:r>
    </w:p>
    <w:p>
      <w:pPr>
        <w:pStyle w:val="1"/>
        <w:spacing w:lineRule="auto" w:line="300" w:before="0" w:after="0"/>
        <w:jc w:val="center"/>
        <w:rPr/>
      </w:pPr>
      <w:bookmarkStart w:id="27" w:name="_Toc456089760"/>
      <w:bookmarkStart w:id="28" w:name="_Toc456215224"/>
      <w:bookmarkStart w:id="29" w:name="_Toc61615008"/>
      <w:r>
        <w:rPr>
          <w:rFonts w:eastAsia="Times New Roman" w:cs="Times New Roman" w:ascii="Times New Roman" w:hAnsi="Times New Roman"/>
          <w:b/>
          <w:bCs/>
          <w:color w:val="auto"/>
          <w:sz w:val="28"/>
          <w:szCs w:val="28"/>
          <w:lang w:eastAsia="ru-RU"/>
        </w:rPr>
        <w:t>РАЗДЕЛ 7. РЕКОМЕНДУ</w:t>
      </w:r>
      <w:bookmarkEnd w:id="27"/>
      <w:bookmarkEnd w:id="28"/>
      <w:bookmarkEnd w:id="29"/>
      <w:r>
        <w:rPr>
          <w:rFonts w:eastAsia="Times New Roman" w:cs="Times New Roman" w:ascii="Times New Roman" w:hAnsi="Times New Roman"/>
          <w:b/>
          <w:bCs/>
          <w:color w:val="auto"/>
          <w:sz w:val="28"/>
          <w:szCs w:val="28"/>
          <w:lang w:eastAsia="ru-RU"/>
        </w:rPr>
        <w:t>ЕМЫЕ ФОРМЫ</w:t>
      </w:r>
    </w:p>
    <w:p>
      <w:pPr>
        <w:pStyle w:val="Normal"/>
        <w:spacing w:before="0" w:after="0"/>
        <w:rPr>
          <w:b/>
          <w:bCs/>
          <w:kern w:val="2"/>
        </w:rPr>
      </w:pPr>
      <w:r>
        <w:rPr>
          <w:b/>
          <w:bCs/>
          <w:kern w:val="2"/>
        </w:rPr>
      </w:r>
    </w:p>
    <w:p>
      <w:pPr>
        <w:pStyle w:val="Normal"/>
        <w:spacing w:lineRule="atLeast" w:line="240" w:before="0" w:after="0"/>
        <w:jc w:val="center"/>
        <w:rPr>
          <w:rFonts w:ascii="Times New Roman" w:hAnsi="Times New Roman"/>
        </w:rPr>
      </w:pPr>
      <w:r>
        <w:rPr>
          <w:rFonts w:ascii="Times New Roman" w:hAnsi="Times New Roman"/>
          <w:b/>
        </w:rPr>
        <w:t>1. ФОРМА.</w:t>
      </w:r>
      <w:r>
        <w:rPr>
          <w:rFonts w:ascii="Times New Roman" w:hAnsi="Times New Roman"/>
          <w:i/>
        </w:rPr>
        <w:t xml:space="preserve"> </w:t>
      </w:r>
      <w:r>
        <w:rPr>
          <w:rFonts w:ascii="Times New Roman" w:hAnsi="Times New Roman"/>
          <w:b/>
        </w:rPr>
        <w:t>ОПИСЬ ДОКУМЕНТОВ,</w:t>
      </w:r>
    </w:p>
    <w:p>
      <w:pPr>
        <w:pStyle w:val="Normal"/>
        <w:spacing w:lineRule="atLeast" w:line="240" w:before="0" w:after="0"/>
        <w:jc w:val="center"/>
        <w:rPr>
          <w:rFonts w:ascii="Times New Roman" w:hAnsi="Times New Roman"/>
          <w:b/>
        </w:rPr>
      </w:pPr>
      <w:r>
        <w:rPr>
          <w:rFonts w:ascii="Times New Roman" w:hAnsi="Times New Roman"/>
          <w:b/>
        </w:rPr>
      </w:r>
    </w:p>
    <w:p>
      <w:pPr>
        <w:pStyle w:val="Normal"/>
        <w:keepNext w:val="true"/>
        <w:keepLines/>
        <w:suppressLineNumbers/>
        <w:rPr>
          <w:b/>
          <w:bCs/>
          <w:i/>
          <w:i/>
          <w:iCs/>
        </w:rPr>
      </w:pPr>
      <w:r>
        <w:rPr>
          <w:b/>
          <w:bCs/>
          <w:i/>
          <w:iCs/>
        </w:rPr>
      </w:r>
    </w:p>
    <w:p>
      <w:pPr>
        <w:pStyle w:val="Normal"/>
        <w:widowControl w:val="false"/>
        <w:tabs>
          <w:tab w:val="clear" w:pos="408"/>
          <w:tab w:val="left" w:pos="3780" w:leader="none"/>
        </w:tabs>
        <w:spacing w:lineRule="auto" w:line="276"/>
        <w:ind w:left="360" w:hanging="0"/>
        <w:jc w:val="center"/>
        <w:rPr/>
      </w:pPr>
      <w:r>
        <w:rPr>
          <w:b/>
          <w:i/>
        </w:rPr>
        <w:t>Опись документов</w:t>
      </w:r>
    </w:p>
    <w:p>
      <w:pPr>
        <w:pStyle w:val="BodyText3"/>
        <w:widowControl w:val="false"/>
        <w:spacing w:lineRule="auto" w:line="276" w:before="0" w:after="0"/>
        <w:ind w:left="360" w:hanging="0"/>
        <w:rPr>
          <w:i/>
          <w:i/>
          <w:sz w:val="24"/>
          <w:szCs w:val="24"/>
        </w:rPr>
      </w:pPr>
      <w:r>
        <w:rPr>
          <w:i/>
          <w:sz w:val="24"/>
          <w:szCs w:val="24"/>
        </w:rPr>
      </w:r>
    </w:p>
    <w:p>
      <w:pPr>
        <w:pStyle w:val="Normal"/>
        <w:widowControl w:val="false"/>
        <w:spacing w:lineRule="auto" w:line="276"/>
        <w:jc w:val="center"/>
        <w:rPr>
          <w:rFonts w:ascii="Times New Roman" w:hAnsi="Times New Roman"/>
          <w:b/>
          <w:bCs/>
          <w:sz w:val="24"/>
          <w:szCs w:val="24"/>
        </w:rPr>
      </w:pPr>
      <w:r>
        <w:rPr>
          <w:rFonts w:ascii="Times New Roman" w:hAnsi="Times New Roman"/>
          <w:b/>
          <w:bCs/>
          <w:i/>
          <w:sz w:val="24"/>
          <w:szCs w:val="24"/>
        </w:rPr>
        <w:t>Настоящим ____________________________________________________________</w:t>
      </w:r>
    </w:p>
    <w:p>
      <w:pPr>
        <w:pStyle w:val="Normal"/>
        <w:widowControl w:val="false"/>
        <w:spacing w:lineRule="auto" w:line="276"/>
        <w:jc w:val="center"/>
        <w:rPr>
          <w:rFonts w:ascii="Times New Roman" w:hAnsi="Times New Roman"/>
          <w:b/>
          <w:bCs/>
          <w:sz w:val="24"/>
          <w:szCs w:val="24"/>
        </w:rPr>
      </w:pPr>
      <w:r>
        <w:rPr>
          <w:rFonts w:ascii="Times New Roman" w:hAnsi="Times New Roman"/>
          <w:b/>
          <w:bCs/>
          <w:i/>
          <w:sz w:val="24"/>
          <w:szCs w:val="24"/>
        </w:rPr>
        <w:t>(полное наименование участника закупки с указанием организационно-правовой формы (при наличии)</w:t>
      </w:r>
    </w:p>
    <w:p>
      <w:pPr>
        <w:pStyle w:val="BodyText3"/>
        <w:widowControl w:val="false"/>
        <w:spacing w:lineRule="auto" w:line="276" w:before="0" w:after="0"/>
        <w:jc w:val="center"/>
        <w:rPr>
          <w:b/>
          <w:bCs/>
          <w:sz w:val="24"/>
          <w:szCs w:val="24"/>
        </w:rPr>
      </w:pPr>
      <w:r>
        <w:rPr>
          <w:b/>
          <w:bCs/>
          <w:i/>
          <w:sz w:val="24"/>
          <w:szCs w:val="24"/>
        </w:rPr>
        <w:t xml:space="preserve">подтверждает, что для участия в </w:t>
      </w:r>
      <w:r>
        <w:rPr>
          <w:rFonts w:eastAsia="Segoe UI" w:cs="Tahoma"/>
          <w:b/>
          <w:bCs/>
          <w:color w:val="000000"/>
          <w:kern w:val="2"/>
          <w:sz w:val="24"/>
          <w:szCs w:val="24"/>
          <w:lang w:eastAsia="zh-CN" w:bidi="hi-IN"/>
        </w:rPr>
        <w:t>конкурсе в электронной форме</w:t>
      </w:r>
      <w:r>
        <w:rPr>
          <w:b/>
          <w:bCs/>
          <w:i/>
          <w:sz w:val="24"/>
          <w:szCs w:val="24"/>
        </w:rPr>
        <w:t xml:space="preserve"> представлены следующие документы согласно описи:</w:t>
      </w:r>
    </w:p>
    <w:p>
      <w:pPr>
        <w:pStyle w:val="BodyText3"/>
        <w:widowControl w:val="false"/>
        <w:spacing w:lineRule="auto" w:line="276" w:before="0" w:after="0"/>
        <w:ind w:left="360" w:hanging="0"/>
        <w:jc w:val="center"/>
        <w:rPr>
          <w:b/>
          <w:i/>
          <w:i/>
          <w:sz w:val="24"/>
          <w:szCs w:val="24"/>
        </w:rPr>
      </w:pPr>
      <w:r>
        <w:rPr>
          <w:b/>
          <w:i/>
          <w:sz w:val="24"/>
          <w:szCs w:val="24"/>
        </w:rPr>
      </w:r>
    </w:p>
    <w:tbl>
      <w:tblPr>
        <w:tblW w:w="9930" w:type="dxa"/>
        <w:jc w:val="left"/>
        <w:tblInd w:w="221" w:type="dxa"/>
        <w:tblLayout w:type="fixed"/>
        <w:tblCellMar>
          <w:top w:w="0" w:type="dxa"/>
          <w:left w:w="108" w:type="dxa"/>
          <w:bottom w:w="0" w:type="dxa"/>
          <w:right w:w="108" w:type="dxa"/>
        </w:tblCellMar>
        <w:tblLook w:firstRow="1" w:noVBand="1" w:lastRow="0" w:firstColumn="1" w:lastColumn="0" w:noHBand="0" w:val="04a0"/>
      </w:tblPr>
      <w:tblGrid>
        <w:gridCol w:w="800"/>
        <w:gridCol w:w="6644"/>
        <w:gridCol w:w="1125"/>
        <w:gridCol w:w="1360"/>
      </w:tblGrid>
      <w:tr>
        <w:trPr/>
        <w:tc>
          <w:tcPr>
            <w:tcW w:w="8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before="0" w:after="160"/>
              <w:jc w:val="center"/>
              <w:rPr>
                <w:b/>
                <w:i/>
                <w:i/>
              </w:rPr>
            </w:pPr>
            <w:r>
              <w:rPr>
                <w:b/>
                <w:i/>
              </w:rPr>
              <w:t xml:space="preserve">№№ </w:t>
            </w:r>
            <w:r>
              <w:rPr>
                <w:b/>
                <w:i/>
              </w:rPr>
              <w:t>п\п</w:t>
            </w:r>
          </w:p>
        </w:tc>
        <w:tc>
          <w:tcPr>
            <w:tcW w:w="664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before="0" w:after="160"/>
              <w:jc w:val="center"/>
              <w:rPr>
                <w:b/>
                <w:i/>
                <w:i/>
              </w:rPr>
            </w:pPr>
            <w:r>
              <w:rPr>
                <w:b/>
                <w:i/>
              </w:rPr>
              <w:t>Наименование документа</w:t>
            </w:r>
          </w:p>
        </w:tc>
        <w:tc>
          <w:tcPr>
            <w:tcW w:w="11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before="0" w:after="160"/>
              <w:jc w:val="center"/>
              <w:rPr>
                <w:b/>
                <w:i/>
                <w:i/>
              </w:rPr>
            </w:pPr>
            <w:r>
              <w:rPr>
                <w:b/>
                <w:i/>
              </w:rPr>
              <w:t>Кол-во листов</w:t>
            </w:r>
          </w:p>
        </w:tc>
        <w:tc>
          <w:tcPr>
            <w:tcW w:w="13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before="0" w:after="160"/>
              <w:jc w:val="center"/>
              <w:rPr>
                <w:b/>
                <w:i/>
                <w:i/>
              </w:rPr>
            </w:pPr>
            <w:r>
              <w:rPr>
                <w:b/>
                <w:i/>
              </w:rPr>
              <w:t>Номера страниц</w:t>
            </w:r>
          </w:p>
        </w:tc>
      </w:tr>
      <w:tr>
        <w:trPr>
          <w:trHeight w:val="403" w:hRule="atLeast"/>
        </w:trPr>
        <w:tc>
          <w:tcPr>
            <w:tcW w:w="8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before="0" w:after="160"/>
              <w:jc w:val="center"/>
              <w:rPr>
                <w:i/>
                <w:i/>
              </w:rPr>
            </w:pPr>
            <w:r>
              <w:rPr>
                <w:i/>
              </w:rPr>
              <w:t>1</w:t>
            </w:r>
          </w:p>
        </w:tc>
        <w:tc>
          <w:tcPr>
            <w:tcW w:w="66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before="0" w:after="160"/>
              <w:rPr>
                <w:i/>
                <w:i/>
              </w:rPr>
            </w:pPr>
            <w:r>
              <w:rPr>
                <w:i/>
              </w:rPr>
            </w:r>
          </w:p>
        </w:tc>
        <w:tc>
          <w:tcPr>
            <w:tcW w:w="11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before="0" w:after="160"/>
              <w:rPr>
                <w:i/>
                <w:i/>
              </w:rPr>
            </w:pPr>
            <w:r>
              <w:rPr>
                <w:i/>
              </w:rPr>
            </w:r>
          </w:p>
        </w:tc>
        <w:tc>
          <w:tcPr>
            <w:tcW w:w="1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before="0" w:after="160"/>
              <w:rPr>
                <w:i/>
                <w:i/>
              </w:rPr>
            </w:pPr>
            <w:r>
              <w:rPr>
                <w:i/>
              </w:rPr>
            </w:r>
          </w:p>
        </w:tc>
      </w:tr>
      <w:tr>
        <w:trPr/>
        <w:tc>
          <w:tcPr>
            <w:tcW w:w="8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before="0" w:after="160"/>
              <w:jc w:val="center"/>
              <w:rPr>
                <w:i/>
                <w:i/>
              </w:rPr>
            </w:pPr>
            <w:r>
              <w:rPr>
                <w:i/>
              </w:rPr>
              <w:t>2</w:t>
            </w:r>
          </w:p>
        </w:tc>
        <w:tc>
          <w:tcPr>
            <w:tcW w:w="66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before="0" w:after="160"/>
              <w:rPr>
                <w:i/>
                <w:i/>
              </w:rPr>
            </w:pPr>
            <w:r>
              <w:rPr>
                <w:i/>
              </w:rPr>
            </w:r>
          </w:p>
        </w:tc>
        <w:tc>
          <w:tcPr>
            <w:tcW w:w="11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before="0" w:after="160"/>
              <w:rPr>
                <w:i/>
                <w:i/>
              </w:rPr>
            </w:pPr>
            <w:r>
              <w:rPr>
                <w:i/>
              </w:rPr>
            </w:r>
          </w:p>
        </w:tc>
        <w:tc>
          <w:tcPr>
            <w:tcW w:w="1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before="0" w:after="160"/>
              <w:rPr>
                <w:i/>
                <w:i/>
              </w:rPr>
            </w:pPr>
            <w:r>
              <w:rPr>
                <w:i/>
              </w:rPr>
            </w:r>
          </w:p>
        </w:tc>
      </w:tr>
      <w:tr>
        <w:trPr/>
        <w:tc>
          <w:tcPr>
            <w:tcW w:w="8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before="0" w:after="160"/>
              <w:jc w:val="center"/>
              <w:rPr>
                <w:i/>
                <w:i/>
              </w:rPr>
            </w:pPr>
            <w:r>
              <w:rPr>
                <w:i/>
              </w:rPr>
              <w:t>3</w:t>
            </w:r>
          </w:p>
        </w:tc>
        <w:tc>
          <w:tcPr>
            <w:tcW w:w="66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before="0" w:after="160"/>
              <w:rPr>
                <w:i/>
                <w:i/>
              </w:rPr>
            </w:pPr>
            <w:r>
              <w:rPr>
                <w:i/>
              </w:rPr>
            </w:r>
          </w:p>
        </w:tc>
        <w:tc>
          <w:tcPr>
            <w:tcW w:w="11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before="0" w:after="160"/>
              <w:rPr>
                <w:i/>
                <w:i/>
              </w:rPr>
            </w:pPr>
            <w:r>
              <w:rPr>
                <w:i/>
              </w:rPr>
            </w:r>
          </w:p>
        </w:tc>
        <w:tc>
          <w:tcPr>
            <w:tcW w:w="1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before="0" w:after="160"/>
              <w:rPr>
                <w:i/>
                <w:i/>
              </w:rPr>
            </w:pPr>
            <w:r>
              <w:rPr>
                <w:i/>
              </w:rPr>
            </w:r>
          </w:p>
        </w:tc>
      </w:tr>
      <w:tr>
        <w:trPr/>
        <w:tc>
          <w:tcPr>
            <w:tcW w:w="8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before="0" w:after="160"/>
              <w:jc w:val="center"/>
              <w:rPr>
                <w:i/>
                <w:i/>
              </w:rPr>
            </w:pPr>
            <w:r>
              <w:rPr>
                <w:i/>
              </w:rPr>
              <w:t>4</w:t>
            </w:r>
          </w:p>
        </w:tc>
        <w:tc>
          <w:tcPr>
            <w:tcW w:w="66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before="0" w:after="160"/>
              <w:rPr>
                <w:i/>
                <w:i/>
              </w:rPr>
            </w:pPr>
            <w:r>
              <w:rPr>
                <w:i/>
              </w:rPr>
            </w:r>
          </w:p>
        </w:tc>
        <w:tc>
          <w:tcPr>
            <w:tcW w:w="11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before="0" w:after="160"/>
              <w:rPr>
                <w:i/>
                <w:i/>
              </w:rPr>
            </w:pPr>
            <w:r>
              <w:rPr>
                <w:i/>
              </w:rPr>
            </w:r>
          </w:p>
        </w:tc>
        <w:tc>
          <w:tcPr>
            <w:tcW w:w="1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before="0" w:after="160"/>
              <w:rPr>
                <w:i/>
                <w:i/>
              </w:rPr>
            </w:pPr>
            <w:r>
              <w:rPr>
                <w:i/>
              </w:rPr>
            </w:r>
          </w:p>
        </w:tc>
      </w:tr>
      <w:tr>
        <w:trPr/>
        <w:tc>
          <w:tcPr>
            <w:tcW w:w="8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before="0" w:after="160"/>
              <w:jc w:val="center"/>
              <w:rPr>
                <w:i/>
                <w:i/>
              </w:rPr>
            </w:pPr>
            <w:r>
              <w:rPr>
                <w:i/>
              </w:rPr>
              <w:t>5</w:t>
            </w:r>
          </w:p>
        </w:tc>
        <w:tc>
          <w:tcPr>
            <w:tcW w:w="66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before="0" w:after="160"/>
              <w:rPr>
                <w:i/>
                <w:i/>
              </w:rPr>
            </w:pPr>
            <w:r>
              <w:rPr>
                <w:i/>
              </w:rPr>
            </w:r>
          </w:p>
        </w:tc>
        <w:tc>
          <w:tcPr>
            <w:tcW w:w="11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before="0" w:after="160"/>
              <w:rPr>
                <w:i/>
                <w:i/>
              </w:rPr>
            </w:pPr>
            <w:r>
              <w:rPr>
                <w:i/>
              </w:rPr>
            </w:r>
          </w:p>
        </w:tc>
        <w:tc>
          <w:tcPr>
            <w:tcW w:w="1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before="0" w:after="160"/>
              <w:rPr>
                <w:i/>
                <w:i/>
              </w:rPr>
            </w:pPr>
            <w:r>
              <w:rPr>
                <w:i/>
              </w:rPr>
            </w:r>
          </w:p>
        </w:tc>
      </w:tr>
      <w:tr>
        <w:trPr/>
        <w:tc>
          <w:tcPr>
            <w:tcW w:w="8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before="0" w:after="160"/>
              <w:jc w:val="center"/>
              <w:rPr>
                <w:i/>
                <w:i/>
              </w:rPr>
            </w:pPr>
            <w:r>
              <w:rPr>
                <w:i/>
              </w:rPr>
              <w:t>6</w:t>
            </w:r>
          </w:p>
        </w:tc>
        <w:tc>
          <w:tcPr>
            <w:tcW w:w="66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before="0" w:after="160"/>
              <w:rPr>
                <w:i/>
                <w:i/>
              </w:rPr>
            </w:pPr>
            <w:r>
              <w:rPr>
                <w:i/>
              </w:rPr>
            </w:r>
          </w:p>
        </w:tc>
        <w:tc>
          <w:tcPr>
            <w:tcW w:w="11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before="0" w:after="160"/>
              <w:rPr>
                <w:i/>
                <w:i/>
              </w:rPr>
            </w:pPr>
            <w:r>
              <w:rPr>
                <w:i/>
              </w:rPr>
            </w:r>
          </w:p>
        </w:tc>
        <w:tc>
          <w:tcPr>
            <w:tcW w:w="1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before="0" w:after="160"/>
              <w:rPr>
                <w:i/>
                <w:i/>
              </w:rPr>
            </w:pPr>
            <w:r>
              <w:rPr>
                <w:i/>
              </w:rPr>
            </w:r>
          </w:p>
        </w:tc>
      </w:tr>
      <w:tr>
        <w:trPr/>
        <w:tc>
          <w:tcPr>
            <w:tcW w:w="8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before="0" w:after="160"/>
              <w:jc w:val="center"/>
              <w:rPr>
                <w:i/>
                <w:i/>
              </w:rPr>
            </w:pPr>
            <w:r>
              <w:rPr>
                <w:i/>
              </w:rPr>
              <w:t>7</w:t>
            </w:r>
          </w:p>
        </w:tc>
        <w:tc>
          <w:tcPr>
            <w:tcW w:w="66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before="0" w:after="160"/>
              <w:rPr>
                <w:i/>
                <w:i/>
              </w:rPr>
            </w:pPr>
            <w:r>
              <w:rPr>
                <w:i/>
              </w:rPr>
            </w:r>
          </w:p>
        </w:tc>
        <w:tc>
          <w:tcPr>
            <w:tcW w:w="11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before="0" w:after="160"/>
              <w:rPr>
                <w:i/>
                <w:i/>
              </w:rPr>
            </w:pPr>
            <w:r>
              <w:rPr>
                <w:i/>
              </w:rPr>
            </w:r>
          </w:p>
        </w:tc>
        <w:tc>
          <w:tcPr>
            <w:tcW w:w="13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before="0" w:after="160"/>
              <w:rPr>
                <w:i/>
                <w:i/>
              </w:rPr>
            </w:pPr>
            <w:r>
              <w:rPr>
                <w:i/>
              </w:rPr>
            </w:r>
          </w:p>
        </w:tc>
      </w:tr>
    </w:tbl>
    <w:p>
      <w:pPr>
        <w:pStyle w:val="Normal"/>
        <w:widowControl w:val="false"/>
        <w:spacing w:lineRule="auto" w:line="276"/>
        <w:rPr>
          <w:b/>
          <w:i/>
          <w:i/>
        </w:rPr>
      </w:pPr>
      <w:r>
        <w:rPr>
          <w:b/>
          <w:i/>
        </w:rPr>
      </w:r>
    </w:p>
    <w:p>
      <w:pPr>
        <w:pStyle w:val="Normal"/>
        <w:widowControl w:val="false"/>
        <w:spacing w:lineRule="auto" w:line="276"/>
        <w:rPr/>
      </w:pPr>
      <w:r>
        <w:rPr>
          <w:i/>
        </w:rPr>
        <w:t>_________________________________________________________________________________</w:t>
      </w:r>
    </w:p>
    <w:p>
      <w:pPr>
        <w:pStyle w:val="Normal"/>
        <w:widowControl w:val="false"/>
        <w:spacing w:lineRule="auto" w:line="276"/>
        <w:rPr/>
      </w:pPr>
      <w:r>
        <w:rPr>
          <w:i/>
        </w:rPr>
        <w:t xml:space="preserve">должность                                                                 подпись                                            инициалы, фамилия </w:t>
      </w:r>
    </w:p>
    <w:p>
      <w:pPr>
        <w:pStyle w:val="Normal"/>
        <w:widowControl w:val="false"/>
        <w:spacing w:lineRule="auto" w:line="276"/>
        <w:rPr/>
      </w:pPr>
      <w:r>
        <w:rPr>
          <w:i/>
          <w:vertAlign w:val="superscript"/>
        </w:rPr>
        <w:t>М.П.</w:t>
      </w:r>
    </w:p>
    <w:p>
      <w:pPr>
        <w:pStyle w:val="25"/>
        <w:keepNext w:val="false"/>
        <w:widowControl w:val="false"/>
        <w:tabs>
          <w:tab w:val="left" w:pos="-7371" w:leader="none"/>
          <w:tab w:val="left" w:pos="1418" w:leader="none"/>
        </w:tabs>
        <w:suppressAutoHyphens w:val="false"/>
        <w:spacing w:lineRule="auto" w:line="276" w:before="0" w:after="0"/>
        <w:ind w:hanging="0"/>
        <w:jc w:val="both"/>
        <w:rPr>
          <w:sz w:val="24"/>
          <w:szCs w:val="24"/>
        </w:rPr>
      </w:pPr>
      <w:r>
        <w:rPr>
          <w:i/>
          <w:sz w:val="24"/>
          <w:szCs w:val="24"/>
        </w:rPr>
        <w:t xml:space="preserve">8.1.1. Инструкции по заполнению </w:t>
      </w:r>
    </w:p>
    <w:p>
      <w:pPr>
        <w:pStyle w:val="Style53"/>
        <w:widowControl w:val="false"/>
        <w:tabs>
          <w:tab w:val="clear" w:pos="360"/>
          <w:tab w:val="left" w:pos="-7371" w:leader="none"/>
          <w:tab w:val="left" w:pos="-3544" w:leader="none"/>
          <w:tab w:val="left" w:pos="2025" w:leader="none"/>
        </w:tabs>
        <w:spacing w:lineRule="auto" w:line="276"/>
        <w:ind w:left="-142" w:firstLine="993"/>
        <w:rPr>
          <w:szCs w:val="24"/>
        </w:rPr>
      </w:pPr>
      <w:r>
        <w:rPr>
          <w:i/>
          <w:szCs w:val="24"/>
        </w:rPr>
        <w:t xml:space="preserve">8.1.1.1. Опись документов следует оформить на бланке участника закупки. </w:t>
      </w:r>
    </w:p>
    <w:p>
      <w:pPr>
        <w:pStyle w:val="Style53"/>
        <w:widowControl w:val="false"/>
        <w:tabs>
          <w:tab w:val="clear" w:pos="360"/>
          <w:tab w:val="left" w:pos="-7371" w:leader="none"/>
          <w:tab w:val="left" w:pos="-3544" w:leader="none"/>
          <w:tab w:val="left" w:pos="2025" w:leader="none"/>
        </w:tabs>
        <w:spacing w:lineRule="auto" w:line="276"/>
        <w:ind w:left="-142" w:firstLine="993"/>
        <w:rPr>
          <w:szCs w:val="24"/>
        </w:rPr>
      </w:pPr>
      <w:r>
        <w:rPr>
          <w:i/>
          <w:szCs w:val="24"/>
        </w:rPr>
        <w:t>8.1.1.2. Участник закупки должен указать свое полное наименование (с указанием организационно-правовой формы).</w:t>
      </w:r>
    </w:p>
    <w:p>
      <w:pPr>
        <w:pStyle w:val="Style53"/>
        <w:widowControl w:val="false"/>
        <w:tabs>
          <w:tab w:val="clear" w:pos="360"/>
          <w:tab w:val="left" w:pos="-7371" w:leader="none"/>
          <w:tab w:val="left" w:pos="-3544" w:leader="none"/>
          <w:tab w:val="left" w:pos="2025" w:leader="none"/>
        </w:tabs>
        <w:spacing w:lineRule="auto" w:line="276"/>
        <w:ind w:left="-142" w:firstLine="993"/>
        <w:rPr>
          <w:rFonts w:ascii="Times New Roman" w:hAnsi="Times New Roman"/>
          <w:i/>
          <w:i/>
          <w:iCs/>
          <w:sz w:val="24"/>
          <w:szCs w:val="24"/>
        </w:rPr>
      </w:pPr>
      <w:r>
        <w:rPr>
          <w:rFonts w:ascii="Times New Roman" w:hAnsi="Times New Roman"/>
          <w:i/>
          <w:iCs/>
          <w:sz w:val="24"/>
          <w:szCs w:val="24"/>
        </w:rPr>
        <w:t xml:space="preserve">8.1.1.3. В опись документов должны быть включены все документы, входящие в состав заявки на участие в </w:t>
      </w:r>
      <w:r>
        <w:rPr>
          <w:rFonts w:eastAsia="Segoe UI" w:cs="Tahoma" w:ascii="Times New Roman" w:hAnsi="Times New Roman"/>
          <w:i/>
          <w:iCs/>
          <w:color w:val="000000"/>
          <w:kern w:val="2"/>
          <w:sz w:val="24"/>
          <w:szCs w:val="24"/>
          <w:lang w:eastAsia="zh-CN" w:bidi="hi-IN"/>
        </w:rPr>
        <w:t>конкурсе в электронной форме</w:t>
      </w:r>
      <w:r>
        <w:rPr>
          <w:rFonts w:ascii="Times New Roman" w:hAnsi="Times New Roman"/>
          <w:i/>
          <w:iCs/>
          <w:sz w:val="24"/>
          <w:szCs w:val="24"/>
        </w:rPr>
        <w:t xml:space="preserve">, в соответствии с требованием документации о </w:t>
      </w:r>
      <w:r>
        <w:rPr>
          <w:rFonts w:eastAsia="Segoe UI" w:cs="Tahoma" w:ascii="Times New Roman" w:hAnsi="Times New Roman"/>
          <w:i/>
          <w:iCs/>
          <w:color w:val="000000"/>
          <w:kern w:val="2"/>
          <w:sz w:val="24"/>
          <w:szCs w:val="24"/>
          <w:lang w:eastAsia="zh-CN" w:bidi="hi-IN"/>
        </w:rPr>
        <w:t>конкурсе в электронной форме</w:t>
      </w:r>
      <w:r>
        <w:rPr>
          <w:rFonts w:ascii="Times New Roman" w:hAnsi="Times New Roman"/>
          <w:i/>
          <w:iCs/>
          <w:sz w:val="24"/>
          <w:szCs w:val="24"/>
        </w:rPr>
        <w:t>.</w:t>
      </w:r>
    </w:p>
    <w:p>
      <w:pPr>
        <w:pStyle w:val="Style53"/>
        <w:widowControl w:val="false"/>
        <w:tabs>
          <w:tab w:val="clear" w:pos="360"/>
          <w:tab w:val="left" w:pos="-7371" w:leader="none"/>
          <w:tab w:val="left" w:pos="-3544" w:leader="none"/>
          <w:tab w:val="left" w:pos="2025" w:leader="none"/>
        </w:tabs>
        <w:spacing w:lineRule="auto" w:line="276"/>
        <w:ind w:left="-142" w:firstLine="993"/>
        <w:rPr>
          <w:szCs w:val="24"/>
        </w:rPr>
      </w:pPr>
      <w:r>
        <w:rPr>
          <w:rFonts w:ascii="Times New Roman" w:hAnsi="Times New Roman"/>
          <w:i/>
          <w:sz w:val="24"/>
          <w:szCs w:val="24"/>
        </w:rPr>
        <w:t>8.2.1.4. Опись документов д</w:t>
      </w:r>
      <w:r>
        <w:rPr>
          <w:i/>
          <w:szCs w:val="24"/>
        </w:rPr>
        <w:t>олжна быть подписана руководителем участника закупки или уполномоченным лицом (имеющим право осуществлять действия от имени участника закупки на основании доверенности) и скреплена печатью (при наличии).</w:t>
      </w:r>
    </w:p>
    <w:p>
      <w:pPr>
        <w:pStyle w:val="Normal"/>
        <w:keepNext w:val="true"/>
        <w:numPr>
          <w:ilvl w:val="0"/>
          <w:numId w:val="0"/>
        </w:numPr>
        <w:tabs>
          <w:tab w:val="clear" w:pos="408"/>
          <w:tab w:val="left" w:pos="432" w:leader="none"/>
        </w:tabs>
        <w:spacing w:before="240" w:after="0"/>
        <w:ind w:left="432" w:hanging="432"/>
        <w:jc w:val="center"/>
        <w:outlineLvl w:val="1"/>
        <w:rPr>
          <w:rFonts w:ascii="Times New Roman" w:hAnsi="Times New Roman"/>
          <w:b/>
          <w:bCs/>
          <w:iCs/>
          <w:sz w:val="24"/>
          <w:szCs w:val="24"/>
        </w:rPr>
      </w:pPr>
      <w:r>
        <w:rPr>
          <w:rFonts w:ascii="Times New Roman" w:hAnsi="Times New Roman"/>
          <w:b/>
          <w:bCs/>
          <w:iCs/>
          <w:sz w:val="24"/>
          <w:szCs w:val="24"/>
        </w:rPr>
        <w:t>2. ФОРМА</w:t>
      </w:r>
    </w:p>
    <w:p>
      <w:pPr>
        <w:pStyle w:val="Normal"/>
        <w:numPr>
          <w:ilvl w:val="0"/>
          <w:numId w:val="0"/>
        </w:numPr>
        <w:tabs>
          <w:tab w:val="clear" w:pos="408"/>
          <w:tab w:val="left" w:pos="432" w:leader="none"/>
        </w:tabs>
        <w:spacing w:before="240" w:after="0"/>
        <w:ind w:left="432" w:hanging="432"/>
        <w:jc w:val="center"/>
        <w:outlineLvl w:val="1"/>
        <w:rPr>
          <w:rFonts w:ascii="Times New Roman" w:hAnsi="Times New Roman"/>
          <w:b/>
          <w:bCs/>
          <w:iCs/>
          <w:sz w:val="24"/>
          <w:szCs w:val="24"/>
        </w:rPr>
      </w:pPr>
      <w:r>
        <w:rPr>
          <w:rFonts w:ascii="Times New Roman" w:hAnsi="Times New Roman"/>
          <w:b/>
          <w:bCs/>
          <w:iCs/>
          <w:sz w:val="24"/>
          <w:szCs w:val="24"/>
        </w:rPr>
        <w:t>. ЗАЯВКА НА УЧАСТИЕ В КОНКУРСЕ</w:t>
      </w:r>
    </w:p>
    <w:p>
      <w:pPr>
        <w:pStyle w:val="Normal"/>
        <w:spacing w:before="0" w:after="0"/>
        <w:rPr>
          <w:rFonts w:ascii="Times New Roman" w:hAnsi="Times New Roman" w:cs="Arial"/>
          <w:b/>
          <w:bCs/>
          <w:i/>
          <w:i/>
          <w:iCs/>
          <w:sz w:val="24"/>
          <w:szCs w:val="24"/>
        </w:rPr>
      </w:pPr>
      <w:r>
        <w:rPr>
          <w:rFonts w:cs="Arial" w:ascii="Times New Roman" w:hAnsi="Times New Roman"/>
          <w:b/>
          <w:bCs/>
          <w:i/>
          <w:iCs/>
          <w:sz w:val="24"/>
          <w:szCs w:val="24"/>
        </w:rPr>
      </w:r>
    </w:p>
    <w:tbl>
      <w:tblPr>
        <w:tblW w:w="8441" w:type="dxa"/>
        <w:jc w:val="left"/>
        <w:tblInd w:w="283" w:type="dxa"/>
        <w:tblLayout w:type="fixed"/>
        <w:tblCellMar>
          <w:top w:w="0" w:type="dxa"/>
          <w:left w:w="108" w:type="dxa"/>
          <w:bottom w:w="0" w:type="dxa"/>
          <w:right w:w="108" w:type="dxa"/>
        </w:tblCellMar>
        <w:tblLook w:firstRow="1" w:noVBand="1" w:lastRow="0" w:firstColumn="1" w:lastColumn="0" w:noHBand="0" w:val="04a0"/>
      </w:tblPr>
      <w:tblGrid>
        <w:gridCol w:w="8441"/>
      </w:tblGrid>
      <w:tr>
        <w:trPr>
          <w:trHeight w:val="560" w:hRule="atLeast"/>
        </w:trPr>
        <w:tc>
          <w:tcPr>
            <w:tcW w:w="8441" w:type="dxa"/>
            <w:tcBorders>
              <w:top w:val="single" w:sz="4" w:space="0" w:color="808080"/>
              <w:left w:val="single" w:sz="4" w:space="0" w:color="808080"/>
              <w:bottom w:val="single" w:sz="4" w:space="0" w:color="808080"/>
              <w:right w:val="single" w:sz="4" w:space="0" w:color="808080"/>
            </w:tcBorders>
            <w:shd w:color="auto" w:fill="auto" w:val="clear"/>
          </w:tcPr>
          <w:p>
            <w:pPr>
              <w:pStyle w:val="Normal"/>
              <w:widowControl w:val="false"/>
              <w:spacing w:before="0" w:after="0"/>
              <w:jc w:val="center"/>
              <w:rPr>
                <w:rFonts w:ascii="Times New Roman" w:hAnsi="Times New Roman"/>
                <w:color w:val="808080"/>
                <w:sz w:val="24"/>
                <w:szCs w:val="24"/>
              </w:rPr>
            </w:pPr>
            <w:r>
              <w:rPr>
                <w:rFonts w:ascii="Times New Roman" w:hAnsi="Times New Roman"/>
                <w:color w:val="808080"/>
                <w:sz w:val="24"/>
                <w:szCs w:val="24"/>
              </w:rPr>
              <w:t>На бланке участника (по возможности)</w:t>
            </w:r>
          </w:p>
        </w:tc>
      </w:tr>
    </w:tbl>
    <w:p>
      <w:pPr>
        <w:pStyle w:val="Normal"/>
        <w:tabs>
          <w:tab w:val="clear" w:pos="408"/>
          <w:tab w:val="left" w:pos="4536" w:leader="none"/>
          <w:tab w:val="left" w:pos="5245" w:leader="none"/>
        </w:tabs>
        <w:spacing w:before="0" w:after="0"/>
        <w:jc w:val="center"/>
        <w:rPr>
          <w:rFonts w:ascii="Times New Roman" w:hAnsi="Times New Roman"/>
          <w:i/>
          <w:i/>
          <w:sz w:val="24"/>
          <w:szCs w:val="24"/>
        </w:rPr>
      </w:pPr>
      <w:r>
        <w:rPr>
          <w:rFonts w:ascii="Times New Roman" w:hAnsi="Times New Roman"/>
          <w:i/>
          <w:sz w:val="24"/>
          <w:szCs w:val="24"/>
        </w:rPr>
        <w:t xml:space="preserve">                                                             </w:t>
      </w:r>
    </w:p>
    <w:p>
      <w:pPr>
        <w:pStyle w:val="Normal"/>
        <w:spacing w:before="0" w:after="0"/>
        <w:ind w:firstLine="709"/>
        <w:jc w:val="right"/>
        <w:rPr>
          <w:rFonts w:ascii="Times New Roman" w:hAnsi="Times New Roman"/>
          <w:i/>
          <w:i/>
          <w:sz w:val="24"/>
          <w:szCs w:val="24"/>
        </w:rPr>
      </w:pPr>
      <w:r>
        <w:rPr>
          <w:rFonts w:ascii="Times New Roman" w:hAnsi="Times New Roman"/>
          <w:i/>
          <w:sz w:val="24"/>
          <w:szCs w:val="24"/>
        </w:rPr>
      </w:r>
    </w:p>
    <w:p>
      <w:pPr>
        <w:pStyle w:val="Normal"/>
        <w:tabs>
          <w:tab w:val="clear" w:pos="408"/>
          <w:tab w:val="left" w:pos="5245" w:leader="none"/>
        </w:tabs>
        <w:spacing w:before="0" w:after="0"/>
        <w:rPr>
          <w:i/>
          <w:i/>
        </w:rPr>
      </w:pPr>
      <w:r>
        <w:rPr>
          <w:i/>
        </w:rPr>
        <w:t xml:space="preserve">    </w:t>
      </w:r>
      <w:r>
        <w:rPr>
          <w:i/>
        </w:rPr>
        <w:t>Заказчику:</w:t>
      </w:r>
    </w:p>
    <w:p>
      <w:pPr>
        <w:pStyle w:val="Normal"/>
        <w:widowControl w:val="false"/>
        <w:spacing w:lineRule="auto" w:line="276"/>
        <w:ind w:right="-55" w:hanging="0"/>
        <w:jc w:val="right"/>
        <w:rPr/>
      </w:pPr>
      <w:r>
        <w:rPr>
          <w:i/>
        </w:rPr>
        <w:t>АО «РСК»</w:t>
      </w:r>
    </w:p>
    <w:p>
      <w:pPr>
        <w:pStyle w:val="Normal"/>
        <w:widowControl w:val="false"/>
        <w:spacing w:lineRule="auto" w:line="276"/>
        <w:ind w:right="-55" w:hanging="0"/>
        <w:rPr>
          <w:i/>
          <w:i/>
        </w:rPr>
      </w:pPr>
      <w:r>
        <w:rPr>
          <w:i/>
        </w:rPr>
      </w:r>
    </w:p>
    <w:p>
      <w:pPr>
        <w:pStyle w:val="Normal"/>
        <w:widowControl w:val="false"/>
        <w:spacing w:lineRule="auto" w:line="276"/>
        <w:ind w:right="-55" w:hanging="0"/>
        <w:rPr/>
      </w:pPr>
      <w:r>
        <w:rPr>
          <w:i/>
        </w:rPr>
        <w:t>«_____»_______________ года                                                                                      №___________________</w:t>
      </w:r>
    </w:p>
    <w:p>
      <w:pPr>
        <w:pStyle w:val="Normal"/>
        <w:widowControl w:val="false"/>
        <w:spacing w:lineRule="auto" w:line="276"/>
        <w:ind w:right="5243" w:hanging="0"/>
        <w:rPr>
          <w:i/>
          <w:i/>
        </w:rPr>
      </w:pPr>
      <w:r>
        <w:rPr>
          <w:i/>
        </w:rPr>
      </w:r>
    </w:p>
    <w:p>
      <w:pPr>
        <w:pStyle w:val="Normal"/>
        <w:widowControl w:val="false"/>
        <w:spacing w:lineRule="auto" w:line="276"/>
        <w:jc w:val="center"/>
        <w:rPr/>
      </w:pPr>
      <w:r>
        <w:rPr>
          <w:i/>
        </w:rPr>
        <w:t>Уважаемые господа!</w:t>
      </w:r>
    </w:p>
    <w:p>
      <w:pPr>
        <w:pStyle w:val="Normal"/>
        <w:widowControl w:val="false"/>
        <w:spacing w:lineRule="auto" w:line="276"/>
        <w:jc w:val="center"/>
        <w:rPr>
          <w:i/>
          <w:i/>
        </w:rPr>
      </w:pPr>
      <w:r>
        <w:rPr>
          <w:i/>
        </w:rPr>
      </w:r>
    </w:p>
    <w:p>
      <w:pPr>
        <w:pStyle w:val="Normal"/>
        <w:widowControl w:val="false"/>
        <w:spacing w:lineRule="auto" w:line="276"/>
        <w:ind w:firstLine="851"/>
        <w:jc w:val="both"/>
        <w:rPr/>
      </w:pPr>
      <w:r>
        <w:rPr>
          <w:i/>
        </w:rPr>
        <w:t>Изучив закупочную документацию на право заключения вышеупомянутого Договора, а также применимые к данному конкурсу в электронной форме законодательство и нормативно-правовые акты, мы _______________________________________________________________,</w:t>
      </w:r>
    </w:p>
    <w:p>
      <w:pPr>
        <w:pStyle w:val="Normal"/>
        <w:widowControl w:val="false"/>
        <w:spacing w:lineRule="auto" w:line="276"/>
        <w:rPr/>
      </w:pPr>
      <w:r>
        <w:rPr>
          <w:i/>
          <w:vertAlign w:val="superscript"/>
        </w:rPr>
        <w:t xml:space="preserve">                                </w:t>
      </w:r>
      <w:r>
        <w:rPr>
          <w:i/>
          <w:vertAlign w:val="superscript"/>
        </w:rPr>
        <w:t>(полное наименование участника закупки с указанием организационно-правовой формы (при наличии)</w:t>
      </w:r>
    </w:p>
    <w:p>
      <w:pPr>
        <w:pStyle w:val="Normal"/>
        <w:widowControl w:val="false"/>
        <w:spacing w:lineRule="auto" w:line="276"/>
        <w:rPr/>
      </w:pPr>
      <w:r>
        <w:rPr>
          <w:i/>
        </w:rPr>
        <w:t>зарегистрированное по адресу ___________________________________________;</w:t>
      </w:r>
    </w:p>
    <w:p>
      <w:pPr>
        <w:pStyle w:val="Normal"/>
        <w:widowControl w:val="false"/>
        <w:spacing w:lineRule="auto" w:line="276"/>
        <w:ind w:firstLine="851"/>
        <w:jc w:val="center"/>
        <w:rPr/>
      </w:pPr>
      <w:r>
        <w:rPr>
          <w:i/>
          <w:vertAlign w:val="superscript"/>
        </w:rPr>
        <w:t>(сведения о месте нахождения участника закупки (для юридического лица), сведения о месте жительства (для физического лица)</w:t>
      </w:r>
    </w:p>
    <w:p>
      <w:pPr>
        <w:pStyle w:val="Normal"/>
        <w:widowControl w:val="false"/>
        <w:spacing w:lineRule="auto" w:line="276"/>
        <w:rPr/>
      </w:pPr>
      <w:r>
        <w:rPr>
          <w:i/>
        </w:rPr>
        <w:t>адрес для корреспонденции ______________________________________________</w:t>
      </w:r>
    </w:p>
    <w:p>
      <w:pPr>
        <w:pStyle w:val="Normal"/>
        <w:widowControl w:val="false"/>
        <w:spacing w:lineRule="auto" w:line="276"/>
        <w:ind w:firstLine="851"/>
        <w:jc w:val="center"/>
        <w:rPr/>
      </w:pPr>
      <w:r>
        <w:rPr>
          <w:i/>
          <w:vertAlign w:val="superscript"/>
        </w:rPr>
        <w:t>(сведения о почтовом адресе участника закупки (для юридического лица), сведения о месте жительства (для физического лица)</w:t>
      </w:r>
    </w:p>
    <w:p>
      <w:pPr>
        <w:pStyle w:val="Normal"/>
        <w:widowControl w:val="false"/>
        <w:spacing w:lineRule="auto" w:line="276"/>
        <w:rPr/>
      </w:pPr>
      <w:r>
        <w:rPr>
          <w:i/>
        </w:rPr>
        <w:t>предлагает заключить договор:</w:t>
      </w:r>
    </w:p>
    <w:p>
      <w:pPr>
        <w:pStyle w:val="Normal"/>
        <w:widowControl w:val="false"/>
        <w:spacing w:lineRule="auto" w:line="276"/>
        <w:rPr>
          <w:i/>
          <w:i/>
        </w:rPr>
      </w:pPr>
      <w:r>
        <w:rPr>
          <w:i/>
        </w:rPr>
      </w:r>
    </w:p>
    <w:tbl>
      <w:tblPr>
        <w:tblW w:w="9648" w:type="dxa"/>
        <w:jc w:val="left"/>
        <w:tblInd w:w="216" w:type="dxa"/>
        <w:tblLayout w:type="fixed"/>
        <w:tblCellMar>
          <w:top w:w="0" w:type="dxa"/>
          <w:left w:w="108" w:type="dxa"/>
          <w:bottom w:w="0" w:type="dxa"/>
          <w:right w:w="108" w:type="dxa"/>
        </w:tblCellMar>
        <w:tblLook w:firstRow="1" w:noVBand="1" w:lastRow="0" w:firstColumn="1" w:lastColumn="0" w:noHBand="0" w:val="04a0"/>
      </w:tblPr>
      <w:tblGrid>
        <w:gridCol w:w="5842"/>
        <w:gridCol w:w="3805"/>
      </w:tblGrid>
      <w:tr>
        <w:trPr/>
        <w:tc>
          <w:tcPr>
            <w:tcW w:w="5842" w:type="dxa"/>
            <w:tcBorders>
              <w:top w:val="single" w:sz="4" w:space="0" w:color="000000"/>
              <w:left w:val="single" w:sz="4" w:space="0" w:color="000000"/>
              <w:bottom w:val="single" w:sz="4" w:space="0" w:color="000000"/>
            </w:tcBorders>
          </w:tcPr>
          <w:p>
            <w:pPr>
              <w:pStyle w:val="Normal"/>
              <w:widowControl w:val="false"/>
              <w:jc w:val="both"/>
              <w:rPr>
                <w:rFonts w:ascii="Times New Roman" w:hAnsi="Times New Roman"/>
                <w:i/>
                <w:i/>
                <w:iCs/>
              </w:rPr>
            </w:pPr>
            <w:r>
              <w:rPr>
                <w:rFonts w:ascii="Times New Roman" w:hAnsi="Times New Roman"/>
                <w:i/>
                <w:iCs/>
              </w:rPr>
              <w:t>Предмет договора</w:t>
            </w:r>
          </w:p>
          <w:p>
            <w:pPr>
              <w:pStyle w:val="Normal"/>
              <w:widowControl w:val="false"/>
              <w:spacing w:before="0" w:after="160"/>
              <w:jc w:val="both"/>
              <w:rPr>
                <w:rFonts w:ascii="Times New Roman" w:hAnsi="Times New Roman"/>
                <w:i/>
                <w:i/>
                <w:iCs/>
              </w:rPr>
            </w:pPr>
            <w:r>
              <w:rPr>
                <w:rFonts w:ascii="Times New Roman" w:hAnsi="Times New Roman"/>
                <w:i/>
                <w:iCs/>
              </w:rPr>
            </w:r>
          </w:p>
        </w:tc>
        <w:tc>
          <w:tcPr>
            <w:tcW w:w="380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both"/>
              <w:rPr>
                <w:i/>
                <w:i/>
              </w:rPr>
            </w:pPr>
            <w:r>
              <w:rPr>
                <w:i/>
              </w:rPr>
              <w:t>Предложение Участника</w:t>
            </w:r>
          </w:p>
        </w:tc>
      </w:tr>
      <w:tr>
        <w:trPr/>
        <w:tc>
          <w:tcPr>
            <w:tcW w:w="5842" w:type="dxa"/>
            <w:tcBorders>
              <w:top w:val="single" w:sz="4" w:space="0" w:color="000000"/>
              <w:left w:val="single" w:sz="4" w:space="0" w:color="000000"/>
              <w:bottom w:val="single" w:sz="4" w:space="0" w:color="000000"/>
            </w:tcBorders>
          </w:tcPr>
          <w:p>
            <w:pPr>
              <w:pStyle w:val="Normal"/>
              <w:widowControl w:val="false"/>
              <w:spacing w:before="0" w:after="160"/>
              <w:jc w:val="both"/>
              <w:rPr>
                <w:rFonts w:ascii="Times New Roman" w:hAnsi="Times New Roman"/>
                <w:i/>
                <w:i/>
                <w:iCs/>
              </w:rPr>
            </w:pPr>
            <w:r>
              <w:rPr>
                <w:rFonts w:ascii="Times New Roman" w:hAnsi="Times New Roman"/>
                <w:b/>
                <w:bCs/>
                <w:i/>
                <w:iCs/>
              </w:rPr>
              <w:t>Сумма цен единиц</w:t>
            </w:r>
            <w:r>
              <w:rPr>
                <w:rFonts w:ascii="Times New Roman" w:hAnsi="Times New Roman"/>
                <w:i/>
                <w:iCs/>
              </w:rPr>
              <w:t xml:space="preserve"> (включает в себя стоимость работ по договору, а также все затраты, расходы и издержки Подрядчика, связанные с выполнением работ, приобретением изделий, материалов, конструкций и т.д., необходимых для выполнения работ, с учетом расходов на доставку, на перевозку, погрузо-разгрузочные работы, страхование, уплату таможенных пошлин, налогов и других обязательных платежей, а также все прочие расходы, необходимые для исполнения Подрядчиком обязательств по договору), рублей</w:t>
            </w:r>
          </w:p>
        </w:tc>
        <w:tc>
          <w:tcPr>
            <w:tcW w:w="38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76" w:before="0" w:after="160"/>
              <w:jc w:val="both"/>
              <w:rPr>
                <w:b/>
                <w:i/>
                <w:i/>
              </w:rPr>
            </w:pPr>
            <w:r>
              <w:rPr>
                <w:b/>
                <w:i/>
              </w:rPr>
            </w:r>
          </w:p>
        </w:tc>
      </w:tr>
      <w:tr>
        <w:trPr/>
        <w:tc>
          <w:tcPr>
            <w:tcW w:w="5842" w:type="dxa"/>
            <w:tcBorders>
              <w:top w:val="single" w:sz="4" w:space="0" w:color="000000"/>
              <w:left w:val="single" w:sz="4" w:space="0" w:color="000000"/>
              <w:bottom w:val="single" w:sz="4" w:space="0" w:color="000000"/>
            </w:tcBorders>
          </w:tcPr>
          <w:p>
            <w:pPr>
              <w:pStyle w:val="Normal"/>
              <w:widowControl w:val="false"/>
              <w:spacing w:before="0" w:after="160"/>
              <w:jc w:val="both"/>
              <w:rPr>
                <w:rFonts w:ascii="Times New Roman" w:hAnsi="Times New Roman"/>
                <w:b/>
                <w:bCs/>
                <w:i/>
                <w:i/>
                <w:iCs/>
              </w:rPr>
            </w:pPr>
            <w:r>
              <w:rPr>
                <w:rFonts w:ascii="Times New Roman" w:hAnsi="Times New Roman"/>
                <w:b/>
                <w:bCs/>
                <w:i/>
                <w:iCs/>
              </w:rPr>
              <w:t>Срок оплаты выполненных работ</w:t>
            </w:r>
          </w:p>
        </w:tc>
        <w:tc>
          <w:tcPr>
            <w:tcW w:w="38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0" w:after="160"/>
              <w:jc w:val="both"/>
              <w:rPr>
                <w:b/>
                <w:i/>
                <w:i/>
              </w:rPr>
            </w:pPr>
            <w:r>
              <w:rPr>
                <w:b/>
                <w:i/>
              </w:rPr>
              <w:t>В течение __ рабочих дней с момента выполнения всего (100%) объема работ, в соответствии с заявками Заказчика</w:t>
            </w:r>
          </w:p>
        </w:tc>
      </w:tr>
      <w:tr>
        <w:trPr/>
        <w:tc>
          <w:tcPr>
            <w:tcW w:w="5842" w:type="dxa"/>
            <w:vMerge w:val="restart"/>
            <w:tcBorders>
              <w:left w:val="single" w:sz="4" w:space="0" w:color="000000"/>
              <w:bottom w:val="single" w:sz="4" w:space="0" w:color="000000"/>
            </w:tcBorders>
          </w:tcPr>
          <w:p>
            <w:pPr>
              <w:pStyle w:val="Normal"/>
              <w:widowControl w:val="false"/>
              <w:spacing w:before="0" w:after="160"/>
              <w:jc w:val="both"/>
              <w:textAlignment w:val="baseline"/>
              <w:rPr>
                <w:rFonts w:ascii="Times New Roman" w:hAnsi="Times New Roman" w:eastAsia="SimSun"/>
                <w:i/>
                <w:i/>
                <w:iCs/>
                <w:color w:val="000000"/>
                <w:kern w:val="2"/>
                <w:lang w:eastAsia="zh-CN" w:bidi="hi-IN"/>
              </w:rPr>
            </w:pPr>
            <w:r>
              <w:rPr>
                <w:rFonts w:eastAsia="SimSun" w:ascii="Times New Roman" w:hAnsi="Times New Roman"/>
                <w:b/>
                <w:bCs/>
                <w:i/>
                <w:iCs/>
                <w:color w:val="000000"/>
                <w:kern w:val="2"/>
                <w:lang w:eastAsia="zh-CN" w:bidi="hi-IN"/>
              </w:rPr>
              <w:t xml:space="preserve">Сведения об успешном опыте выполнения работ </w:t>
            </w:r>
            <w:r>
              <w:rPr>
                <w:rFonts w:eastAsia="SimSun" w:ascii="Times New Roman" w:hAnsi="Times New Roman"/>
                <w:i/>
                <w:iCs/>
                <w:color w:val="000000"/>
                <w:kern w:val="2"/>
                <w:lang w:eastAsia="zh-CN" w:bidi="hi-IN"/>
              </w:rPr>
              <w:t>Наличие опыта исполнения (с учетом правопреемства) контрактов (договоров), по которым участник закупки выступает в роли подрядчика на выполнение работ по объектам, относящимся к электросетевому хозяйству и/или электроэнергетики и/или электроснабжению без применения штрафных санкций (штрафы, пени и прочее) (исполненных с 2023года)</w:t>
            </w:r>
          </w:p>
        </w:tc>
        <w:tc>
          <w:tcPr>
            <w:tcW w:w="3805" w:type="dxa"/>
            <w:tcBorders>
              <w:left w:val="single" w:sz="4" w:space="0" w:color="000000"/>
              <w:bottom w:val="single" w:sz="4" w:space="0" w:color="000000"/>
              <w:right w:val="single" w:sz="4" w:space="0" w:color="000000"/>
            </w:tcBorders>
            <w:vAlign w:val="center"/>
          </w:tcPr>
          <w:p>
            <w:pPr>
              <w:pStyle w:val="Normal"/>
              <w:widowControl w:val="false"/>
              <w:spacing w:lineRule="auto" w:line="276"/>
              <w:jc w:val="both"/>
              <w:rPr>
                <w:b/>
                <w:i/>
                <w:i/>
              </w:rPr>
            </w:pPr>
            <w:r>
              <w:rPr>
                <w:b/>
                <w:i/>
              </w:rPr>
              <w:t>Кол-во договоров (контрактов):</w:t>
            </w:r>
          </w:p>
          <w:p>
            <w:pPr>
              <w:pStyle w:val="Normal"/>
              <w:widowControl w:val="false"/>
              <w:spacing w:lineRule="auto" w:line="276" w:before="0" w:after="160"/>
              <w:jc w:val="both"/>
              <w:rPr>
                <w:b/>
                <w:i/>
                <w:i/>
              </w:rPr>
            </w:pPr>
            <w:r>
              <w:rPr>
                <w:b/>
                <w:i/>
              </w:rPr>
            </w:r>
          </w:p>
        </w:tc>
      </w:tr>
      <w:tr>
        <w:trPr/>
        <w:tc>
          <w:tcPr>
            <w:tcW w:w="5842" w:type="dxa"/>
            <w:vMerge w:val="continue"/>
            <w:tcBorders>
              <w:left w:val="single" w:sz="4" w:space="0" w:color="000000"/>
              <w:bottom w:val="single" w:sz="4" w:space="0" w:color="000000"/>
            </w:tcBorders>
          </w:tcPr>
          <w:p>
            <w:pPr>
              <w:pStyle w:val="Normal"/>
              <w:widowControl w:val="false"/>
              <w:spacing w:before="0" w:after="160"/>
              <w:jc w:val="both"/>
              <w:textAlignment w:val="baseline"/>
              <w:rPr>
                <w:rFonts w:ascii="Times New Roman" w:hAnsi="Times New Roman" w:eastAsia="SimSun"/>
                <w:color w:val="000000"/>
                <w:kern w:val="2"/>
                <w:sz w:val="20"/>
                <w:szCs w:val="20"/>
                <w:lang w:eastAsia="zh-CN" w:bidi="hi-IN"/>
              </w:rPr>
            </w:pPr>
            <w:r>
              <w:rPr>
                <w:rFonts w:eastAsia="SimSun" w:ascii="Times New Roman" w:hAnsi="Times New Roman"/>
                <w:color w:val="000000"/>
                <w:kern w:val="2"/>
                <w:sz w:val="20"/>
                <w:szCs w:val="20"/>
                <w:lang w:eastAsia="zh-CN" w:bidi="hi-IN"/>
              </w:rPr>
            </w:r>
          </w:p>
        </w:tc>
        <w:tc>
          <w:tcPr>
            <w:tcW w:w="3805" w:type="dxa"/>
            <w:tcBorders>
              <w:left w:val="single" w:sz="4" w:space="0" w:color="000000"/>
              <w:bottom w:val="single" w:sz="4" w:space="0" w:color="000000"/>
              <w:right w:val="single" w:sz="4" w:space="0" w:color="000000"/>
            </w:tcBorders>
            <w:vAlign w:val="center"/>
          </w:tcPr>
          <w:p>
            <w:pPr>
              <w:pStyle w:val="Normal"/>
              <w:widowControl w:val="false"/>
              <w:spacing w:lineRule="auto" w:line="276" w:before="0" w:after="160"/>
              <w:jc w:val="both"/>
              <w:rPr>
                <w:b/>
                <w:i/>
                <w:i/>
              </w:rPr>
            </w:pPr>
            <w:r>
              <w:rPr>
                <w:b/>
                <w:i/>
              </w:rPr>
              <w:t>Общая сумма цен договоров (контрактов):</w:t>
            </w:r>
          </w:p>
        </w:tc>
      </w:tr>
    </w:tbl>
    <w:p>
      <w:pPr>
        <w:pStyle w:val="Normal"/>
        <w:rPr/>
      </w:pPr>
      <w:r>
        <w:rPr/>
      </w:r>
    </w:p>
    <w:p>
      <w:pPr>
        <w:pStyle w:val="Normal"/>
        <w:widowControl w:val="false"/>
        <w:spacing w:lineRule="auto" w:line="276"/>
        <w:jc w:val="center"/>
        <w:rPr/>
      </w:pPr>
      <w:r>
        <w:rPr>
          <w:i/>
          <w:vertAlign w:val="superscript"/>
        </w:rPr>
        <w:t xml:space="preserve"> </w:t>
      </w:r>
    </w:p>
    <w:p>
      <w:pPr>
        <w:pStyle w:val="Normal"/>
        <w:widowControl w:val="false"/>
        <w:rPr/>
      </w:pPr>
      <w:r>
        <w:rPr/>
        <w:t>__________________________________________________________________________________</w:t>
      </w:r>
    </w:p>
    <w:p>
      <w:pPr>
        <w:pStyle w:val="Normal"/>
        <w:widowControl w:val="false"/>
        <w:jc w:val="center"/>
        <w:rPr/>
      </w:pPr>
      <w:r>
        <w:rPr>
          <w:i/>
          <w:vertAlign w:val="superscript"/>
        </w:rPr>
        <w:t>(полное наименование (для юридических лиц), фамилия, имя, отчество (при наличии последнего) (для физических лиц))</w:t>
      </w:r>
    </w:p>
    <w:p>
      <w:pPr>
        <w:pStyle w:val="Normal"/>
        <w:widowControl w:val="false"/>
        <w:spacing w:lineRule="auto" w:line="276"/>
        <w:jc w:val="both"/>
        <w:rPr/>
      </w:pPr>
      <w:r>
        <w:rPr>
          <w:i/>
        </w:rPr>
        <w:t xml:space="preserve">обязуется в случае признании победителем конкурса в электронной форме либо единственным участником закупки заключить договор в соответствии с проектом договора </w:t>
      </w:r>
      <w:r>
        <w:rPr>
          <w:i/>
          <w:shd w:fill="FFFFFF" w:val="clear"/>
        </w:rPr>
        <w:t xml:space="preserve">(Приложение № 1 к документации о </w:t>
      </w:r>
      <w:r>
        <w:rPr>
          <w:i/>
          <w:color w:val="000000"/>
          <w:shd w:fill="FFFFFF" w:val="clear"/>
        </w:rPr>
        <w:t>конкурсе</w:t>
      </w:r>
      <w:r>
        <w:rPr>
          <w:i/>
          <w:shd w:fill="FFFFFF" w:val="clear"/>
        </w:rPr>
        <w:t xml:space="preserve"> в электронной форме)</w:t>
      </w:r>
      <w:r>
        <w:rPr>
          <w:i/>
        </w:rPr>
        <w:t xml:space="preserve"> и выполнить работы (поставить товар, оказать услуги) в строгом соответствии с требованиями Технического задания </w:t>
      </w:r>
      <w:r>
        <w:rPr>
          <w:i/>
          <w:shd w:fill="FFFFFF" w:val="clear"/>
        </w:rPr>
        <w:t xml:space="preserve">(Приложение № 2 к документации </w:t>
      </w:r>
      <w:r>
        <w:rPr>
          <w:rFonts w:ascii="Times New Roman" w:hAnsi="Times New Roman"/>
          <w:i/>
          <w:iCs/>
          <w:sz w:val="24"/>
          <w:szCs w:val="24"/>
          <w:shd w:fill="FFFFFF" w:val="clear"/>
        </w:rPr>
        <w:t xml:space="preserve">о </w:t>
      </w:r>
      <w:r>
        <w:rPr>
          <w:rFonts w:eastAsia="Segoe UI" w:cs="Tahoma" w:ascii="Times New Roman" w:hAnsi="Times New Roman"/>
          <w:i/>
          <w:iCs/>
          <w:color w:val="000000"/>
          <w:kern w:val="2"/>
          <w:sz w:val="24"/>
          <w:szCs w:val="24"/>
          <w:shd w:fill="FFFFFF" w:val="clear"/>
          <w:lang w:eastAsia="zh-CN" w:bidi="hi-IN"/>
        </w:rPr>
        <w:t xml:space="preserve">конкурсе в электронной форме </w:t>
      </w:r>
      <w:r>
        <w:rPr>
          <w:rFonts w:ascii="Times New Roman" w:hAnsi="Times New Roman"/>
          <w:i/>
          <w:iCs/>
          <w:sz w:val="24"/>
          <w:szCs w:val="24"/>
          <w:shd w:fill="FFFFFF" w:val="clear"/>
        </w:rPr>
        <w:t>в</w:t>
      </w:r>
      <w:r>
        <w:rPr>
          <w:i/>
          <w:shd w:fill="FFFFFF" w:val="clear"/>
        </w:rPr>
        <w:t xml:space="preserve"> электронной форме).</w:t>
      </w:r>
    </w:p>
    <w:p>
      <w:pPr>
        <w:pStyle w:val="Normal"/>
        <w:widowControl w:val="false"/>
        <w:spacing w:lineRule="auto" w:line="276"/>
        <w:jc w:val="both"/>
        <w:rPr/>
      </w:pPr>
      <w:r>
        <w:rPr>
          <w:rFonts w:eastAsia="Arial Unicode MS"/>
          <w:i/>
          <w:kern w:val="2"/>
        </w:rPr>
        <w:t xml:space="preserve">Мы извещены о включении сведений о </w:t>
      </w:r>
      <w:r>
        <w:rPr>
          <w:rFonts w:eastAsia="Arial Unicode MS"/>
          <w:i/>
          <w:kern w:val="2"/>
          <w:u w:val="single"/>
        </w:rPr>
        <w:t>(наименование Участника закупки)</w:t>
      </w:r>
      <w:r>
        <w:rPr>
          <w:rFonts w:eastAsia="Arial Unicode MS"/>
          <w:i/>
          <w:kern w:val="2"/>
        </w:rPr>
        <w:t xml:space="preserve"> в Реестр недобросовестных поставщиков в случае уклонения нами от заключения договора.</w:t>
      </w:r>
    </w:p>
    <w:p>
      <w:pPr>
        <w:pStyle w:val="Normal"/>
        <w:widowControl w:val="false"/>
        <w:spacing w:lineRule="auto" w:line="276"/>
        <w:jc w:val="both"/>
        <w:rPr/>
      </w:pPr>
      <w:r>
        <w:rPr>
          <w:rFonts w:eastAsia="Arial Unicode MS"/>
          <w:i/>
          <w:kern w:val="2"/>
          <w:u w:val="single"/>
        </w:rPr>
        <w:t>(наименование Участника закупки)</w:t>
      </w:r>
      <w:r>
        <w:rPr>
          <w:rFonts w:eastAsia="Arial Unicode MS"/>
          <w:i/>
          <w:kern w:val="2"/>
        </w:rPr>
        <w:t xml:space="preserve"> </w:t>
      </w:r>
      <w:r>
        <w:rPr>
          <w:i/>
        </w:rPr>
        <w:t xml:space="preserve">подтверждает свое согласие на обработку персональных данных Заказчиком. </w:t>
      </w:r>
    </w:p>
    <w:p>
      <w:pPr>
        <w:pStyle w:val="Normal"/>
        <w:widowControl w:val="false"/>
        <w:spacing w:lineRule="auto" w:line="276"/>
        <w:jc w:val="both"/>
        <w:rPr/>
      </w:pPr>
      <w:r>
        <w:rPr/>
        <w:t>__________________________________________________________________________________</w:t>
      </w:r>
    </w:p>
    <w:p>
      <w:pPr>
        <w:pStyle w:val="Normal"/>
        <w:widowControl w:val="false"/>
        <w:jc w:val="center"/>
        <w:rPr/>
      </w:pPr>
      <w:r>
        <w:rPr>
          <w:i/>
          <w:vertAlign w:val="superscript"/>
        </w:rPr>
        <w:t>(полное наименование (для юридических лиц), фамилия, имя, отчество (при наличии последнего) (для физических лиц))</w:t>
      </w:r>
    </w:p>
    <w:p>
      <w:pPr>
        <w:pStyle w:val="Normal"/>
        <w:widowControl w:val="false"/>
        <w:spacing w:lineRule="auto" w:line="276"/>
        <w:jc w:val="both"/>
        <w:rPr/>
      </w:pPr>
      <w:r>
        <w:rPr>
          <w:i/>
        </w:rPr>
        <w:t>Декларирует (подтверждает) соответствие требованиям:</w:t>
      </w:r>
    </w:p>
    <w:p>
      <w:pPr>
        <w:pStyle w:val="Normal"/>
        <w:widowControl w:val="false"/>
        <w:spacing w:lineRule="auto" w:line="276"/>
        <w:ind w:firstLine="720"/>
        <w:jc w:val="both"/>
        <w:rPr/>
      </w:pPr>
      <w:r>
        <w:rPr>
          <w:i/>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pPr>
        <w:pStyle w:val="Normal"/>
        <w:widowControl w:val="false"/>
        <w:spacing w:lineRule="auto" w:line="276"/>
        <w:ind w:firstLine="720"/>
        <w:jc w:val="both"/>
        <w:rPr/>
      </w:pPr>
      <w:r>
        <w:rPr>
          <w:i/>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pPr>
        <w:pStyle w:val="Normal"/>
        <w:widowControl w:val="false"/>
        <w:spacing w:lineRule="auto" w:line="276"/>
        <w:ind w:firstLine="720"/>
        <w:jc w:val="both"/>
        <w:rPr/>
      </w:pPr>
      <w:r>
        <w:rPr>
          <w:i/>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pPr>
        <w:pStyle w:val="Normal"/>
        <w:widowControl w:val="false"/>
        <w:spacing w:lineRule="auto" w:line="276"/>
        <w:ind w:firstLine="720"/>
        <w:jc w:val="both"/>
        <w:rPr/>
      </w:pPr>
      <w:r>
        <w:rPr>
          <w:i/>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указанной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pPr>
        <w:pStyle w:val="Normal"/>
        <w:widowControl w:val="false"/>
        <w:spacing w:lineRule="auto" w:line="276"/>
        <w:ind w:firstLine="720"/>
        <w:jc w:val="both"/>
        <w:rPr/>
      </w:pPr>
      <w:r>
        <w:rPr>
          <w:i/>
        </w:rPr>
        <w:t>5) отсутствие в предусмотренном федеральными законами № 223-ФЗ и № 44-ФЗ реестре недобросовестных поставщиков (подрядчиков, исполнителей) информации об участнике закупки;</w:t>
      </w:r>
    </w:p>
    <w:p>
      <w:pPr>
        <w:pStyle w:val="Normal"/>
        <w:widowControl w:val="false"/>
        <w:spacing w:lineRule="auto" w:line="276"/>
        <w:ind w:firstLine="720"/>
        <w:jc w:val="both"/>
        <w:rPr/>
      </w:pPr>
      <w:r>
        <w:rPr>
          <w:i/>
        </w:rPr>
        <w:t>6) обладание участниками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pPr>
        <w:pStyle w:val="Normal"/>
        <w:widowControl w:val="false"/>
        <w:spacing w:lineRule="auto" w:line="276"/>
        <w:ind w:firstLine="720"/>
        <w:jc w:val="both"/>
        <w:rPr/>
      </w:pPr>
      <w:r>
        <w:rPr>
          <w:i/>
        </w:rPr>
        <w:t>7)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pPr>
        <w:pStyle w:val="Normal"/>
        <w:widowControl w:val="false"/>
        <w:spacing w:lineRule="auto" w:line="276"/>
        <w:ind w:firstLine="720"/>
        <w:jc w:val="both"/>
        <w:rPr/>
      </w:pPr>
      <w:r>
        <w:rPr>
          <w:i/>
        </w:rPr>
        <w:t>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pPr>
        <w:pStyle w:val="Normal"/>
        <w:widowControl w:val="false"/>
        <w:spacing w:lineRule="auto" w:line="276"/>
        <w:ind w:firstLine="720"/>
        <w:jc w:val="both"/>
        <w:rPr/>
      </w:pPr>
      <w:r>
        <w:rPr>
          <w:i/>
        </w:rPr>
        <w:t>9) участник закупки не является офшорной компанией;</w:t>
      </w:r>
    </w:p>
    <w:p>
      <w:pPr>
        <w:pStyle w:val="Normal"/>
        <w:widowControl w:val="false"/>
        <w:spacing w:lineRule="auto" w:line="276"/>
        <w:ind w:firstLine="720"/>
        <w:jc w:val="both"/>
        <w:rPr/>
      </w:pPr>
      <w:r>
        <w:rPr>
          <w:i/>
        </w:rPr>
        <w:t>10) отсутствие у участника закупки ограничений для участия в закупках, установленных законодательством Российской Федерации.</w:t>
      </w:r>
    </w:p>
    <w:p>
      <w:pPr>
        <w:pStyle w:val="Normal"/>
        <w:widowControl w:val="false"/>
        <w:spacing w:lineRule="auto" w:line="276"/>
        <w:ind w:firstLine="851"/>
        <w:jc w:val="both"/>
        <w:rPr>
          <w:rFonts w:ascii="Times New Roman" w:hAnsi="Times New Roman"/>
          <w:i/>
          <w:i/>
          <w:iCs/>
          <w:sz w:val="24"/>
          <w:szCs w:val="24"/>
        </w:rPr>
      </w:pPr>
      <w:r>
        <w:rPr>
          <w:rFonts w:ascii="Times New Roman" w:hAnsi="Times New Roman"/>
          <w:i/>
          <w:iCs/>
          <w:sz w:val="24"/>
          <w:szCs w:val="24"/>
        </w:rPr>
        <w:t xml:space="preserve">К настоящей заявке на участие в конкурсе в электронной форме прилагаются документы, являющиеся неотъемлемой частью нашей заявки на участие в </w:t>
      </w:r>
      <w:r>
        <w:rPr>
          <w:rFonts w:eastAsia="Segoe UI" w:cs="Tahoma" w:ascii="Times New Roman" w:hAnsi="Times New Roman"/>
          <w:i/>
          <w:iCs/>
          <w:color w:val="000000"/>
          <w:kern w:val="2"/>
          <w:sz w:val="24"/>
          <w:szCs w:val="24"/>
          <w:lang w:eastAsia="zh-CN" w:bidi="hi-IN"/>
        </w:rPr>
        <w:t>конкурсе в электронной форме</w:t>
      </w:r>
      <w:r>
        <w:rPr>
          <w:rFonts w:ascii="Times New Roman" w:hAnsi="Times New Roman"/>
          <w:i/>
          <w:iCs/>
          <w:sz w:val="24"/>
          <w:szCs w:val="24"/>
        </w:rPr>
        <w:t>, согласно описи документов – на _____ листах.</w:t>
      </w:r>
    </w:p>
    <w:p>
      <w:pPr>
        <w:pStyle w:val="Normal"/>
        <w:widowControl w:val="false"/>
        <w:spacing w:lineRule="auto" w:line="276"/>
        <w:ind w:firstLine="851"/>
        <w:rPr>
          <w:i/>
          <w:i/>
        </w:rPr>
      </w:pPr>
      <w:r>
        <w:rPr>
          <w:i/>
        </w:rPr>
      </w:r>
    </w:p>
    <w:p>
      <w:pPr>
        <w:pStyle w:val="Normal"/>
        <w:widowControl w:val="false"/>
        <w:spacing w:lineRule="auto" w:line="276"/>
        <w:ind w:firstLine="851"/>
        <w:rPr>
          <w:i/>
          <w:i/>
        </w:rPr>
      </w:pPr>
      <w:r>
        <w:rPr>
          <w:i/>
        </w:rPr>
      </w:r>
    </w:p>
    <w:p>
      <w:pPr>
        <w:pStyle w:val="Normal"/>
        <w:widowControl w:val="false"/>
        <w:spacing w:lineRule="auto" w:line="276"/>
        <w:rPr/>
      </w:pPr>
      <w:r>
        <w:rPr>
          <w:i/>
        </w:rPr>
        <w:t>__________________________________________________________________________________________</w:t>
      </w:r>
    </w:p>
    <w:p>
      <w:pPr>
        <w:pStyle w:val="Normal"/>
        <w:widowControl w:val="false"/>
        <w:spacing w:lineRule="auto" w:line="276"/>
        <w:rPr/>
      </w:pPr>
      <w:r>
        <w:rPr>
          <w:i/>
        </w:rPr>
        <w:t xml:space="preserve">должность                                                      подпись                                                         инициалы, фамилия </w:t>
      </w:r>
    </w:p>
    <w:p>
      <w:pPr>
        <w:pStyle w:val="Normal"/>
        <w:widowControl w:val="false"/>
        <w:spacing w:lineRule="auto" w:line="276"/>
        <w:rPr/>
      </w:pPr>
      <w:r>
        <w:rPr>
          <w:i/>
          <w:vertAlign w:val="superscript"/>
        </w:rPr>
        <w:t xml:space="preserve">                                         </w:t>
      </w:r>
      <w:r>
        <w:rPr>
          <w:i/>
          <w:vertAlign w:val="superscript"/>
        </w:rPr>
        <w:t>М.П.</w:t>
      </w:r>
    </w:p>
    <w:p>
      <w:pPr>
        <w:pStyle w:val="25"/>
        <w:keepNext w:val="false"/>
        <w:widowControl w:val="false"/>
        <w:tabs>
          <w:tab w:val="left" w:pos="-7371" w:leader="none"/>
          <w:tab w:val="left" w:pos="1418" w:leader="none"/>
        </w:tabs>
        <w:suppressAutoHyphens w:val="false"/>
        <w:spacing w:lineRule="auto" w:line="276" w:before="0" w:after="0"/>
        <w:ind w:left="-142" w:firstLine="993"/>
        <w:jc w:val="both"/>
        <w:rPr>
          <w:i/>
          <w:i/>
          <w:sz w:val="24"/>
          <w:szCs w:val="24"/>
        </w:rPr>
      </w:pPr>
      <w:r>
        <w:rPr>
          <w:i/>
          <w:sz w:val="24"/>
          <w:szCs w:val="24"/>
        </w:rPr>
      </w:r>
      <w:bookmarkStart w:id="30" w:name="OLE_LINK51"/>
      <w:bookmarkStart w:id="31" w:name="OLE_LINK61"/>
      <w:bookmarkStart w:id="32" w:name="OLE_LINK51"/>
      <w:bookmarkStart w:id="33" w:name="OLE_LINK61"/>
      <w:bookmarkEnd w:id="32"/>
      <w:bookmarkEnd w:id="33"/>
    </w:p>
    <w:p>
      <w:pPr>
        <w:pStyle w:val="25"/>
        <w:keepNext w:val="false"/>
        <w:widowControl w:val="false"/>
        <w:tabs>
          <w:tab w:val="left" w:pos="-7371" w:leader="none"/>
          <w:tab w:val="left" w:pos="1418" w:leader="none"/>
        </w:tabs>
        <w:suppressAutoHyphens w:val="false"/>
        <w:spacing w:lineRule="auto" w:line="276" w:before="0" w:after="0"/>
        <w:ind w:left="-142" w:firstLine="993"/>
        <w:jc w:val="both"/>
        <w:rPr>
          <w:i/>
          <w:i/>
          <w:sz w:val="24"/>
          <w:szCs w:val="24"/>
        </w:rPr>
      </w:pPr>
      <w:r>
        <w:rPr>
          <w:i/>
          <w:sz w:val="24"/>
          <w:szCs w:val="24"/>
        </w:rPr>
      </w:r>
    </w:p>
    <w:p>
      <w:pPr>
        <w:pStyle w:val="25"/>
        <w:keepNext w:val="false"/>
        <w:widowControl w:val="false"/>
        <w:tabs>
          <w:tab w:val="left" w:pos="-7371" w:leader="none"/>
          <w:tab w:val="left" w:pos="1418" w:leader="none"/>
        </w:tabs>
        <w:suppressAutoHyphens w:val="false"/>
        <w:spacing w:lineRule="auto" w:line="276" w:before="0" w:after="0"/>
        <w:ind w:left="-142" w:firstLine="993"/>
        <w:jc w:val="both"/>
        <w:rPr>
          <w:i/>
          <w:i/>
          <w:sz w:val="24"/>
          <w:szCs w:val="24"/>
        </w:rPr>
      </w:pPr>
      <w:r>
        <w:rPr>
          <w:i/>
          <w:sz w:val="24"/>
          <w:szCs w:val="24"/>
        </w:rPr>
      </w:r>
    </w:p>
    <w:p>
      <w:pPr>
        <w:pStyle w:val="25"/>
        <w:keepNext w:val="false"/>
        <w:widowControl w:val="false"/>
        <w:tabs>
          <w:tab w:val="left" w:pos="-7371" w:leader="none"/>
          <w:tab w:val="left" w:pos="1418" w:leader="none"/>
        </w:tabs>
        <w:suppressAutoHyphens w:val="false"/>
        <w:spacing w:lineRule="auto" w:line="276" w:before="0" w:after="0"/>
        <w:ind w:left="-142" w:firstLine="993"/>
        <w:jc w:val="both"/>
        <w:rPr>
          <w:sz w:val="24"/>
          <w:szCs w:val="24"/>
        </w:rPr>
      </w:pPr>
      <w:bookmarkStart w:id="34" w:name="_Toc113302629"/>
      <w:r>
        <w:rPr>
          <w:i/>
          <w:sz w:val="24"/>
          <w:szCs w:val="24"/>
        </w:rPr>
        <w:t>8.2.1. Инструкции по заполнению</w:t>
      </w:r>
      <w:bookmarkEnd w:id="34"/>
      <w:r>
        <w:rPr>
          <w:i/>
          <w:sz w:val="24"/>
          <w:szCs w:val="24"/>
        </w:rPr>
        <w:t xml:space="preserve"> </w:t>
      </w:r>
    </w:p>
    <w:p>
      <w:pPr>
        <w:pStyle w:val="Style53"/>
        <w:widowControl w:val="false"/>
        <w:tabs>
          <w:tab w:val="clear" w:pos="360"/>
          <w:tab w:val="left" w:pos="-7371" w:leader="none"/>
          <w:tab w:val="left" w:pos="-3544" w:leader="none"/>
          <w:tab w:val="left" w:pos="2025" w:leader="none"/>
        </w:tabs>
        <w:spacing w:lineRule="auto" w:line="276"/>
        <w:ind w:left="-142" w:firstLine="993"/>
        <w:rPr>
          <w:szCs w:val="24"/>
        </w:rPr>
      </w:pPr>
      <w:r>
        <w:rPr>
          <w:i/>
          <w:szCs w:val="24"/>
        </w:rPr>
        <w:t>8.2.1.1. Письмо-заявка на участие в конкурсе является утвержденной и заполняется участником закупки по всем указанным позициям. Непредставление требуемых сведений является основанием для</w:t>
      </w:r>
      <w:r>
        <w:rPr>
          <w:rFonts w:ascii="Times New Roman" w:hAnsi="Times New Roman"/>
          <w:i/>
          <w:iCs/>
          <w:sz w:val="24"/>
          <w:szCs w:val="24"/>
        </w:rPr>
        <w:t xml:space="preserve"> отклонения участника закупки, так будет расцениваться как отсутствие вышеуказанной формы в составе заявки на участие в </w:t>
      </w:r>
      <w:r>
        <w:rPr>
          <w:rFonts w:eastAsia="Segoe UI" w:cs="Tahoma" w:ascii="Times New Roman" w:hAnsi="Times New Roman"/>
          <w:i/>
          <w:iCs/>
          <w:color w:val="000000"/>
          <w:kern w:val="2"/>
          <w:sz w:val="24"/>
          <w:szCs w:val="24"/>
          <w:lang w:eastAsia="zh-CN" w:bidi="hi-IN"/>
        </w:rPr>
        <w:t>конкурсе в электронной форме</w:t>
      </w:r>
      <w:r>
        <w:rPr>
          <w:rFonts w:ascii="Times New Roman" w:hAnsi="Times New Roman"/>
          <w:i/>
          <w:iCs/>
          <w:sz w:val="24"/>
          <w:szCs w:val="24"/>
        </w:rPr>
        <w:t>.</w:t>
      </w:r>
    </w:p>
    <w:p>
      <w:pPr>
        <w:pStyle w:val="Style53"/>
        <w:widowControl w:val="false"/>
        <w:tabs>
          <w:tab w:val="clear" w:pos="360"/>
          <w:tab w:val="left" w:pos="-7371" w:leader="none"/>
          <w:tab w:val="left" w:pos="-3544" w:leader="none"/>
          <w:tab w:val="left" w:pos="2025" w:leader="none"/>
        </w:tabs>
        <w:spacing w:lineRule="auto" w:line="276"/>
        <w:ind w:left="-142" w:firstLine="993"/>
        <w:rPr>
          <w:szCs w:val="24"/>
        </w:rPr>
      </w:pPr>
      <w:r>
        <w:rPr>
          <w:i/>
          <w:szCs w:val="24"/>
        </w:rPr>
        <w:t>8.2.1.2. Графа «предмет договора» заполняется в соответствии с указанным в документации о конкурсе в электронной форме наименованием.</w:t>
      </w:r>
    </w:p>
    <w:p>
      <w:pPr>
        <w:pStyle w:val="Style53"/>
        <w:widowControl w:val="false"/>
        <w:tabs>
          <w:tab w:val="clear" w:pos="360"/>
          <w:tab w:val="left" w:pos="-7371" w:leader="none"/>
          <w:tab w:val="left" w:pos="-3544" w:leader="none"/>
          <w:tab w:val="left" w:pos="2025" w:leader="none"/>
        </w:tabs>
        <w:spacing w:lineRule="auto" w:line="276"/>
        <w:ind w:left="-142" w:firstLine="993"/>
        <w:rPr>
          <w:szCs w:val="24"/>
        </w:rPr>
      </w:pPr>
      <w:r>
        <w:rPr>
          <w:i/>
          <w:szCs w:val="24"/>
        </w:rPr>
        <w:t>8.2.1.3. Письмо-заявку на участие в конкурсе следует оформить на бланке участника закупки. Участник закупки присваивает письму дату и номер в соответствии с принятыми у него правилами документооборота.</w:t>
      </w:r>
    </w:p>
    <w:p>
      <w:pPr>
        <w:sectPr>
          <w:headerReference w:type="even" r:id="rId8"/>
          <w:headerReference w:type="default" r:id="rId9"/>
          <w:footerReference w:type="even" r:id="rId10"/>
          <w:footerReference w:type="default" r:id="rId11"/>
          <w:type w:val="nextPage"/>
          <w:pgSz w:w="11906" w:h="16838"/>
          <w:pgMar w:left="1077" w:right="851" w:gutter="0" w:header="315" w:top="600" w:footer="709" w:bottom="993"/>
          <w:pgNumType w:fmt="decimal"/>
          <w:formProt w:val="false"/>
          <w:textDirection w:val="lrTb"/>
          <w:docGrid w:type="default" w:linePitch="360" w:charSpace="0"/>
        </w:sectPr>
        <w:pStyle w:val="Style53"/>
        <w:widowControl w:val="false"/>
        <w:tabs>
          <w:tab w:val="clear" w:pos="360"/>
          <w:tab w:val="left" w:pos="-7371" w:leader="none"/>
          <w:tab w:val="left" w:pos="-3544" w:leader="none"/>
          <w:tab w:val="left" w:pos="2025" w:leader="none"/>
        </w:tabs>
        <w:spacing w:lineRule="auto" w:line="276"/>
        <w:ind w:left="-142" w:firstLine="993"/>
        <w:rPr>
          <w:szCs w:val="24"/>
        </w:rPr>
      </w:pPr>
      <w:r>
        <w:rPr>
          <w:i/>
          <w:szCs w:val="24"/>
        </w:rPr>
        <w:t>8.2.1.4. Письмо-заявка на участие в конкурсе должна быть подписана руководителем участника закупки или уполномоченным лицом (имеющим право осуществлять действия от имени участника закупки на основании доверенности) и скреплено печатью (при наличии).</w:t>
      </w:r>
    </w:p>
    <w:p>
      <w:pPr>
        <w:pStyle w:val="Normal"/>
        <w:tabs>
          <w:tab w:val="clear" w:pos="408"/>
          <w:tab w:val="left" w:pos="2422" w:leader="none"/>
        </w:tabs>
        <w:spacing w:before="100" w:after="100"/>
        <w:jc w:val="right"/>
        <w:rPr>
          <w:rFonts w:ascii="Times New Roman" w:hAnsi="Times New Roman" w:cs="Tahoma"/>
          <w:caps/>
          <w:vertAlign w:val="superscript"/>
        </w:rPr>
      </w:pPr>
      <w:r>
        <w:rPr>
          <w:rFonts w:cs="Tahoma" w:ascii="Times New Roman" w:hAnsi="Times New Roman"/>
          <w:caps/>
          <w:vertAlign w:val="superscript"/>
        </w:rPr>
        <w:t>Приложение к заявке на участие в конкурсе</w:t>
      </w:r>
    </w:p>
    <w:p>
      <w:pPr>
        <w:pStyle w:val="Normal"/>
        <w:tabs>
          <w:tab w:val="clear" w:pos="408"/>
          <w:tab w:val="left" w:pos="2422" w:leader="none"/>
        </w:tabs>
        <w:spacing w:before="100" w:after="100"/>
        <w:jc w:val="right"/>
        <w:rPr>
          <w:rFonts w:ascii="Times New Roman" w:hAnsi="Times New Roman" w:cs="Tahoma"/>
          <w:caps/>
          <w:vertAlign w:val="superscript"/>
        </w:rPr>
      </w:pPr>
      <w:r>
        <w:rPr>
          <w:rFonts w:cs="Tahoma" w:ascii="Times New Roman" w:hAnsi="Times New Roman"/>
          <w:caps/>
          <w:vertAlign w:val="superscript"/>
        </w:rPr>
      </w:r>
    </w:p>
    <w:p>
      <w:pPr>
        <w:pStyle w:val="Normal"/>
        <w:tabs>
          <w:tab w:val="clear" w:pos="408"/>
          <w:tab w:val="left" w:pos="2422" w:leader="none"/>
        </w:tabs>
        <w:spacing w:before="100" w:after="100"/>
        <w:jc w:val="right"/>
        <w:rPr>
          <w:rFonts w:ascii="Times New Roman" w:hAnsi="Times New Roman" w:cs="Tahoma"/>
          <w:caps/>
          <w:vertAlign w:val="superscript"/>
        </w:rPr>
      </w:pPr>
      <w:r>
        <w:rPr>
          <w:rFonts w:cs="Tahoma" w:ascii="Times New Roman" w:hAnsi="Times New Roman"/>
          <w:caps/>
          <w:vertAlign w:val="superscript"/>
        </w:rPr>
      </w:r>
    </w:p>
    <w:p>
      <w:pPr>
        <w:pStyle w:val="Normal"/>
        <w:jc w:val="center"/>
        <w:rPr>
          <w:rFonts w:ascii="Times New Roman" w:hAnsi="Times New Roman"/>
          <w:b/>
        </w:rPr>
      </w:pPr>
      <w:r>
        <w:rPr>
          <w:rFonts w:ascii="Times New Roman" w:hAnsi="Times New Roman"/>
          <w:b/>
        </w:rPr>
        <w:t>3. РЕКОМЕНДУЕМАЯ ФОРМА</w:t>
      </w:r>
    </w:p>
    <w:p>
      <w:pPr>
        <w:pStyle w:val="Normal"/>
        <w:jc w:val="center"/>
        <w:rPr>
          <w:rFonts w:ascii="Times New Roman" w:hAnsi="Times New Roman"/>
          <w:b/>
        </w:rPr>
      </w:pPr>
      <w:r>
        <w:rPr>
          <w:rFonts w:ascii="Times New Roman" w:hAnsi="Times New Roman"/>
          <w:b/>
        </w:rPr>
        <w:t>ПРЕДСТАВЛЕНИЯ ДАННЫХ ОБ УЧАСТНИКЕ ЗАКУПКИ:</w:t>
      </w:r>
    </w:p>
    <w:p>
      <w:pPr>
        <w:pStyle w:val="Normal"/>
        <w:rPr>
          <w:rFonts w:ascii="Times New Roman" w:hAnsi="Times New Roman"/>
          <w:b/>
        </w:rPr>
      </w:pPr>
      <w:r>
        <w:rPr>
          <w:rFonts w:ascii="Times New Roman" w:hAnsi="Times New Roman"/>
          <w:b/>
        </w:rPr>
      </w:r>
    </w:p>
    <w:p>
      <w:pPr>
        <w:pStyle w:val="Normal"/>
        <w:ind w:left="360" w:firstLine="540"/>
        <w:jc w:val="center"/>
        <w:rPr>
          <w:rFonts w:ascii="Times New Roman" w:hAnsi="Times New Roman"/>
          <w:b/>
        </w:rPr>
      </w:pPr>
      <w:r>
        <w:rPr>
          <w:rFonts w:ascii="Times New Roman" w:hAnsi="Times New Roman"/>
          <w:b/>
        </w:rPr>
        <w:t>Анкета ________________ (наименование Участника закупки)</w:t>
      </w:r>
    </w:p>
    <w:p>
      <w:pPr>
        <w:pStyle w:val="Normal"/>
        <w:ind w:left="360" w:firstLine="540"/>
        <w:jc w:val="center"/>
        <w:rPr>
          <w:rFonts w:ascii="Times New Roman" w:hAnsi="Times New Roman"/>
          <w:b/>
        </w:rPr>
      </w:pPr>
      <w:r>
        <w:rPr>
          <w:rFonts w:ascii="Times New Roman" w:hAnsi="Times New Roman"/>
          <w:b/>
        </w:rPr>
      </w:r>
    </w:p>
    <w:tbl>
      <w:tblPr>
        <w:tblW w:w="9478" w:type="dxa"/>
        <w:jc w:val="left"/>
        <w:tblInd w:w="-118" w:type="dxa"/>
        <w:tblLayout w:type="fixed"/>
        <w:tblCellMar>
          <w:top w:w="0" w:type="dxa"/>
          <w:left w:w="108" w:type="dxa"/>
          <w:bottom w:w="0" w:type="dxa"/>
          <w:right w:w="108" w:type="dxa"/>
        </w:tblCellMar>
        <w:tblLook w:firstRow="1" w:noVBand="1" w:lastRow="0" w:firstColumn="1" w:lastColumn="0" w:noHBand="0" w:val="04a0"/>
      </w:tblPr>
      <w:tblGrid>
        <w:gridCol w:w="835"/>
        <w:gridCol w:w="5756"/>
        <w:gridCol w:w="2887"/>
      </w:tblGrid>
      <w:tr>
        <w:trPr/>
        <w:tc>
          <w:tcPr>
            <w:tcW w:w="835"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before="0" w:after="0"/>
              <w:jc w:val="center"/>
              <w:rPr>
                <w:rFonts w:ascii="Times New Roman" w:hAnsi="Times New Roman"/>
                <w:kern w:val="2"/>
                <w:lang w:eastAsia="ru-RU"/>
              </w:rPr>
            </w:pPr>
            <w:r>
              <w:rPr>
                <w:rFonts w:ascii="Times New Roman" w:hAnsi="Times New Roman"/>
                <w:kern w:val="2"/>
                <w:lang w:eastAsia="ru-RU"/>
              </w:rPr>
              <w:t>№</w:t>
            </w:r>
          </w:p>
          <w:p>
            <w:pPr>
              <w:pStyle w:val="Normal"/>
              <w:widowControl w:val="false"/>
              <w:snapToGrid w:val="false"/>
              <w:spacing w:before="0" w:after="0"/>
              <w:jc w:val="center"/>
              <w:rPr>
                <w:rFonts w:ascii="Times New Roman" w:hAnsi="Times New Roman"/>
                <w:kern w:val="2"/>
                <w:lang w:eastAsia="ru-RU"/>
              </w:rPr>
            </w:pPr>
            <w:r>
              <w:rPr>
                <w:rFonts w:ascii="Times New Roman" w:hAnsi="Times New Roman"/>
                <w:kern w:val="2"/>
                <w:lang w:eastAsia="ru-RU"/>
              </w:rPr>
              <w:t>п/п</w:t>
            </w:r>
          </w:p>
        </w:tc>
        <w:tc>
          <w:tcPr>
            <w:tcW w:w="5756"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before="0" w:after="0"/>
              <w:jc w:val="center"/>
              <w:rPr>
                <w:rFonts w:ascii="Times New Roman" w:hAnsi="Times New Roman"/>
                <w:kern w:val="2"/>
                <w:lang w:eastAsia="ru-RU"/>
              </w:rPr>
            </w:pPr>
            <w:r>
              <w:rPr>
                <w:rFonts w:ascii="Times New Roman" w:hAnsi="Times New Roman"/>
                <w:kern w:val="2"/>
                <w:lang w:eastAsia="ru-RU"/>
              </w:rPr>
              <w:t>Наименование</w:t>
            </w:r>
          </w:p>
        </w:tc>
        <w:tc>
          <w:tcPr>
            <w:tcW w:w="28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before="0" w:after="0"/>
              <w:jc w:val="center"/>
              <w:rPr>
                <w:rFonts w:ascii="Times New Roman" w:hAnsi="Times New Roman"/>
                <w:kern w:val="2"/>
                <w:lang w:eastAsia="ru-RU"/>
              </w:rPr>
            </w:pPr>
            <w:r>
              <w:rPr>
                <w:rFonts w:ascii="Times New Roman" w:hAnsi="Times New Roman"/>
                <w:kern w:val="2"/>
                <w:lang w:eastAsia="ru-RU"/>
              </w:rPr>
              <w:t>Сведения об участнике</w:t>
            </w:r>
          </w:p>
          <w:p>
            <w:pPr>
              <w:pStyle w:val="Normal"/>
              <w:widowControl w:val="false"/>
              <w:snapToGrid w:val="false"/>
              <w:spacing w:before="0" w:after="0"/>
              <w:jc w:val="center"/>
              <w:rPr>
                <w:rFonts w:ascii="Times New Roman" w:hAnsi="Times New Roman"/>
                <w:kern w:val="2"/>
                <w:lang w:eastAsia="ru-RU"/>
              </w:rPr>
            </w:pPr>
            <w:r>
              <w:rPr>
                <w:rFonts w:ascii="Times New Roman" w:hAnsi="Times New Roman"/>
                <w:kern w:val="2"/>
                <w:lang w:eastAsia="ru-RU"/>
              </w:rPr>
              <w:t>(заполняется участником)</w:t>
            </w:r>
          </w:p>
        </w:tc>
      </w:tr>
      <w:tr>
        <w:trPr/>
        <w:tc>
          <w:tcPr>
            <w:tcW w:w="835"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before="0" w:after="0"/>
              <w:jc w:val="center"/>
              <w:rPr>
                <w:rFonts w:ascii="Times New Roman" w:hAnsi="Times New Roman"/>
                <w:kern w:val="2"/>
                <w:lang w:eastAsia="ru-RU"/>
              </w:rPr>
            </w:pPr>
            <w:r>
              <w:rPr>
                <w:rFonts w:ascii="Times New Roman" w:hAnsi="Times New Roman"/>
                <w:kern w:val="2"/>
                <w:lang w:eastAsia="ru-RU"/>
              </w:rPr>
              <w:t>1</w:t>
            </w:r>
          </w:p>
        </w:tc>
        <w:tc>
          <w:tcPr>
            <w:tcW w:w="5756"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before="0" w:after="0"/>
              <w:rPr>
                <w:rFonts w:ascii="Times New Roman" w:hAnsi="Times New Roman"/>
                <w:kern w:val="2"/>
                <w:lang w:eastAsia="ru-RU"/>
              </w:rPr>
            </w:pPr>
            <w:r>
              <w:rPr>
                <w:rFonts w:ascii="Times New Roman" w:hAnsi="Times New Roman"/>
                <w:kern w:val="2"/>
                <w:lang w:eastAsia="ru-RU"/>
              </w:rPr>
              <w:t>Фирменное наименование (полное и сокращенное наименование организации либо Ф.И.О. участника-физического лица, в том числе, зарегистрированного в качестве индивидуального предпринимателя)</w:t>
            </w:r>
          </w:p>
        </w:tc>
        <w:tc>
          <w:tcPr>
            <w:tcW w:w="28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before="0" w:after="0"/>
              <w:rPr>
                <w:rFonts w:ascii="Times New Roman" w:hAnsi="Times New Roman"/>
                <w:kern w:val="2"/>
                <w:lang w:eastAsia="ru-RU"/>
              </w:rPr>
            </w:pPr>
            <w:r>
              <w:rPr>
                <w:rFonts w:ascii="Times New Roman" w:hAnsi="Times New Roman"/>
                <w:kern w:val="2"/>
                <w:lang w:eastAsia="ru-RU"/>
              </w:rPr>
            </w:r>
          </w:p>
        </w:tc>
      </w:tr>
      <w:tr>
        <w:trPr/>
        <w:tc>
          <w:tcPr>
            <w:tcW w:w="835"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before="0" w:after="0"/>
              <w:jc w:val="center"/>
              <w:rPr>
                <w:rFonts w:ascii="Times New Roman" w:hAnsi="Times New Roman"/>
                <w:kern w:val="2"/>
                <w:lang w:eastAsia="ru-RU"/>
              </w:rPr>
            </w:pPr>
            <w:r>
              <w:rPr>
                <w:rFonts w:ascii="Times New Roman" w:hAnsi="Times New Roman"/>
                <w:kern w:val="2"/>
                <w:lang w:eastAsia="ru-RU"/>
              </w:rPr>
              <w:t>2</w:t>
            </w:r>
          </w:p>
        </w:tc>
        <w:tc>
          <w:tcPr>
            <w:tcW w:w="5756"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before="0" w:after="0"/>
              <w:rPr>
                <w:rFonts w:ascii="Times New Roman" w:hAnsi="Times New Roman"/>
                <w:kern w:val="2"/>
                <w:lang w:eastAsia="ru-RU"/>
              </w:rPr>
            </w:pPr>
            <w:r>
              <w:rPr>
                <w:rFonts w:ascii="Times New Roman" w:hAnsi="Times New Roman"/>
                <w:kern w:val="2"/>
                <w:lang w:eastAsia="ru-RU"/>
              </w:rPr>
              <w:t>Юридический адрес</w:t>
            </w:r>
          </w:p>
        </w:tc>
        <w:tc>
          <w:tcPr>
            <w:tcW w:w="28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before="0" w:after="0"/>
              <w:rPr>
                <w:rFonts w:ascii="Times New Roman" w:hAnsi="Times New Roman"/>
                <w:kern w:val="2"/>
                <w:lang w:eastAsia="ru-RU"/>
              </w:rPr>
            </w:pPr>
            <w:r>
              <w:rPr>
                <w:rFonts w:ascii="Times New Roman" w:hAnsi="Times New Roman"/>
                <w:kern w:val="2"/>
                <w:lang w:eastAsia="ru-RU"/>
              </w:rPr>
            </w:r>
          </w:p>
        </w:tc>
      </w:tr>
      <w:tr>
        <w:trPr/>
        <w:tc>
          <w:tcPr>
            <w:tcW w:w="835"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before="0" w:after="0"/>
              <w:jc w:val="center"/>
              <w:rPr>
                <w:rFonts w:ascii="Times New Roman" w:hAnsi="Times New Roman"/>
                <w:kern w:val="2"/>
                <w:lang w:eastAsia="ru-RU"/>
              </w:rPr>
            </w:pPr>
            <w:r>
              <w:rPr>
                <w:rFonts w:ascii="Times New Roman" w:hAnsi="Times New Roman"/>
                <w:kern w:val="2"/>
                <w:lang w:eastAsia="ru-RU"/>
              </w:rPr>
              <w:t>3</w:t>
            </w:r>
          </w:p>
        </w:tc>
        <w:tc>
          <w:tcPr>
            <w:tcW w:w="5756"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before="0" w:after="0"/>
              <w:rPr>
                <w:rFonts w:ascii="Times New Roman" w:hAnsi="Times New Roman"/>
                <w:kern w:val="2"/>
                <w:lang w:eastAsia="ru-RU"/>
              </w:rPr>
            </w:pPr>
            <w:r>
              <w:rPr>
                <w:rFonts w:ascii="Times New Roman" w:hAnsi="Times New Roman"/>
                <w:kern w:val="2"/>
                <w:lang w:eastAsia="ru-RU"/>
              </w:rPr>
              <w:t>Фактический  адрес</w:t>
            </w:r>
          </w:p>
        </w:tc>
        <w:tc>
          <w:tcPr>
            <w:tcW w:w="28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before="0" w:after="0"/>
              <w:rPr>
                <w:rFonts w:ascii="Times New Roman" w:hAnsi="Times New Roman"/>
                <w:kern w:val="2"/>
                <w:lang w:eastAsia="ru-RU"/>
              </w:rPr>
            </w:pPr>
            <w:r>
              <w:rPr>
                <w:rFonts w:ascii="Times New Roman" w:hAnsi="Times New Roman"/>
                <w:kern w:val="2"/>
                <w:lang w:eastAsia="ru-RU"/>
              </w:rPr>
            </w:r>
          </w:p>
        </w:tc>
      </w:tr>
      <w:tr>
        <w:trPr/>
        <w:tc>
          <w:tcPr>
            <w:tcW w:w="835"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before="0" w:after="0"/>
              <w:jc w:val="center"/>
              <w:rPr>
                <w:rFonts w:ascii="Times New Roman" w:hAnsi="Times New Roman"/>
                <w:kern w:val="2"/>
                <w:lang w:eastAsia="ru-RU"/>
              </w:rPr>
            </w:pPr>
            <w:r>
              <w:rPr>
                <w:rFonts w:ascii="Times New Roman" w:hAnsi="Times New Roman"/>
                <w:kern w:val="2"/>
                <w:lang w:eastAsia="ru-RU"/>
              </w:rPr>
              <w:t>4</w:t>
            </w:r>
          </w:p>
        </w:tc>
        <w:tc>
          <w:tcPr>
            <w:tcW w:w="5756"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before="0" w:after="0"/>
              <w:rPr>
                <w:rFonts w:ascii="Times New Roman" w:hAnsi="Times New Roman"/>
                <w:kern w:val="2"/>
                <w:lang w:eastAsia="ru-RU"/>
              </w:rPr>
            </w:pPr>
            <w:r>
              <w:rPr>
                <w:rFonts w:ascii="Times New Roman" w:hAnsi="Times New Roman"/>
                <w:kern w:val="2"/>
                <w:lang w:eastAsia="ru-RU"/>
              </w:rPr>
              <w:t>Телефон/факс</w:t>
            </w:r>
          </w:p>
        </w:tc>
        <w:tc>
          <w:tcPr>
            <w:tcW w:w="28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before="0" w:after="0"/>
              <w:rPr>
                <w:rFonts w:ascii="Times New Roman" w:hAnsi="Times New Roman"/>
                <w:kern w:val="2"/>
                <w:lang w:eastAsia="ru-RU"/>
              </w:rPr>
            </w:pPr>
            <w:r>
              <w:rPr>
                <w:rFonts w:ascii="Times New Roman" w:hAnsi="Times New Roman"/>
                <w:kern w:val="2"/>
                <w:lang w:eastAsia="ru-RU"/>
              </w:rPr>
            </w:r>
          </w:p>
        </w:tc>
      </w:tr>
      <w:tr>
        <w:trPr/>
        <w:tc>
          <w:tcPr>
            <w:tcW w:w="835"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before="0" w:after="0"/>
              <w:jc w:val="center"/>
              <w:rPr>
                <w:rFonts w:ascii="Times New Roman" w:hAnsi="Times New Roman"/>
                <w:kern w:val="2"/>
                <w:lang w:eastAsia="ru-RU"/>
              </w:rPr>
            </w:pPr>
            <w:r>
              <w:rPr>
                <w:rFonts w:ascii="Times New Roman" w:hAnsi="Times New Roman"/>
                <w:kern w:val="2"/>
                <w:lang w:eastAsia="ru-RU"/>
              </w:rPr>
              <w:t>5</w:t>
            </w:r>
          </w:p>
        </w:tc>
        <w:tc>
          <w:tcPr>
            <w:tcW w:w="5756"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before="0" w:after="0"/>
              <w:rPr>
                <w:rFonts w:ascii="Times New Roman" w:hAnsi="Times New Roman"/>
                <w:kern w:val="2"/>
                <w:lang w:eastAsia="ru-RU"/>
              </w:rPr>
            </w:pPr>
            <w:r>
              <w:rPr>
                <w:rFonts w:ascii="Times New Roman" w:hAnsi="Times New Roman"/>
                <w:kern w:val="2"/>
                <w:lang w:eastAsia="ru-RU"/>
              </w:rPr>
              <w:t>Адрес электронной почты</w:t>
            </w:r>
          </w:p>
        </w:tc>
        <w:tc>
          <w:tcPr>
            <w:tcW w:w="28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before="0" w:after="0"/>
              <w:rPr>
                <w:rFonts w:ascii="Times New Roman" w:hAnsi="Times New Roman"/>
                <w:kern w:val="2"/>
                <w:lang w:eastAsia="ru-RU"/>
              </w:rPr>
            </w:pPr>
            <w:r>
              <w:rPr>
                <w:rFonts w:ascii="Times New Roman" w:hAnsi="Times New Roman"/>
                <w:kern w:val="2"/>
                <w:lang w:eastAsia="ru-RU"/>
              </w:rPr>
            </w:r>
          </w:p>
        </w:tc>
      </w:tr>
      <w:tr>
        <w:trPr/>
        <w:tc>
          <w:tcPr>
            <w:tcW w:w="835"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before="0" w:after="0"/>
              <w:jc w:val="center"/>
              <w:rPr>
                <w:rFonts w:ascii="Times New Roman" w:hAnsi="Times New Roman"/>
                <w:kern w:val="2"/>
                <w:lang w:eastAsia="ru-RU"/>
              </w:rPr>
            </w:pPr>
            <w:r>
              <w:rPr>
                <w:rFonts w:ascii="Times New Roman" w:hAnsi="Times New Roman"/>
                <w:kern w:val="2"/>
                <w:lang w:eastAsia="ru-RU"/>
              </w:rPr>
              <w:t>6</w:t>
            </w:r>
          </w:p>
        </w:tc>
        <w:tc>
          <w:tcPr>
            <w:tcW w:w="5756"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before="0" w:after="0"/>
              <w:rPr>
                <w:rFonts w:ascii="Times New Roman" w:hAnsi="Times New Roman"/>
                <w:kern w:val="2"/>
                <w:lang w:eastAsia="ru-RU"/>
              </w:rPr>
            </w:pPr>
            <w:r>
              <w:rPr>
                <w:rFonts w:ascii="Times New Roman" w:hAnsi="Times New Roman"/>
                <w:kern w:val="2"/>
                <w:lang w:eastAsia="ru-RU"/>
              </w:rPr>
              <w:t>ИНН / КПП</w:t>
            </w:r>
          </w:p>
        </w:tc>
        <w:tc>
          <w:tcPr>
            <w:tcW w:w="28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before="0" w:after="0"/>
              <w:rPr>
                <w:rFonts w:ascii="Times New Roman" w:hAnsi="Times New Roman"/>
                <w:kern w:val="2"/>
                <w:lang w:eastAsia="ru-RU"/>
              </w:rPr>
            </w:pPr>
            <w:r>
              <w:rPr>
                <w:rFonts w:ascii="Times New Roman" w:hAnsi="Times New Roman"/>
                <w:kern w:val="2"/>
                <w:lang w:eastAsia="ru-RU"/>
              </w:rPr>
            </w:r>
          </w:p>
        </w:tc>
      </w:tr>
      <w:tr>
        <w:trPr/>
        <w:tc>
          <w:tcPr>
            <w:tcW w:w="835"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before="0" w:after="0"/>
              <w:jc w:val="center"/>
              <w:rPr>
                <w:rFonts w:ascii="Times New Roman" w:hAnsi="Times New Roman"/>
                <w:kern w:val="2"/>
                <w:lang w:eastAsia="ru-RU"/>
              </w:rPr>
            </w:pPr>
            <w:r>
              <w:rPr>
                <w:rFonts w:ascii="Times New Roman" w:hAnsi="Times New Roman"/>
                <w:kern w:val="2"/>
                <w:lang w:eastAsia="ru-RU"/>
              </w:rPr>
              <w:t>7</w:t>
            </w:r>
          </w:p>
        </w:tc>
        <w:tc>
          <w:tcPr>
            <w:tcW w:w="5756"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before="0" w:after="0"/>
              <w:rPr>
                <w:rFonts w:ascii="Times New Roman" w:hAnsi="Times New Roman"/>
                <w:kern w:val="2"/>
                <w:lang w:eastAsia="ru-RU"/>
              </w:rPr>
            </w:pPr>
            <w:r>
              <w:rPr>
                <w:rFonts w:ascii="Times New Roman" w:hAnsi="Times New Roman"/>
                <w:kern w:val="2"/>
                <w:lang w:eastAsia="ru-RU"/>
              </w:rPr>
              <w:t>ОГРН</w:t>
            </w:r>
          </w:p>
        </w:tc>
        <w:tc>
          <w:tcPr>
            <w:tcW w:w="28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before="0" w:after="0"/>
              <w:rPr>
                <w:rFonts w:ascii="Times New Roman" w:hAnsi="Times New Roman"/>
                <w:kern w:val="2"/>
                <w:lang w:eastAsia="ru-RU"/>
              </w:rPr>
            </w:pPr>
            <w:r>
              <w:rPr>
                <w:rFonts w:ascii="Times New Roman" w:hAnsi="Times New Roman"/>
                <w:kern w:val="2"/>
                <w:lang w:eastAsia="ru-RU"/>
              </w:rPr>
            </w:r>
          </w:p>
        </w:tc>
      </w:tr>
      <w:tr>
        <w:trPr/>
        <w:tc>
          <w:tcPr>
            <w:tcW w:w="835"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before="0" w:after="0"/>
              <w:jc w:val="center"/>
              <w:rPr>
                <w:rFonts w:ascii="Times New Roman" w:hAnsi="Times New Roman"/>
                <w:kern w:val="2"/>
                <w:lang w:eastAsia="ru-RU"/>
              </w:rPr>
            </w:pPr>
            <w:r>
              <w:rPr>
                <w:rFonts w:ascii="Times New Roman" w:hAnsi="Times New Roman"/>
                <w:kern w:val="2"/>
                <w:lang w:eastAsia="ru-RU"/>
              </w:rPr>
              <w:t>8</w:t>
            </w:r>
          </w:p>
        </w:tc>
        <w:tc>
          <w:tcPr>
            <w:tcW w:w="5756"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before="0" w:after="0"/>
              <w:rPr>
                <w:rFonts w:ascii="Times New Roman" w:hAnsi="Times New Roman"/>
                <w:kern w:val="2"/>
                <w:lang w:eastAsia="ru-RU"/>
              </w:rPr>
            </w:pPr>
            <w:r>
              <w:rPr>
                <w:rFonts w:ascii="Times New Roman" w:hAnsi="Times New Roman"/>
                <w:kern w:val="2"/>
                <w:lang w:eastAsia="ru-RU"/>
              </w:rPr>
              <w:t>ОКПО</w:t>
            </w:r>
          </w:p>
        </w:tc>
        <w:tc>
          <w:tcPr>
            <w:tcW w:w="28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before="0" w:after="0"/>
              <w:rPr>
                <w:rFonts w:ascii="Times New Roman" w:hAnsi="Times New Roman"/>
                <w:kern w:val="2"/>
                <w:lang w:eastAsia="ru-RU"/>
              </w:rPr>
            </w:pPr>
            <w:r>
              <w:rPr>
                <w:rFonts w:ascii="Times New Roman" w:hAnsi="Times New Roman"/>
                <w:kern w:val="2"/>
                <w:lang w:eastAsia="ru-RU"/>
              </w:rPr>
            </w:r>
          </w:p>
        </w:tc>
      </w:tr>
      <w:tr>
        <w:trPr/>
        <w:tc>
          <w:tcPr>
            <w:tcW w:w="835" w:type="dxa"/>
            <w:tcBorders>
              <w:left w:val="single" w:sz="4" w:space="0" w:color="000000"/>
              <w:bottom w:val="single" w:sz="4" w:space="0" w:color="000000"/>
            </w:tcBorders>
            <w:shd w:color="auto" w:fill="auto" w:val="clear"/>
          </w:tcPr>
          <w:p>
            <w:pPr>
              <w:pStyle w:val="Normal"/>
              <w:widowControl w:val="false"/>
              <w:snapToGrid w:val="false"/>
              <w:spacing w:before="0" w:after="0"/>
              <w:jc w:val="center"/>
              <w:rPr>
                <w:rFonts w:ascii="Times New Roman" w:hAnsi="Times New Roman"/>
                <w:kern w:val="2"/>
                <w:lang w:eastAsia="ru-RU"/>
              </w:rPr>
            </w:pPr>
            <w:r>
              <w:rPr>
                <w:rFonts w:ascii="Times New Roman" w:hAnsi="Times New Roman"/>
                <w:kern w:val="2"/>
                <w:lang w:eastAsia="ru-RU"/>
              </w:rPr>
              <w:t>9</w:t>
            </w:r>
          </w:p>
        </w:tc>
        <w:tc>
          <w:tcPr>
            <w:tcW w:w="5756" w:type="dxa"/>
            <w:tcBorders>
              <w:left w:val="single" w:sz="4" w:space="0" w:color="000000"/>
              <w:bottom w:val="single" w:sz="4" w:space="0" w:color="000000"/>
            </w:tcBorders>
            <w:shd w:color="auto" w:fill="auto" w:val="clear"/>
          </w:tcPr>
          <w:p>
            <w:pPr>
              <w:pStyle w:val="Normal"/>
              <w:widowControl w:val="false"/>
              <w:snapToGrid w:val="false"/>
              <w:spacing w:before="0" w:after="0"/>
              <w:rPr>
                <w:rFonts w:ascii="Times New Roman" w:hAnsi="Times New Roman"/>
                <w:kern w:val="2"/>
                <w:lang w:eastAsia="ru-RU"/>
              </w:rPr>
            </w:pPr>
            <w:r>
              <w:rPr>
                <w:rFonts w:ascii="Times New Roman" w:hAnsi="Times New Roman"/>
                <w:kern w:val="2"/>
                <w:lang w:eastAsia="ru-RU"/>
              </w:rPr>
              <w:t>Система налогооблажения</w:t>
            </w:r>
          </w:p>
        </w:tc>
        <w:tc>
          <w:tcPr>
            <w:tcW w:w="2887" w:type="dxa"/>
            <w:tcBorders>
              <w:left w:val="single" w:sz="4" w:space="0" w:color="000000"/>
              <w:bottom w:val="single" w:sz="4" w:space="0" w:color="000000"/>
              <w:right w:val="single" w:sz="4" w:space="0" w:color="000000"/>
            </w:tcBorders>
            <w:shd w:color="auto" w:fill="auto" w:val="clear"/>
          </w:tcPr>
          <w:p>
            <w:pPr>
              <w:pStyle w:val="Normal"/>
              <w:widowControl w:val="false"/>
              <w:snapToGrid w:val="false"/>
              <w:spacing w:before="0" w:after="0"/>
              <w:rPr>
                <w:rFonts w:ascii="Times New Roman" w:hAnsi="Times New Roman"/>
                <w:kern w:val="2"/>
                <w:lang w:eastAsia="ru-RU"/>
              </w:rPr>
            </w:pPr>
            <w:r>
              <w:rPr>
                <w:rFonts w:ascii="Times New Roman" w:hAnsi="Times New Roman"/>
                <w:kern w:val="2"/>
                <w:lang w:eastAsia="ru-RU"/>
              </w:rPr>
            </w:r>
          </w:p>
        </w:tc>
      </w:tr>
      <w:tr>
        <w:trPr/>
        <w:tc>
          <w:tcPr>
            <w:tcW w:w="835"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before="0" w:after="0"/>
              <w:jc w:val="center"/>
              <w:rPr>
                <w:rFonts w:ascii="Times New Roman" w:hAnsi="Times New Roman"/>
                <w:kern w:val="2"/>
                <w:lang w:eastAsia="ru-RU"/>
              </w:rPr>
            </w:pPr>
            <w:r>
              <w:rPr>
                <w:rFonts w:ascii="Times New Roman" w:hAnsi="Times New Roman"/>
                <w:kern w:val="2"/>
                <w:lang w:eastAsia="ru-RU"/>
              </w:rPr>
              <w:t>10</w:t>
            </w:r>
          </w:p>
        </w:tc>
        <w:tc>
          <w:tcPr>
            <w:tcW w:w="5756"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before="0" w:after="0"/>
              <w:rPr>
                <w:rFonts w:ascii="Times New Roman" w:hAnsi="Times New Roman"/>
                <w:kern w:val="2"/>
                <w:lang w:eastAsia="ru-RU"/>
              </w:rPr>
            </w:pPr>
            <w:r>
              <w:rPr>
                <w:rFonts w:ascii="Times New Roman" w:hAnsi="Times New Roman"/>
                <w:kern w:val="2"/>
                <w:lang w:eastAsia="ru-RU"/>
              </w:rPr>
              <w:t>Банковские реквизиты:</w:t>
            </w:r>
          </w:p>
          <w:p>
            <w:pPr>
              <w:pStyle w:val="Normal"/>
              <w:widowControl w:val="false"/>
              <w:snapToGrid w:val="false"/>
              <w:spacing w:before="0" w:after="0"/>
              <w:rPr>
                <w:rFonts w:ascii="Times New Roman" w:hAnsi="Times New Roman"/>
                <w:kern w:val="2"/>
                <w:lang w:eastAsia="ru-RU"/>
              </w:rPr>
            </w:pPr>
            <w:r>
              <w:rPr>
                <w:rFonts w:ascii="Times New Roman" w:hAnsi="Times New Roman"/>
                <w:kern w:val="2"/>
                <w:lang w:eastAsia="ru-RU"/>
              </w:rPr>
              <w:t>Наименование обслуживающего банка</w:t>
            </w:r>
          </w:p>
          <w:p>
            <w:pPr>
              <w:pStyle w:val="Normal"/>
              <w:widowControl w:val="false"/>
              <w:snapToGrid w:val="false"/>
              <w:spacing w:before="0" w:after="0"/>
              <w:rPr>
                <w:rFonts w:ascii="Times New Roman" w:hAnsi="Times New Roman"/>
                <w:kern w:val="2"/>
                <w:lang w:eastAsia="ru-RU"/>
              </w:rPr>
            </w:pPr>
            <w:r>
              <w:rPr>
                <w:rFonts w:ascii="Times New Roman" w:hAnsi="Times New Roman"/>
                <w:kern w:val="2"/>
                <w:lang w:eastAsia="ru-RU"/>
              </w:rPr>
              <w:t>Расчетный счет</w:t>
            </w:r>
          </w:p>
          <w:p>
            <w:pPr>
              <w:pStyle w:val="Normal"/>
              <w:widowControl w:val="false"/>
              <w:snapToGrid w:val="false"/>
              <w:spacing w:before="0" w:after="0"/>
              <w:rPr>
                <w:rFonts w:ascii="Times New Roman" w:hAnsi="Times New Roman"/>
                <w:kern w:val="2"/>
                <w:lang w:eastAsia="ru-RU"/>
              </w:rPr>
            </w:pPr>
            <w:r>
              <w:rPr>
                <w:rFonts w:ascii="Times New Roman" w:hAnsi="Times New Roman"/>
                <w:kern w:val="2"/>
                <w:lang w:eastAsia="ru-RU"/>
              </w:rPr>
              <w:t>Корреспондентский счет</w:t>
            </w:r>
          </w:p>
          <w:p>
            <w:pPr>
              <w:pStyle w:val="Normal"/>
              <w:widowControl w:val="false"/>
              <w:snapToGrid w:val="false"/>
              <w:spacing w:before="0" w:after="0"/>
              <w:rPr>
                <w:rFonts w:ascii="Times New Roman" w:hAnsi="Times New Roman"/>
                <w:kern w:val="2"/>
                <w:lang w:eastAsia="ru-RU"/>
              </w:rPr>
            </w:pPr>
            <w:r>
              <w:rPr>
                <w:rFonts w:ascii="Times New Roman" w:hAnsi="Times New Roman"/>
                <w:kern w:val="2"/>
                <w:lang w:eastAsia="ru-RU"/>
              </w:rPr>
              <w:t>Код БИК</w:t>
            </w:r>
          </w:p>
        </w:tc>
        <w:tc>
          <w:tcPr>
            <w:tcW w:w="28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before="0" w:after="0"/>
              <w:rPr>
                <w:rFonts w:ascii="Times New Roman" w:hAnsi="Times New Roman"/>
                <w:kern w:val="2"/>
                <w:lang w:eastAsia="ru-RU"/>
              </w:rPr>
            </w:pPr>
            <w:r>
              <w:rPr>
                <w:rFonts w:ascii="Times New Roman" w:hAnsi="Times New Roman"/>
                <w:kern w:val="2"/>
                <w:lang w:eastAsia="ru-RU"/>
              </w:rPr>
            </w:r>
          </w:p>
        </w:tc>
      </w:tr>
      <w:tr>
        <w:trPr/>
        <w:tc>
          <w:tcPr>
            <w:tcW w:w="835"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before="0" w:after="0"/>
              <w:jc w:val="center"/>
              <w:rPr>
                <w:rFonts w:ascii="Times New Roman" w:hAnsi="Times New Roman"/>
                <w:kern w:val="2"/>
                <w:lang w:eastAsia="ru-RU"/>
              </w:rPr>
            </w:pPr>
            <w:r>
              <w:rPr>
                <w:rFonts w:ascii="Times New Roman" w:hAnsi="Times New Roman"/>
                <w:kern w:val="2"/>
                <w:lang w:eastAsia="ru-RU"/>
              </w:rPr>
              <w:t>11</w:t>
            </w:r>
          </w:p>
        </w:tc>
        <w:tc>
          <w:tcPr>
            <w:tcW w:w="5756"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before="0" w:after="0"/>
              <w:rPr>
                <w:rFonts w:ascii="Times New Roman" w:hAnsi="Times New Roman"/>
                <w:kern w:val="2"/>
                <w:lang w:eastAsia="ru-RU"/>
              </w:rPr>
            </w:pPr>
            <w:r>
              <w:rPr>
                <w:rFonts w:ascii="Times New Roman" w:hAnsi="Times New Roman"/>
                <w:kern w:val="2"/>
                <w:lang w:eastAsia="ru-RU"/>
              </w:rPr>
              <w:t>Ф.И.О. руководителя участника, имеющего право подписи согласно учредительным документам, с указанием должности</w:t>
            </w:r>
          </w:p>
        </w:tc>
        <w:tc>
          <w:tcPr>
            <w:tcW w:w="28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before="0" w:after="0"/>
              <w:rPr>
                <w:rFonts w:ascii="Times New Roman" w:hAnsi="Times New Roman"/>
                <w:kern w:val="2"/>
                <w:lang w:eastAsia="ru-RU"/>
              </w:rPr>
            </w:pPr>
            <w:r>
              <w:rPr>
                <w:rFonts w:ascii="Times New Roman" w:hAnsi="Times New Roman"/>
                <w:kern w:val="2"/>
                <w:lang w:eastAsia="ru-RU"/>
              </w:rPr>
            </w:r>
          </w:p>
        </w:tc>
      </w:tr>
      <w:tr>
        <w:trPr/>
        <w:tc>
          <w:tcPr>
            <w:tcW w:w="835"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before="0" w:after="0"/>
              <w:jc w:val="center"/>
              <w:rPr>
                <w:rFonts w:ascii="Times New Roman" w:hAnsi="Times New Roman"/>
                <w:kern w:val="2"/>
                <w:lang w:eastAsia="ru-RU"/>
              </w:rPr>
            </w:pPr>
            <w:r>
              <w:rPr>
                <w:rFonts w:ascii="Times New Roman" w:hAnsi="Times New Roman"/>
                <w:kern w:val="2"/>
                <w:lang w:eastAsia="ru-RU"/>
              </w:rPr>
              <w:t>12</w:t>
            </w:r>
          </w:p>
        </w:tc>
        <w:tc>
          <w:tcPr>
            <w:tcW w:w="5756" w:type="dxa"/>
            <w:tcBorders>
              <w:top w:val="single" w:sz="4" w:space="0" w:color="000000"/>
              <w:left w:val="single" w:sz="4" w:space="0" w:color="000000"/>
              <w:bottom w:val="single" w:sz="4" w:space="0" w:color="000000"/>
            </w:tcBorders>
            <w:shd w:color="auto" w:fill="auto" w:val="clear"/>
          </w:tcPr>
          <w:p>
            <w:pPr>
              <w:pStyle w:val="Normal"/>
              <w:widowControl w:val="false"/>
              <w:snapToGrid w:val="false"/>
              <w:spacing w:before="0" w:after="0"/>
              <w:rPr>
                <w:rFonts w:ascii="Times New Roman" w:hAnsi="Times New Roman"/>
                <w:kern w:val="2"/>
                <w:lang w:eastAsia="ru-RU"/>
              </w:rPr>
            </w:pPr>
            <w:r>
              <w:rPr>
                <w:rFonts w:ascii="Times New Roman" w:hAnsi="Times New Roman"/>
                <w:kern w:val="2"/>
                <w:lang w:eastAsia="ru-RU"/>
              </w:rPr>
              <w:t>Контактные лица для получения дополнительной информации об участнике (должность, Ф.И.О., телефон, электронная почта)</w:t>
            </w:r>
          </w:p>
        </w:tc>
        <w:tc>
          <w:tcPr>
            <w:tcW w:w="28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before="0" w:after="0"/>
              <w:rPr>
                <w:rFonts w:ascii="Times New Roman" w:hAnsi="Times New Roman"/>
                <w:kern w:val="2"/>
                <w:lang w:eastAsia="ru-RU"/>
              </w:rPr>
            </w:pPr>
            <w:r>
              <w:rPr>
                <w:rFonts w:ascii="Times New Roman" w:hAnsi="Times New Roman"/>
                <w:kern w:val="2"/>
                <w:lang w:eastAsia="ru-RU"/>
              </w:rPr>
            </w:r>
          </w:p>
        </w:tc>
      </w:tr>
    </w:tbl>
    <w:p>
      <w:pPr>
        <w:pStyle w:val="Normal"/>
        <w:spacing w:before="0" w:after="0"/>
        <w:jc w:val="center"/>
        <w:rPr>
          <w:rFonts w:ascii="Times New Roman" w:hAnsi="Times New Roman" w:cs="Arial"/>
          <w:b/>
        </w:rPr>
      </w:pPr>
      <w:r>
        <w:rPr>
          <w:rFonts w:cs="Arial" w:ascii="Times New Roman" w:hAnsi="Times New Roman"/>
          <w:b/>
        </w:rPr>
      </w:r>
    </w:p>
    <w:p>
      <w:pPr>
        <w:pStyle w:val="Normal"/>
        <w:spacing w:before="0" w:after="0"/>
        <w:jc w:val="center"/>
        <w:rPr>
          <w:rFonts w:ascii="Times New Roman" w:hAnsi="Times New Roman" w:cs="Arial"/>
          <w:b/>
        </w:rPr>
      </w:pPr>
      <w:r>
        <w:rPr>
          <w:rFonts w:cs="Arial" w:ascii="Times New Roman" w:hAnsi="Times New Roman"/>
          <w:b/>
        </w:rPr>
      </w:r>
    </w:p>
    <w:p>
      <w:pPr>
        <w:pStyle w:val="Normal"/>
        <w:spacing w:lineRule="atLeast" w:line="240" w:before="0" w:after="0"/>
        <w:rPr>
          <w:rFonts w:ascii="Times New Roman" w:hAnsi="Times New Roman"/>
        </w:rPr>
      </w:pPr>
      <w:r>
        <w:rPr>
          <w:rFonts w:ascii="Times New Roman" w:hAnsi="Times New Roman"/>
        </w:rPr>
        <w:t>Руководитель организации</w:t>
        <w:tab/>
        <w:tab/>
        <w:tab/>
        <w:t>___________________        _____________________</w:t>
      </w:r>
    </w:p>
    <w:p>
      <w:pPr>
        <w:pStyle w:val="Normal"/>
        <w:spacing w:lineRule="atLeast" w:line="240" w:before="0" w:after="0"/>
        <w:rPr>
          <w:rFonts w:ascii="Times New Roman" w:hAnsi="Times New Roman"/>
        </w:rPr>
      </w:pPr>
      <w:r>
        <w:rPr>
          <w:rFonts w:ascii="Times New Roman" w:hAnsi="Times New Roman"/>
          <w:vertAlign w:val="superscript"/>
        </w:rPr>
        <w:t xml:space="preserve">                                                                                                              </w:t>
      </w:r>
      <w:r>
        <w:rPr>
          <w:rFonts w:ascii="Times New Roman" w:hAnsi="Times New Roman"/>
          <w:i/>
          <w:vertAlign w:val="superscript"/>
        </w:rPr>
        <w:t>(подпись)</w:t>
      </w:r>
      <w:r>
        <w:rPr>
          <w:rFonts w:ascii="Times New Roman" w:hAnsi="Times New Roman"/>
          <w:vertAlign w:val="superscript"/>
        </w:rPr>
        <w:t xml:space="preserve">                                                    </w:t>
      </w:r>
      <w:r>
        <w:rPr>
          <w:rFonts w:ascii="Times New Roman" w:hAnsi="Times New Roman"/>
          <w:i/>
          <w:vertAlign w:val="superscript"/>
        </w:rPr>
        <w:t>(Ф.И.О.)</w:t>
      </w:r>
      <w:r>
        <w:rPr>
          <w:rFonts w:ascii="Times New Roman" w:hAnsi="Times New Roman"/>
          <w:vertAlign w:val="superscript"/>
        </w:rPr>
        <w:t xml:space="preserve">        </w:t>
      </w:r>
    </w:p>
    <w:p>
      <w:pPr>
        <w:pStyle w:val="Normal"/>
        <w:spacing w:lineRule="atLeast" w:line="240" w:before="0" w:after="0"/>
        <w:rPr>
          <w:rFonts w:ascii="Times New Roman" w:hAnsi="Times New Roman"/>
        </w:rPr>
      </w:pPr>
      <w:r>
        <w:rPr>
          <w:rFonts w:ascii="Times New Roman" w:hAnsi="Times New Roman"/>
          <w:vertAlign w:val="superscript"/>
        </w:rPr>
        <w:t xml:space="preserve">      </w:t>
      </w:r>
      <w:r>
        <w:rPr>
          <w:rFonts w:ascii="Times New Roman" w:hAnsi="Times New Roman"/>
        </w:rPr>
        <w:t>М.П. (при наличии)</w:t>
      </w:r>
    </w:p>
    <w:p>
      <w:pPr>
        <w:pStyle w:val="Normal"/>
        <w:keepNext w:val="true"/>
        <w:numPr>
          <w:ilvl w:val="0"/>
          <w:numId w:val="0"/>
        </w:numPr>
        <w:spacing w:lineRule="atLeast" w:line="240" w:before="0" w:after="0"/>
        <w:ind w:left="432" w:hanging="0"/>
        <w:outlineLvl w:val="0"/>
        <w:rPr>
          <w:b/>
          <w:kern w:val="2"/>
        </w:rPr>
      </w:pPr>
      <w:r>
        <w:rPr>
          <w:b/>
          <w:kern w:val="2"/>
        </w:rPr>
      </w:r>
    </w:p>
    <w:p>
      <w:pPr>
        <w:pStyle w:val="Normal"/>
        <w:spacing w:lineRule="atLeast" w:line="240" w:before="0" w:after="0"/>
        <w:rPr>
          <w:b/>
          <w:kern w:val="2"/>
        </w:rPr>
      </w:pPr>
      <w:r>
        <w:rPr>
          <w:b/>
          <w:kern w:val="2"/>
        </w:rPr>
      </w:r>
    </w:p>
    <w:p>
      <w:pPr>
        <w:pStyle w:val="Normal"/>
        <w:spacing w:lineRule="atLeast" w:line="240" w:before="0" w:after="0"/>
        <w:rPr>
          <w:rFonts w:ascii="Tahoma" w:hAnsi="Tahoma" w:cs="Tahoma"/>
          <w:b/>
          <w:bCs/>
          <w:caps/>
          <w:sz w:val="20"/>
          <w:szCs w:val="20"/>
          <w:vertAlign w:val="superscript"/>
        </w:rPr>
      </w:pPr>
      <w:r>
        <w:rPr>
          <w:rFonts w:cs="Tahoma" w:ascii="Tahoma" w:hAnsi="Tahoma"/>
          <w:b/>
          <w:bCs/>
          <w:caps/>
          <w:sz w:val="20"/>
          <w:szCs w:val="20"/>
          <w:vertAlign w:val="superscript"/>
        </w:rPr>
      </w:r>
    </w:p>
    <w:p>
      <w:pPr>
        <w:pStyle w:val="Normal"/>
        <w:spacing w:lineRule="atLeast" w:line="240" w:before="0" w:after="0"/>
        <w:rPr>
          <w:rFonts w:ascii="Tahoma" w:hAnsi="Tahoma" w:cs="Tahoma"/>
          <w:b/>
          <w:bCs/>
          <w:caps/>
          <w:sz w:val="20"/>
          <w:szCs w:val="20"/>
          <w:vertAlign w:val="superscript"/>
        </w:rPr>
      </w:pPr>
      <w:r>
        <w:rPr>
          <w:rFonts w:cs="Tahoma" w:ascii="Tahoma" w:hAnsi="Tahoma"/>
          <w:b/>
          <w:bCs/>
          <w:caps/>
          <w:sz w:val="20"/>
          <w:szCs w:val="20"/>
          <w:vertAlign w:val="superscript"/>
        </w:rPr>
      </w:r>
    </w:p>
    <w:p>
      <w:pPr>
        <w:pStyle w:val="Normal"/>
        <w:spacing w:lineRule="atLeast" w:line="240" w:before="0" w:after="0"/>
        <w:rPr>
          <w:rFonts w:ascii="Tahoma" w:hAnsi="Tahoma" w:cs="Tahoma"/>
          <w:b/>
          <w:bCs/>
          <w:caps/>
          <w:sz w:val="20"/>
          <w:szCs w:val="20"/>
          <w:vertAlign w:val="superscript"/>
        </w:rPr>
      </w:pPr>
      <w:r>
        <w:rPr>
          <w:rFonts w:cs="Tahoma" w:ascii="Tahoma" w:hAnsi="Tahoma"/>
          <w:b/>
          <w:bCs/>
          <w:caps/>
          <w:sz w:val="20"/>
          <w:szCs w:val="20"/>
          <w:vertAlign w:val="superscript"/>
        </w:rPr>
      </w:r>
    </w:p>
    <w:p>
      <w:pPr>
        <w:pStyle w:val="Normal"/>
        <w:spacing w:lineRule="atLeast" w:line="240" w:before="0" w:after="0"/>
        <w:rPr>
          <w:rFonts w:ascii="Tahoma" w:hAnsi="Tahoma" w:cs="Tahoma"/>
          <w:b/>
          <w:bCs/>
          <w:caps/>
          <w:sz w:val="20"/>
          <w:szCs w:val="20"/>
          <w:vertAlign w:val="superscript"/>
        </w:rPr>
      </w:pPr>
      <w:r>
        <w:rPr>
          <w:rFonts w:cs="Tahoma" w:ascii="Tahoma" w:hAnsi="Tahoma"/>
          <w:b/>
          <w:bCs/>
          <w:caps/>
          <w:sz w:val="20"/>
          <w:szCs w:val="20"/>
          <w:vertAlign w:val="superscript"/>
        </w:rPr>
      </w:r>
    </w:p>
    <w:p>
      <w:pPr>
        <w:pStyle w:val="Normal"/>
        <w:spacing w:lineRule="atLeast" w:line="240" w:before="0" w:after="0"/>
        <w:rPr>
          <w:rFonts w:ascii="Tahoma" w:hAnsi="Tahoma" w:cs="Tahoma"/>
          <w:b/>
          <w:bCs/>
          <w:caps/>
          <w:sz w:val="20"/>
          <w:szCs w:val="20"/>
          <w:vertAlign w:val="superscript"/>
        </w:rPr>
      </w:pPr>
      <w:r>
        <w:rPr>
          <w:rFonts w:cs="Tahoma" w:ascii="Tahoma" w:hAnsi="Tahoma"/>
          <w:b/>
          <w:bCs/>
          <w:caps/>
          <w:sz w:val="20"/>
          <w:szCs w:val="20"/>
          <w:vertAlign w:val="superscript"/>
        </w:rPr>
      </w:r>
    </w:p>
    <w:p>
      <w:pPr>
        <w:pStyle w:val="Normal"/>
        <w:spacing w:lineRule="atLeast" w:line="240" w:before="0" w:after="0"/>
        <w:rPr>
          <w:rFonts w:ascii="Tahoma" w:hAnsi="Tahoma" w:cs="Tahoma"/>
          <w:b/>
          <w:bCs/>
          <w:caps/>
          <w:sz w:val="20"/>
          <w:szCs w:val="20"/>
          <w:vertAlign w:val="superscript"/>
        </w:rPr>
      </w:pPr>
      <w:r>
        <w:rPr>
          <w:rFonts w:cs="Tahoma" w:ascii="Tahoma" w:hAnsi="Tahoma"/>
          <w:b/>
          <w:bCs/>
          <w:caps/>
          <w:sz w:val="20"/>
          <w:szCs w:val="20"/>
          <w:vertAlign w:val="superscript"/>
        </w:rPr>
      </w:r>
    </w:p>
    <w:p>
      <w:pPr>
        <w:pStyle w:val="Normal"/>
        <w:spacing w:lineRule="atLeast" w:line="240" w:before="0" w:after="0"/>
        <w:rPr>
          <w:rFonts w:ascii="Tahoma" w:hAnsi="Tahoma" w:cs="Tahoma"/>
          <w:b/>
          <w:bCs/>
          <w:caps/>
          <w:sz w:val="20"/>
          <w:szCs w:val="20"/>
          <w:vertAlign w:val="superscript"/>
        </w:rPr>
      </w:pPr>
      <w:r>
        <w:rPr>
          <w:rFonts w:cs="Tahoma" w:ascii="Tahoma" w:hAnsi="Tahoma"/>
          <w:b/>
          <w:bCs/>
          <w:caps/>
          <w:sz w:val="20"/>
          <w:szCs w:val="20"/>
          <w:vertAlign w:val="superscript"/>
        </w:rPr>
      </w:r>
    </w:p>
    <w:p>
      <w:pPr>
        <w:pStyle w:val="Normal"/>
        <w:spacing w:lineRule="atLeast" w:line="240" w:before="0" w:after="0"/>
        <w:rPr>
          <w:rFonts w:ascii="Tahoma" w:hAnsi="Tahoma" w:cs="Tahoma"/>
          <w:b/>
          <w:bCs/>
          <w:caps/>
          <w:sz w:val="20"/>
          <w:szCs w:val="20"/>
          <w:vertAlign w:val="superscript"/>
        </w:rPr>
      </w:pPr>
      <w:r>
        <w:rPr>
          <w:rFonts w:cs="Tahoma" w:ascii="Tahoma" w:hAnsi="Tahoma"/>
          <w:b/>
          <w:bCs/>
          <w:caps/>
          <w:sz w:val="20"/>
          <w:szCs w:val="20"/>
          <w:vertAlign w:val="superscript"/>
        </w:rPr>
      </w:r>
    </w:p>
    <w:p>
      <w:pPr>
        <w:pStyle w:val="Normal"/>
        <w:spacing w:lineRule="atLeast" w:line="240" w:before="0" w:after="0"/>
        <w:rPr>
          <w:rFonts w:ascii="Tahoma" w:hAnsi="Tahoma" w:cs="Tahoma"/>
          <w:b/>
          <w:bCs/>
          <w:caps/>
          <w:sz w:val="20"/>
          <w:szCs w:val="20"/>
          <w:vertAlign w:val="superscript"/>
        </w:rPr>
      </w:pPr>
      <w:r>
        <w:rPr>
          <w:rFonts w:cs="Tahoma" w:ascii="Tahoma" w:hAnsi="Tahoma"/>
          <w:b/>
          <w:bCs/>
          <w:caps/>
          <w:sz w:val="20"/>
          <w:szCs w:val="20"/>
          <w:vertAlign w:val="superscript"/>
        </w:rPr>
      </w:r>
    </w:p>
    <w:p>
      <w:pPr>
        <w:pStyle w:val="Normal"/>
        <w:spacing w:lineRule="atLeast" w:line="240" w:before="0" w:after="0"/>
        <w:rPr>
          <w:rFonts w:ascii="Tahoma" w:hAnsi="Tahoma" w:cs="Tahoma"/>
          <w:b/>
          <w:bCs/>
          <w:caps/>
          <w:sz w:val="20"/>
          <w:szCs w:val="20"/>
          <w:vertAlign w:val="superscript"/>
        </w:rPr>
      </w:pPr>
      <w:r>
        <w:rPr>
          <w:rFonts w:cs="Tahoma" w:ascii="Tahoma" w:hAnsi="Tahoma"/>
          <w:b/>
          <w:bCs/>
          <w:caps/>
          <w:sz w:val="20"/>
          <w:szCs w:val="20"/>
          <w:vertAlign w:val="superscript"/>
        </w:rPr>
      </w:r>
    </w:p>
    <w:p>
      <w:pPr>
        <w:pStyle w:val="Normal"/>
        <w:spacing w:lineRule="atLeast" w:line="240" w:before="0" w:after="0"/>
        <w:rPr>
          <w:rFonts w:ascii="Tahoma" w:hAnsi="Tahoma" w:cs="Tahoma"/>
          <w:b/>
          <w:bCs/>
          <w:caps/>
          <w:sz w:val="20"/>
          <w:szCs w:val="20"/>
          <w:vertAlign w:val="superscript"/>
        </w:rPr>
      </w:pPr>
      <w:r>
        <w:rPr>
          <w:rFonts w:cs="Tahoma" w:ascii="Tahoma" w:hAnsi="Tahoma"/>
          <w:b/>
          <w:bCs/>
          <w:caps/>
          <w:sz w:val="20"/>
          <w:szCs w:val="20"/>
          <w:vertAlign w:val="superscript"/>
        </w:rPr>
      </w:r>
    </w:p>
    <w:p>
      <w:pPr>
        <w:pStyle w:val="Normal"/>
        <w:keepNext w:val="true"/>
        <w:tabs>
          <w:tab w:val="clear" w:pos="408"/>
          <w:tab w:val="left" w:pos="432" w:leader="none"/>
        </w:tabs>
        <w:spacing w:lineRule="atLeast" w:line="240" w:before="0" w:after="0"/>
        <w:ind w:left="432" w:hanging="432"/>
        <w:jc w:val="center"/>
        <w:rPr/>
      </w:pPr>
      <w:r>
        <w:rPr>
          <w:rFonts w:cs="Times New Roman" w:ascii="Times New Roman" w:hAnsi="Times New Roman"/>
          <w:b/>
          <w:kern w:val="2"/>
          <w:sz w:val="26"/>
          <w:szCs w:val="26"/>
        </w:rPr>
        <w:t xml:space="preserve">4. </w:t>
      </w:r>
      <w:r>
        <w:rPr>
          <w:rFonts w:cs="Times New Roman" w:ascii="Times New Roman" w:hAnsi="Times New Roman"/>
          <w:b/>
          <w:color w:val="000000"/>
          <w:sz w:val="26"/>
          <w:szCs w:val="26"/>
        </w:rPr>
        <w:t xml:space="preserve">Сведения об успешном опыте </w:t>
      </w:r>
      <w:r>
        <w:rPr>
          <w:rFonts w:cs="Times New Roman" w:ascii="Times New Roman" w:hAnsi="Times New Roman"/>
          <w:b/>
          <w:sz w:val="26"/>
          <w:szCs w:val="26"/>
        </w:rPr>
        <w:t xml:space="preserve">Участника закупки </w:t>
      </w:r>
      <w:r>
        <w:rPr>
          <w:rFonts w:cs="Times New Roman" w:ascii="Times New Roman" w:hAnsi="Times New Roman"/>
          <w:b/>
          <w:color w:val="000000"/>
          <w:sz w:val="26"/>
          <w:szCs w:val="26"/>
        </w:rPr>
        <w:t xml:space="preserve">выполнению аналогичных </w:t>
      </w:r>
      <w:r>
        <w:rPr>
          <w:rFonts w:cs="Times New Roman" w:ascii="Times New Roman" w:hAnsi="Times New Roman"/>
          <w:b/>
          <w:sz w:val="26"/>
          <w:szCs w:val="26"/>
        </w:rPr>
        <w:t xml:space="preserve">работ </w:t>
      </w:r>
      <w:r>
        <w:rPr>
          <w:rFonts w:cs="Times New Roman" w:ascii="Times New Roman" w:hAnsi="Times New Roman"/>
          <w:b/>
          <w:color w:val="000000"/>
          <w:sz w:val="26"/>
          <w:szCs w:val="26"/>
        </w:rPr>
        <w:t xml:space="preserve">по договорам (контрактам), заключенным не ранее 2023 года. </w:t>
      </w:r>
      <w:r>
        <w:rPr>
          <w:rFonts w:cs="Times New Roman" w:ascii="Times New Roman" w:hAnsi="Times New Roman"/>
          <w:color w:val="000000"/>
          <w:sz w:val="26"/>
          <w:szCs w:val="26"/>
        </w:rPr>
        <w:t>*</w:t>
      </w:r>
    </w:p>
    <w:p>
      <w:pPr>
        <w:pStyle w:val="Normal"/>
        <w:widowControl w:val="false"/>
        <w:spacing w:lineRule="auto" w:line="276"/>
        <w:jc w:val="center"/>
        <w:rPr>
          <w:i/>
          <w:i/>
        </w:rPr>
      </w:pPr>
      <w:r>
        <w:rPr>
          <w:i/>
        </w:rPr>
      </w:r>
    </w:p>
    <w:p>
      <w:pPr>
        <w:pStyle w:val="Normal"/>
        <w:widowControl w:val="false"/>
        <w:spacing w:lineRule="auto" w:line="276"/>
        <w:jc w:val="center"/>
        <w:rPr>
          <w:i/>
          <w:i/>
        </w:rPr>
      </w:pPr>
      <w:r>
        <w:rPr>
          <w:i/>
        </w:rPr>
        <w:t>_________________________________________________________________________________</w:t>
      </w:r>
    </w:p>
    <w:p>
      <w:pPr>
        <w:pStyle w:val="Normal"/>
        <w:widowControl w:val="false"/>
        <w:spacing w:lineRule="auto" w:line="276"/>
        <w:jc w:val="center"/>
        <w:rPr>
          <w:i/>
          <w:i/>
        </w:rPr>
      </w:pPr>
      <w:r>
        <w:rPr>
          <w:i/>
        </w:rPr>
        <w:t>(полное наименование участника закупки с указанием организационно-правовой формы (при наличии)</w:t>
      </w:r>
    </w:p>
    <w:p>
      <w:pPr>
        <w:pStyle w:val="Normal"/>
        <w:widowControl w:val="false"/>
        <w:rPr>
          <w:i/>
          <w:i/>
        </w:rPr>
      </w:pPr>
      <w:r>
        <w:rPr>
          <w:i/>
        </w:rPr>
      </w:r>
    </w:p>
    <w:tbl>
      <w:tblPr>
        <w:tblW w:w="5000" w:type="pct"/>
        <w:jc w:val="left"/>
        <w:tblInd w:w="-206" w:type="dxa"/>
        <w:tblLayout w:type="fixed"/>
        <w:tblCellMar>
          <w:top w:w="0" w:type="dxa"/>
          <w:left w:w="108" w:type="dxa"/>
          <w:bottom w:w="0" w:type="dxa"/>
          <w:right w:w="108" w:type="dxa"/>
        </w:tblCellMar>
        <w:tblLook w:firstRow="1" w:noVBand="1" w:lastRow="0" w:firstColumn="1" w:lastColumn="0" w:noHBand="0" w:val="04a0"/>
      </w:tblPr>
      <w:tblGrid>
        <w:gridCol w:w="491"/>
        <w:gridCol w:w="2113"/>
        <w:gridCol w:w="1147"/>
        <w:gridCol w:w="1185"/>
        <w:gridCol w:w="1545"/>
        <w:gridCol w:w="1421"/>
        <w:gridCol w:w="2079"/>
      </w:tblGrid>
      <w:tr>
        <w:trPr>
          <w:trHeight w:val="580" w:hRule="atLeast"/>
        </w:trPr>
        <w:tc>
          <w:tcPr>
            <w:tcW w:w="49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i/>
                <w:i/>
              </w:rPr>
            </w:pPr>
            <w:r>
              <w:rPr>
                <w:b/>
                <w:i/>
              </w:rPr>
              <w:t>№</w:t>
            </w:r>
          </w:p>
          <w:p>
            <w:pPr>
              <w:pStyle w:val="Normal"/>
              <w:widowControl w:val="false"/>
              <w:spacing w:before="0" w:after="160"/>
              <w:jc w:val="center"/>
              <w:rPr>
                <w:b/>
                <w:i/>
                <w:i/>
              </w:rPr>
            </w:pPr>
            <w:r>
              <w:rPr>
                <w:b/>
                <w:i/>
              </w:rPr>
              <w:t>п/п</w:t>
            </w:r>
          </w:p>
        </w:tc>
        <w:tc>
          <w:tcPr>
            <w:tcW w:w="211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rPr>
                <w:b/>
                <w:i/>
                <w:i/>
              </w:rPr>
            </w:pPr>
            <w:r>
              <w:rPr>
                <w:b/>
                <w:i/>
              </w:rPr>
              <w:t>Наименование и характеристика договора</w:t>
            </w:r>
          </w:p>
        </w:tc>
        <w:tc>
          <w:tcPr>
            <w:tcW w:w="233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rPr>
                <w:b/>
                <w:i/>
                <w:i/>
              </w:rPr>
            </w:pPr>
            <w:r>
              <w:rPr>
                <w:b/>
                <w:i/>
              </w:rPr>
              <w:t>Период выполнения договора</w:t>
            </w:r>
          </w:p>
        </w:tc>
        <w:tc>
          <w:tcPr>
            <w:tcW w:w="154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rPr>
                <w:b/>
                <w:i/>
                <w:i/>
              </w:rPr>
            </w:pPr>
            <w:r>
              <w:rPr>
                <w:b/>
                <w:i/>
              </w:rPr>
              <w:t>Особые условия выполнения работ</w:t>
            </w:r>
          </w:p>
        </w:tc>
        <w:tc>
          <w:tcPr>
            <w:tcW w:w="142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rPr>
                <w:b/>
                <w:i/>
                <w:i/>
              </w:rPr>
            </w:pPr>
            <w:r>
              <w:rPr>
                <w:b/>
                <w:i/>
              </w:rPr>
              <w:t>Цена договора</w:t>
            </w:r>
          </w:p>
        </w:tc>
        <w:tc>
          <w:tcPr>
            <w:tcW w:w="207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rPr>
                <w:b/>
                <w:i/>
                <w:i/>
              </w:rPr>
            </w:pPr>
            <w:r>
              <w:rPr>
                <w:b/>
                <w:i/>
              </w:rPr>
              <w:t>Наименование Заказчика</w:t>
            </w:r>
          </w:p>
        </w:tc>
      </w:tr>
      <w:tr>
        <w:trPr>
          <w:trHeight w:val="521" w:hRule="atLeast"/>
        </w:trPr>
        <w:tc>
          <w:tcPr>
            <w:tcW w:w="49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before="0" w:after="160"/>
              <w:jc w:val="center"/>
              <w:rPr>
                <w:b/>
                <w:i/>
                <w:i/>
              </w:rPr>
            </w:pPr>
            <w:r>
              <w:rPr>
                <w:b/>
                <w:i/>
              </w:rPr>
            </w:r>
          </w:p>
        </w:tc>
        <w:tc>
          <w:tcPr>
            <w:tcW w:w="211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before="0" w:after="160"/>
              <w:jc w:val="center"/>
              <w:rPr>
                <w:b/>
                <w:i/>
                <w:i/>
              </w:rPr>
            </w:pPr>
            <w:r>
              <w:rPr>
                <w:b/>
                <w:i/>
              </w:rPr>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rPr>
                <w:b/>
                <w:i/>
                <w:i/>
              </w:rPr>
            </w:pPr>
            <w:r>
              <w:rPr>
                <w:b/>
                <w:i/>
              </w:rPr>
              <w:t>Дата начала</w:t>
            </w:r>
          </w:p>
        </w:tc>
        <w:tc>
          <w:tcPr>
            <w:tcW w:w="11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rPr>
                <w:b/>
                <w:i/>
                <w:i/>
              </w:rPr>
            </w:pPr>
            <w:r>
              <w:rPr>
                <w:b/>
                <w:i/>
              </w:rPr>
              <w:t>Дата окончания</w:t>
            </w:r>
          </w:p>
        </w:tc>
        <w:tc>
          <w:tcPr>
            <w:tcW w:w="154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before="0" w:after="160"/>
              <w:jc w:val="center"/>
              <w:rPr>
                <w:b/>
                <w:i/>
                <w:i/>
              </w:rPr>
            </w:pPr>
            <w:r>
              <w:rPr>
                <w:b/>
                <w:i/>
              </w:rPr>
            </w:r>
          </w:p>
        </w:tc>
        <w:tc>
          <w:tcPr>
            <w:tcW w:w="142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before="0" w:after="160"/>
              <w:jc w:val="center"/>
              <w:rPr>
                <w:b/>
                <w:i/>
                <w:i/>
              </w:rPr>
            </w:pPr>
            <w:r>
              <w:rPr>
                <w:b/>
                <w:i/>
              </w:rPr>
            </w:r>
          </w:p>
        </w:tc>
        <w:tc>
          <w:tcPr>
            <w:tcW w:w="20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before="0" w:after="160"/>
              <w:jc w:val="center"/>
              <w:rPr>
                <w:b/>
                <w:i/>
                <w:i/>
              </w:rPr>
            </w:pPr>
            <w:r>
              <w:rPr>
                <w:b/>
                <w:i/>
              </w:rPr>
            </w:r>
          </w:p>
        </w:tc>
      </w:tr>
      <w:tr>
        <w:trPr>
          <w:trHeight w:val="263" w:hRule="atLeast"/>
        </w:trPr>
        <w:tc>
          <w:tcPr>
            <w:tcW w:w="4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rPr>
                <w:i/>
                <w:i/>
              </w:rPr>
            </w:pPr>
            <w:r>
              <w:rPr>
                <w:i/>
              </w:rPr>
              <w:t>1</w:t>
            </w:r>
          </w:p>
        </w:tc>
        <w:tc>
          <w:tcPr>
            <w:tcW w:w="21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rPr>
                <w:i/>
                <w:i/>
              </w:rPr>
            </w:pPr>
            <w:r>
              <w:rPr>
                <w:i/>
              </w:rPr>
              <w:t>2</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rPr>
                <w:i/>
                <w:i/>
              </w:rPr>
            </w:pPr>
            <w:r>
              <w:rPr>
                <w:i/>
              </w:rPr>
              <w:t>3</w:t>
            </w:r>
          </w:p>
        </w:tc>
        <w:tc>
          <w:tcPr>
            <w:tcW w:w="11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rPr>
                <w:i/>
                <w:i/>
              </w:rPr>
            </w:pPr>
            <w:r>
              <w:rPr>
                <w:i/>
              </w:rPr>
              <w:t>4</w:t>
            </w:r>
          </w:p>
        </w:tc>
        <w:tc>
          <w:tcPr>
            <w:tcW w:w="15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rPr>
                <w:i/>
                <w:i/>
              </w:rPr>
            </w:pPr>
            <w:r>
              <w:rPr>
                <w:i/>
              </w:rPr>
              <w:t>4</w:t>
            </w:r>
          </w:p>
        </w:tc>
        <w:tc>
          <w:tcPr>
            <w:tcW w:w="14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rPr>
                <w:i/>
                <w:i/>
              </w:rPr>
            </w:pPr>
            <w:r>
              <w:rPr>
                <w:i/>
              </w:rPr>
              <w:t>6</w:t>
            </w:r>
          </w:p>
        </w:tc>
        <w:tc>
          <w:tcPr>
            <w:tcW w:w="20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rPr>
                <w:i/>
                <w:i/>
              </w:rPr>
            </w:pPr>
            <w:r>
              <w:rPr>
                <w:i/>
              </w:rPr>
              <w:t>7</w:t>
            </w:r>
          </w:p>
        </w:tc>
      </w:tr>
      <w:tr>
        <w:trPr/>
        <w:tc>
          <w:tcPr>
            <w:tcW w:w="4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before="0" w:after="160"/>
              <w:jc w:val="center"/>
              <w:rPr>
                <w:i/>
                <w:i/>
              </w:rPr>
            </w:pPr>
            <w:r>
              <w:rPr>
                <w:i/>
              </w:rPr>
            </w:r>
          </w:p>
        </w:tc>
        <w:tc>
          <w:tcPr>
            <w:tcW w:w="21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i/>
                <w:i/>
              </w:rPr>
            </w:pPr>
            <w:r>
              <w:rPr>
                <w:i/>
              </w:rPr>
            </w:r>
          </w:p>
          <w:p>
            <w:pPr>
              <w:pStyle w:val="Normal"/>
              <w:widowControl w:val="false"/>
              <w:spacing w:before="0" w:after="160"/>
              <w:jc w:val="center"/>
              <w:rPr>
                <w:i/>
                <w:i/>
              </w:rPr>
            </w:pPr>
            <w:r>
              <w:rPr>
                <w:i/>
              </w:rPr>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before="0" w:after="160"/>
              <w:jc w:val="center"/>
              <w:rPr>
                <w:i/>
                <w:i/>
              </w:rPr>
            </w:pPr>
            <w:r>
              <w:rPr>
                <w:i/>
              </w:rPr>
            </w:r>
          </w:p>
        </w:tc>
        <w:tc>
          <w:tcPr>
            <w:tcW w:w="11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before="0" w:after="160"/>
              <w:jc w:val="center"/>
              <w:rPr>
                <w:i/>
                <w:i/>
              </w:rPr>
            </w:pPr>
            <w:r>
              <w:rPr>
                <w:i/>
              </w:rPr>
            </w:r>
          </w:p>
        </w:tc>
        <w:tc>
          <w:tcPr>
            <w:tcW w:w="15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before="0" w:after="160"/>
              <w:jc w:val="center"/>
              <w:rPr>
                <w:i/>
                <w:i/>
              </w:rPr>
            </w:pPr>
            <w:r>
              <w:rPr>
                <w:i/>
              </w:rPr>
            </w:r>
          </w:p>
        </w:tc>
        <w:tc>
          <w:tcPr>
            <w:tcW w:w="14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before="0" w:after="160"/>
              <w:jc w:val="center"/>
              <w:rPr>
                <w:i/>
                <w:i/>
              </w:rPr>
            </w:pPr>
            <w:r>
              <w:rPr>
                <w:i/>
              </w:rPr>
            </w:r>
          </w:p>
        </w:tc>
        <w:tc>
          <w:tcPr>
            <w:tcW w:w="20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before="0" w:after="160"/>
              <w:jc w:val="center"/>
              <w:rPr>
                <w:i/>
                <w:i/>
              </w:rPr>
            </w:pPr>
            <w:r>
              <w:rPr>
                <w:i/>
              </w:rPr>
            </w:r>
          </w:p>
        </w:tc>
      </w:tr>
      <w:tr>
        <w:trPr/>
        <w:tc>
          <w:tcPr>
            <w:tcW w:w="4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before="0" w:after="160"/>
              <w:jc w:val="center"/>
              <w:rPr>
                <w:i/>
                <w:i/>
              </w:rPr>
            </w:pPr>
            <w:r>
              <w:rPr>
                <w:i/>
              </w:rPr>
            </w:r>
          </w:p>
        </w:tc>
        <w:tc>
          <w:tcPr>
            <w:tcW w:w="21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i/>
                <w:i/>
              </w:rPr>
            </w:pPr>
            <w:r>
              <w:rPr>
                <w:i/>
              </w:rPr>
            </w:r>
          </w:p>
          <w:p>
            <w:pPr>
              <w:pStyle w:val="Normal"/>
              <w:widowControl w:val="false"/>
              <w:spacing w:before="0" w:after="160"/>
              <w:jc w:val="center"/>
              <w:rPr>
                <w:i/>
                <w:i/>
              </w:rPr>
            </w:pPr>
            <w:r>
              <w:rPr>
                <w:i/>
              </w:rPr>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before="0" w:after="160"/>
              <w:jc w:val="center"/>
              <w:rPr>
                <w:i/>
                <w:i/>
              </w:rPr>
            </w:pPr>
            <w:r>
              <w:rPr>
                <w:i/>
              </w:rPr>
            </w:r>
          </w:p>
        </w:tc>
        <w:tc>
          <w:tcPr>
            <w:tcW w:w="11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before="0" w:after="160"/>
              <w:jc w:val="center"/>
              <w:rPr>
                <w:i/>
                <w:i/>
              </w:rPr>
            </w:pPr>
            <w:r>
              <w:rPr>
                <w:i/>
              </w:rPr>
            </w:r>
          </w:p>
        </w:tc>
        <w:tc>
          <w:tcPr>
            <w:tcW w:w="15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before="0" w:after="160"/>
              <w:jc w:val="center"/>
              <w:rPr>
                <w:i/>
                <w:i/>
              </w:rPr>
            </w:pPr>
            <w:r>
              <w:rPr>
                <w:i/>
              </w:rPr>
            </w:r>
          </w:p>
        </w:tc>
        <w:tc>
          <w:tcPr>
            <w:tcW w:w="14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before="0" w:after="160"/>
              <w:jc w:val="center"/>
              <w:rPr>
                <w:i/>
                <w:i/>
              </w:rPr>
            </w:pPr>
            <w:r>
              <w:rPr>
                <w:i/>
              </w:rPr>
            </w:r>
          </w:p>
        </w:tc>
        <w:tc>
          <w:tcPr>
            <w:tcW w:w="20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before="0" w:after="160"/>
              <w:jc w:val="center"/>
              <w:rPr>
                <w:i/>
                <w:i/>
              </w:rPr>
            </w:pPr>
            <w:r>
              <w:rPr>
                <w:i/>
              </w:rPr>
            </w:r>
          </w:p>
        </w:tc>
      </w:tr>
      <w:tr>
        <w:trPr/>
        <w:tc>
          <w:tcPr>
            <w:tcW w:w="4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before="0" w:after="160"/>
              <w:jc w:val="center"/>
              <w:rPr>
                <w:i/>
                <w:i/>
              </w:rPr>
            </w:pPr>
            <w:r>
              <w:rPr>
                <w:i/>
              </w:rPr>
            </w:r>
          </w:p>
        </w:tc>
        <w:tc>
          <w:tcPr>
            <w:tcW w:w="21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i/>
                <w:i/>
              </w:rPr>
            </w:pPr>
            <w:r>
              <w:rPr>
                <w:i/>
              </w:rPr>
            </w:r>
          </w:p>
          <w:p>
            <w:pPr>
              <w:pStyle w:val="Normal"/>
              <w:widowControl w:val="false"/>
              <w:spacing w:before="0" w:after="160"/>
              <w:jc w:val="center"/>
              <w:rPr>
                <w:i/>
                <w:i/>
              </w:rPr>
            </w:pPr>
            <w:r>
              <w:rPr>
                <w:i/>
              </w:rPr>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before="0" w:after="160"/>
              <w:jc w:val="center"/>
              <w:rPr>
                <w:i/>
                <w:i/>
              </w:rPr>
            </w:pPr>
            <w:r>
              <w:rPr>
                <w:i/>
              </w:rPr>
            </w:r>
          </w:p>
        </w:tc>
        <w:tc>
          <w:tcPr>
            <w:tcW w:w="11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before="0" w:after="160"/>
              <w:jc w:val="center"/>
              <w:rPr>
                <w:i/>
                <w:i/>
              </w:rPr>
            </w:pPr>
            <w:r>
              <w:rPr>
                <w:i/>
              </w:rPr>
            </w:r>
          </w:p>
        </w:tc>
        <w:tc>
          <w:tcPr>
            <w:tcW w:w="15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before="0" w:after="160"/>
              <w:jc w:val="center"/>
              <w:rPr>
                <w:i/>
                <w:i/>
              </w:rPr>
            </w:pPr>
            <w:r>
              <w:rPr>
                <w:i/>
              </w:rPr>
            </w:r>
          </w:p>
        </w:tc>
        <w:tc>
          <w:tcPr>
            <w:tcW w:w="14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before="0" w:after="160"/>
              <w:jc w:val="center"/>
              <w:rPr>
                <w:i/>
                <w:i/>
              </w:rPr>
            </w:pPr>
            <w:r>
              <w:rPr>
                <w:i/>
              </w:rPr>
            </w:r>
          </w:p>
        </w:tc>
        <w:tc>
          <w:tcPr>
            <w:tcW w:w="20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before="0" w:after="160"/>
              <w:jc w:val="center"/>
              <w:rPr>
                <w:i/>
                <w:i/>
              </w:rPr>
            </w:pPr>
            <w:r>
              <w:rPr>
                <w:i/>
              </w:rPr>
            </w:r>
          </w:p>
        </w:tc>
      </w:tr>
    </w:tbl>
    <w:p>
      <w:pPr>
        <w:pStyle w:val="Normal"/>
        <w:widowControl w:val="false"/>
        <w:spacing w:lineRule="auto" w:line="276"/>
        <w:jc w:val="both"/>
        <w:rPr>
          <w:i/>
          <w:i/>
        </w:rPr>
      </w:pPr>
      <w:r>
        <w:rPr>
          <w:i/>
        </w:rPr>
      </w:r>
    </w:p>
    <w:p>
      <w:pPr>
        <w:pStyle w:val="Normal"/>
        <w:widowControl w:val="false"/>
        <w:spacing w:lineRule="auto" w:line="276"/>
        <w:jc w:val="both"/>
        <w:rPr>
          <w:i/>
          <w:i/>
        </w:rPr>
      </w:pPr>
      <w:r>
        <w:rPr>
          <w:i/>
        </w:rPr>
        <w:t>Примечание: Участник закупки в подтверждение исполненных договоров прикладывает копии договоров (со всеми приложениями, дополнительными соглашениями, спецификациями и прочее), копии Актов выполненных работ.</w:t>
      </w:r>
    </w:p>
    <w:p>
      <w:pPr>
        <w:pStyle w:val="Normal"/>
        <w:keepNext w:val="true"/>
        <w:widowControl w:val="false"/>
        <w:numPr>
          <w:ilvl w:val="0"/>
          <w:numId w:val="0"/>
        </w:numPr>
        <w:tabs>
          <w:tab w:val="clear" w:pos="408"/>
          <w:tab w:val="left" w:pos="432" w:leader="none"/>
        </w:tabs>
        <w:spacing w:lineRule="auto" w:line="276" w:before="0" w:after="0"/>
        <w:ind w:left="432" w:hanging="432"/>
        <w:jc w:val="center"/>
        <w:outlineLvl w:val="0"/>
        <w:rPr>
          <w:rFonts w:ascii="Times New Roman" w:hAnsi="Times New Roman"/>
          <w:b/>
          <w:kern w:val="2"/>
        </w:rPr>
      </w:pPr>
      <w:r>
        <w:rPr/>
      </w:r>
    </w:p>
    <w:sectPr>
      <w:headerReference w:type="even" r:id="rId12"/>
      <w:headerReference w:type="default" r:id="rId13"/>
      <w:headerReference w:type="first" r:id="rId14"/>
      <w:footerReference w:type="even" r:id="rId15"/>
      <w:footerReference w:type="default" r:id="rId16"/>
      <w:footerReference w:type="first" r:id="rId17"/>
      <w:type w:val="nextPage"/>
      <w:pgSz w:w="11906" w:h="16838"/>
      <w:pgMar w:left="1134" w:right="790" w:gutter="0" w:header="0" w:top="1134" w:footer="1134" w:bottom="1191"/>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Calibri Light">
    <w:charset w:val="cc"/>
    <w:family w:val="roman"/>
    <w:pitch w:val="variable"/>
  </w:font>
  <w:font w:name="Times New Roman">
    <w:charset w:val="cc"/>
    <w:family w:val="roman"/>
    <w:pitch w:val="variable"/>
  </w:font>
  <w:font w:name="Tahoma">
    <w:charset w:val="cc"/>
    <w:family w:val="roman"/>
    <w:pitch w:val="variable"/>
  </w:font>
  <w:font w:name="Liberation Sans">
    <w:altName w:val="Arial"/>
    <w:charset w:val="cc"/>
    <w:family w:val="roman"/>
    <w:pitch w:val="variable"/>
  </w:font>
  <w:font w:name="Arial">
    <w:charset w:val="cc"/>
    <w:family w:val="roman"/>
    <w:pitch w:val="variable"/>
  </w:font>
  <w:font w:name="Courier New">
    <w:charset w:val="cc"/>
    <w:family w:val="roman"/>
    <w:pitch w:val="variable"/>
  </w:font>
  <w:font w:name="Franklin Gothic Book">
    <w:charset w:val="cc"/>
    <w:family w:val="roman"/>
    <w:pitch w:val="variable"/>
  </w:font>
  <w:font w:name="Liberation Mono">
    <w:altName w:val="Courier New"/>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9"/>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3"/>
      <w:spacing w:before="0" w:after="120"/>
      <w:ind w:right="360" w:hanging="0"/>
      <w:rPr/>
    </w:pPr>
    <w:r>
      <w:rPr/>
      <mc:AlternateContent>
        <mc:Choice Requires="wps">
          <w:drawing>
            <wp:anchor behindDoc="1" distT="0" distB="2540" distL="0" distR="0" simplePos="0" locked="0" layoutInCell="0" allowOverlap="1" relativeHeight="33">
              <wp:simplePos x="0" y="0"/>
              <wp:positionH relativeFrom="margin">
                <wp:align>right</wp:align>
              </wp:positionH>
              <wp:positionV relativeFrom="paragraph">
                <wp:posOffset>635</wp:posOffset>
              </wp:positionV>
              <wp:extent cx="760730" cy="116840"/>
              <wp:effectExtent l="0" t="0" r="0" b="0"/>
              <wp:wrapSquare wrapText="bothSides"/>
              <wp:docPr id="2" name="Врезка1"/>
              <a:graphic xmlns:a="http://schemas.openxmlformats.org/drawingml/2006/main">
                <a:graphicData uri="http://schemas.microsoft.com/office/word/2010/wordprocessingShape">
                  <wps:wsp>
                    <wps:cNvSpPr/>
                    <wps:spPr>
                      <a:xfrm>
                        <a:off x="0" y="0"/>
                        <a:ext cx="760680" cy="117000"/>
                      </a:xfrm>
                      <a:prstGeom prst="rect">
                        <a:avLst/>
                      </a:prstGeom>
                      <a:noFill/>
                      <a:ln w="0">
                        <a:noFill/>
                      </a:ln>
                    </wps:spPr>
                    <wps:style>
                      <a:lnRef idx="0"/>
                      <a:fillRef idx="0"/>
                      <a:effectRef idx="0"/>
                      <a:fontRef idx="minor"/>
                    </wps:style>
                    <wps:txbx>
                      <w:txbxContent>
                        <w:p>
                          <w:pPr>
                            <w:pStyle w:val="BodyText3"/>
                            <w:spacing w:before="0" w:after="120"/>
                            <w:rPr>
                              <w:color w:val="000000"/>
                            </w:rPr>
                          </w:pPr>
                          <w:r>
                            <w:rPr>
                              <w:color w:val="000000"/>
                            </w:rPr>
                            <w:fldChar w:fldCharType="begin"/>
                          </w:r>
                          <w:r>
                            <w:rPr>
                              <w:color w:val="000000"/>
                            </w:rPr>
                            <w:instrText xml:space="preserve"> PAGE </w:instrText>
                          </w:r>
                          <w:r>
                            <w:rPr>
                              <w:color w:val="000000"/>
                            </w:rPr>
                            <w:fldChar w:fldCharType="separate"/>
                          </w:r>
                          <w:r>
                            <w:rPr>
                              <w:color w:val="000000"/>
                            </w:rPr>
                            <w:t>1</w:t>
                          </w:r>
                          <w:r>
                            <w:rPr>
                              <w:color w:val="000000"/>
                            </w:rPr>
                            <w:fldChar w:fldCharType="end"/>
                          </w:r>
                        </w:p>
                      </w:txbxContent>
                    </wps:txbx>
                    <wps:bodyPr lIns="0" rIns="0" tIns="0" bIns="0" anchor="t">
                      <a:noAutofit/>
                    </wps:bodyPr>
                  </wps:wsp>
                </a:graphicData>
              </a:graphic>
            </wp:anchor>
          </w:drawing>
        </mc:Choice>
        <mc:Fallback>
          <w:pict>
            <v:rect id="shape_0" ID="Врезка1" path="m0,0l-2147483645,0l-2147483645,-2147483646l0,-2147483646xe" stroked="f" o:allowincell="f" style="position:absolute;margin-left:438.95pt;margin-top:0.05pt;width:59.85pt;height:9.15pt;mso-wrap-style:square;v-text-anchor:top;mso-position-horizontal:right;mso-position-horizontal-relative:margin">
              <v:fill o:detectmouseclick="t" on="false"/>
              <v:stroke color="#3465a4" joinstyle="round" endcap="flat"/>
              <v:textbox>
                <w:txbxContent>
                  <w:p>
                    <w:pPr>
                      <w:pStyle w:val="BodyText3"/>
                      <w:spacing w:before="0" w:after="120"/>
                      <w:rPr>
                        <w:color w:val="000000"/>
                      </w:rPr>
                    </w:pPr>
                    <w:r>
                      <w:rPr>
                        <w:color w:val="000000"/>
                      </w:rPr>
                      <w:fldChar w:fldCharType="begin"/>
                    </w:r>
                    <w:r>
                      <w:rPr>
                        <w:color w:val="000000"/>
                      </w:rPr>
                      <w:instrText xml:space="preserve"> PAGE </w:instrText>
                    </w:r>
                    <w:r>
                      <w:rPr>
                        <w:color w:val="000000"/>
                      </w:rPr>
                      <w:fldChar w:fldCharType="separate"/>
                    </w:r>
                    <w:r>
                      <w:rPr>
                        <w:color w:val="000000"/>
                      </w:rPr>
                      <w:t>1</w:t>
                    </w:r>
                    <w:r>
                      <w:rPr>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9"/>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9"/>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7"/>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7"/>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59" w:before="0" w:after="160"/>
      <w:jc w:val="lef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59" w:before="0" w:after="160"/>
      <w:jc w:val="lef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3"/>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2.%3."/>
      <w:lvlJc w:val="left"/>
      <w:pPr>
        <w:tabs>
          <w:tab w:val="num" w:pos="2160"/>
        </w:tabs>
        <w:ind w:left="2160" w:hanging="360"/>
      </w:pPr>
      <w:rPr/>
    </w:lvl>
    <w:lvl w:ilvl="3">
      <w:start w:val="1"/>
      <w:numFmt w:val="decimal"/>
      <w:lvlText w:val="%2.%3.%4."/>
      <w:lvlJc w:val="left"/>
      <w:pPr>
        <w:tabs>
          <w:tab w:val="num" w:pos="2880"/>
        </w:tabs>
        <w:ind w:left="2880" w:hanging="360"/>
      </w:pPr>
      <w:rPr/>
    </w:lvl>
    <w:lvl w:ilvl="4">
      <w:start w:val="1"/>
      <w:numFmt w:val="decimal"/>
      <w:lvlText w:val="%2.%3.%4.%5."/>
      <w:lvlJc w:val="left"/>
      <w:pPr>
        <w:tabs>
          <w:tab w:val="num" w:pos="3600"/>
        </w:tabs>
        <w:ind w:left="3600" w:hanging="360"/>
      </w:pPr>
      <w:rPr/>
    </w:lvl>
    <w:lvl w:ilvl="5">
      <w:start w:val="1"/>
      <w:numFmt w:val="decimal"/>
      <w:lvlText w:val="%2.%3.%4.%5.%6."/>
      <w:lvlJc w:val="left"/>
      <w:pPr>
        <w:tabs>
          <w:tab w:val="num" w:pos="4320"/>
        </w:tabs>
        <w:ind w:left="4320" w:hanging="360"/>
      </w:pPr>
      <w:rPr/>
    </w:lvl>
    <w:lvl w:ilvl="6">
      <w:start w:val="1"/>
      <w:numFmt w:val="decimal"/>
      <w:lvlText w:val="%2.%3.%4.%5.%6.%7."/>
      <w:lvlJc w:val="left"/>
      <w:pPr>
        <w:tabs>
          <w:tab w:val="num" w:pos="5040"/>
        </w:tabs>
        <w:ind w:left="5040" w:hanging="360"/>
      </w:pPr>
      <w:rPr/>
    </w:lvl>
    <w:lvl w:ilvl="7">
      <w:start w:val="1"/>
      <w:numFmt w:val="decimal"/>
      <w:lvlText w:val="%2.%3.%4.%5.%6.%7.%8."/>
      <w:lvlJc w:val="left"/>
      <w:pPr>
        <w:tabs>
          <w:tab w:val="num" w:pos="5760"/>
        </w:tabs>
        <w:ind w:left="5760" w:hanging="360"/>
      </w:pPr>
      <w:rPr/>
    </w:lvl>
    <w:lvl w:ilvl="8">
      <w:start w:val="1"/>
      <w:numFmt w:val="decimal"/>
      <w:lvlText w:val="%2.%3.%4.%5.%6.%7.%8.%9."/>
      <w:lvlJc w:val="left"/>
      <w:pPr>
        <w:tabs>
          <w:tab w:val="num" w:pos="6480"/>
        </w:tabs>
        <w:ind w:left="6480" w:hanging="360"/>
      </w:pPr>
      <w:rPr/>
    </w:lvl>
  </w:abstractNum>
  <w:abstractNum w:abstractNumId="3">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4">
    <w:lvl w:ilvl="0">
      <w:start w:val="1"/>
      <w:numFmt w:val="decimal"/>
      <w:lvlText w:val="%1."/>
      <w:lvlJc w:val="left"/>
      <w:pPr>
        <w:tabs>
          <w:tab w:val="num" w:pos="0"/>
        </w:tabs>
        <w:ind w:left="495" w:hanging="495"/>
      </w:pPr>
      <w:rPr/>
    </w:lvl>
    <w:lvl w:ilvl="1">
      <w:start w:val="1"/>
      <w:numFmt w:val="decimal"/>
      <w:lvlText w:val="%1.%2."/>
      <w:lvlJc w:val="left"/>
      <w:pPr>
        <w:tabs>
          <w:tab w:val="num" w:pos="0"/>
        </w:tabs>
        <w:ind w:left="495" w:hanging="495"/>
      </w:pPr>
      <w:rPr/>
    </w:lvl>
    <w:lvl w:ilvl="2">
      <w:start w:val="1"/>
      <w:numFmt w:val="decimal"/>
      <w:lvlText w:val="%1.%2.%3."/>
      <w:lvlJc w:val="left"/>
      <w:pPr>
        <w:tabs>
          <w:tab w:val="num" w:pos="0"/>
        </w:tabs>
        <w:ind w:left="720" w:hanging="720"/>
      </w:pPr>
      <w:rPr>
        <w:sz w:val="24"/>
        <w:szCs w:val="24"/>
        <w:rFonts w:ascii="Times New Roman" w:hAnsi="Times New Roman" w:cs="Times New Roman"/>
      </w:rPr>
    </w:lvl>
    <w:lvl w:ilvl="3">
      <w:start w:val="1"/>
      <w:numFmt w:val="decimal"/>
      <w:lvlText w:val="%1.%2.%3.%4."/>
      <w:lvlJc w:val="left"/>
      <w:pPr>
        <w:tabs>
          <w:tab w:val="num" w:pos="0"/>
        </w:tabs>
        <w:ind w:left="720" w:hanging="720"/>
      </w:pPr>
      <w:rPr>
        <w:sz w:val="24"/>
        <w:szCs w:val="24"/>
        <w:rFonts w:ascii="Times New Roman" w:hAnsi="Times New Roman" w:cs="Times New Roman"/>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5">
    <w:lvl w:ilvl="0">
      <w:start w:val="1"/>
      <w:numFmt w:val="decimal"/>
      <w:lvlText w:val="%1."/>
      <w:lvlJc w:val="left"/>
      <w:pPr>
        <w:tabs>
          <w:tab w:val="num" w:pos="0"/>
        </w:tabs>
        <w:ind w:left="720" w:hanging="360"/>
      </w:pPr>
      <w:rPr>
        <w:sz w:val="24"/>
        <w:rFonts w:eastAsia="Times New Roman" w:cs="Times New Roman"/>
        <w:color w:val="000000"/>
      </w:rPr>
    </w:lvl>
    <w:lvl w:ilvl="1">
      <w:start w:val="4"/>
      <w:numFmt w:val="decimal"/>
      <w:lvlText w:val="%1.%2."/>
      <w:lvlJc w:val="left"/>
      <w:pPr>
        <w:tabs>
          <w:tab w:val="num" w:pos="0"/>
        </w:tabs>
        <w:ind w:left="855" w:hanging="495"/>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6">
    <w:lvl w:ilvl="0">
      <w:start w:val="1"/>
      <w:numFmt w:val="decimal"/>
      <w:lvlText w:val="%1."/>
      <w:lvlJc w:val="left"/>
      <w:pPr>
        <w:tabs>
          <w:tab w:val="num" w:pos="0"/>
        </w:tabs>
        <w:ind w:left="540" w:hanging="540"/>
      </w:pPr>
      <w:rPr/>
    </w:lvl>
    <w:lvl w:ilvl="1">
      <w:start w:val="5"/>
      <w:numFmt w:val="decimal"/>
      <w:lvlText w:val="%1.%2."/>
      <w:lvlJc w:val="left"/>
      <w:pPr>
        <w:tabs>
          <w:tab w:val="num" w:pos="0"/>
        </w:tabs>
        <w:ind w:left="824" w:hanging="540"/>
      </w:pPr>
      <w:rPr/>
    </w:lvl>
    <w:lvl w:ilvl="2">
      <w:start w:val="3"/>
      <w:numFmt w:val="decimal"/>
      <w:lvlText w:val="%1.%2.%3."/>
      <w:lvlJc w:val="left"/>
      <w:pPr>
        <w:tabs>
          <w:tab w:val="num" w:pos="0"/>
        </w:tabs>
        <w:ind w:left="1288" w:hanging="720"/>
      </w:pPr>
      <w:rPr/>
    </w:lvl>
    <w:lvl w:ilvl="3">
      <w:start w:val="1"/>
      <w:numFmt w:val="decimal"/>
      <w:lvlText w:val="%1.%2.%3.%4."/>
      <w:lvlJc w:val="left"/>
      <w:pPr>
        <w:tabs>
          <w:tab w:val="num" w:pos="0"/>
        </w:tabs>
        <w:ind w:left="1572" w:hanging="720"/>
      </w:pPr>
      <w:rPr/>
    </w:lvl>
    <w:lvl w:ilvl="4">
      <w:start w:val="1"/>
      <w:numFmt w:val="decimal"/>
      <w:lvlText w:val="%1.%2.%3.%4.%5."/>
      <w:lvlJc w:val="left"/>
      <w:pPr>
        <w:tabs>
          <w:tab w:val="num" w:pos="0"/>
        </w:tabs>
        <w:ind w:left="2216" w:hanging="1080"/>
      </w:pPr>
      <w:rPr/>
    </w:lvl>
    <w:lvl w:ilvl="5">
      <w:start w:val="1"/>
      <w:numFmt w:val="decimal"/>
      <w:lvlText w:val="%1.%2.%3.%4.%5.%6."/>
      <w:lvlJc w:val="left"/>
      <w:pPr>
        <w:tabs>
          <w:tab w:val="num" w:pos="0"/>
        </w:tabs>
        <w:ind w:left="2500" w:hanging="1080"/>
      </w:pPr>
      <w:rPr/>
    </w:lvl>
    <w:lvl w:ilvl="6">
      <w:start w:val="1"/>
      <w:numFmt w:val="decimal"/>
      <w:lvlText w:val="%1.%2.%3.%4.%5.%6.%7."/>
      <w:lvlJc w:val="left"/>
      <w:pPr>
        <w:tabs>
          <w:tab w:val="num" w:pos="0"/>
        </w:tabs>
        <w:ind w:left="3144" w:hanging="1440"/>
      </w:pPr>
      <w:rPr/>
    </w:lvl>
    <w:lvl w:ilvl="7">
      <w:start w:val="1"/>
      <w:numFmt w:val="decimal"/>
      <w:lvlText w:val="%1.%2.%3.%4.%5.%6.%7.%8."/>
      <w:lvlJc w:val="left"/>
      <w:pPr>
        <w:tabs>
          <w:tab w:val="num" w:pos="0"/>
        </w:tabs>
        <w:ind w:left="3428" w:hanging="1440"/>
      </w:pPr>
      <w:rPr/>
    </w:lvl>
    <w:lvl w:ilvl="8">
      <w:start w:val="1"/>
      <w:numFmt w:val="decimal"/>
      <w:lvlText w:val="%1.%2.%3.%4.%5.%6.%7.%8.%9."/>
      <w:lvlJc w:val="left"/>
      <w:pPr>
        <w:tabs>
          <w:tab w:val="num" w:pos="0"/>
        </w:tabs>
        <w:ind w:left="4072" w:hanging="1800"/>
      </w:pPr>
      <w:rPr/>
    </w:lvl>
  </w:abstractNum>
  <w:abstractNum w:abstractNumId="7">
    <w:lvl w:ilvl="0">
      <w:start w:val="1"/>
      <w:numFmt w:val="decimal"/>
      <w:lvlText w:val="%1."/>
      <w:lvlJc w:val="left"/>
      <w:pPr>
        <w:tabs>
          <w:tab w:val="num" w:pos="0"/>
        </w:tabs>
        <w:ind w:left="540" w:hanging="540"/>
      </w:pPr>
      <w:rPr/>
    </w:lvl>
    <w:lvl w:ilvl="1">
      <w:start w:val="6"/>
      <w:numFmt w:val="decimal"/>
      <w:lvlText w:val="%1.%2."/>
      <w:lvlJc w:val="left"/>
      <w:pPr>
        <w:tabs>
          <w:tab w:val="num" w:pos="0"/>
        </w:tabs>
        <w:ind w:left="540" w:hanging="540"/>
      </w:pPr>
      <w:rPr/>
    </w:lvl>
    <w:lvl w:ilvl="2">
      <w:start w:val="4"/>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10"/>
  <w:defaultTabStop w:val="408"/>
  <w:autoHyphenation w:val="true"/>
  <w:evenAndOddHeader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DejaVu Sans"/>
        <w:szCs w:val="24"/>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DejaVu Sans"/>
      <w:color w:val="auto"/>
      <w:kern w:val="0"/>
      <w:sz w:val="22"/>
      <w:szCs w:val="22"/>
      <w:lang w:val="ru-RU" w:eastAsia="en-US" w:bidi="ar-SA"/>
    </w:rPr>
  </w:style>
  <w:style w:type="paragraph" w:styleId="1">
    <w:name w:val="Heading 1"/>
    <w:basedOn w:val="Normal"/>
    <w:next w:val="Normal"/>
    <w:qFormat/>
    <w:pPr>
      <w:keepNext w:val="true"/>
      <w:keepLines/>
      <w:spacing w:before="240" w:after="0"/>
      <w:outlineLvl w:val="0"/>
    </w:pPr>
    <w:rPr>
      <w:rFonts w:ascii="Calibri Light" w:hAnsi="Calibri Light"/>
      <w:color w:val="2E74B5"/>
      <w:sz w:val="32"/>
      <w:szCs w:val="32"/>
    </w:rPr>
  </w:style>
  <w:style w:type="paragraph" w:styleId="2">
    <w:name w:val="Heading 2"/>
    <w:basedOn w:val="Normal"/>
    <w:next w:val="Normal"/>
    <w:qFormat/>
    <w:pPr>
      <w:keepNext w:val="true"/>
      <w:keepLines/>
      <w:spacing w:before="40" w:after="0"/>
      <w:outlineLvl w:val="1"/>
    </w:pPr>
    <w:rPr>
      <w:rFonts w:ascii="Calibri Light" w:hAnsi="Calibri Light"/>
      <w:color w:val="2E74B5"/>
      <w:sz w:val="26"/>
      <w:szCs w:val="26"/>
    </w:rPr>
  </w:style>
  <w:style w:type="paragraph" w:styleId="3">
    <w:name w:val="Heading 3"/>
    <w:basedOn w:val="Normal"/>
    <w:next w:val="Normal"/>
    <w:qFormat/>
    <w:pPr>
      <w:keepNext w:val="true"/>
      <w:keepLines/>
      <w:spacing w:before="40" w:after="0"/>
      <w:outlineLvl w:val="2"/>
    </w:pPr>
    <w:rPr>
      <w:rFonts w:ascii="Calibri Light" w:hAnsi="Calibri Light"/>
      <w:color w:val="1F4D78"/>
      <w:sz w:val="24"/>
      <w:szCs w:val="24"/>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qFormat/>
    <w:rPr>
      <w:rFonts w:ascii="Calibri Light" w:hAnsi="Calibri Light" w:eastAsia="Calibri" w:cs="DejaVu Sans"/>
      <w:color w:val="2E74B5"/>
      <w:sz w:val="32"/>
      <w:szCs w:val="32"/>
    </w:rPr>
  </w:style>
  <w:style w:type="character" w:styleId="31" w:customStyle="1">
    <w:name w:val="Заголовок 3 Знак"/>
    <w:basedOn w:val="DefaultParagraphFont"/>
    <w:qFormat/>
    <w:rPr>
      <w:rFonts w:ascii="Calibri Light" w:hAnsi="Calibri Light" w:eastAsia="Calibri" w:cs="DejaVu Sans"/>
      <w:color w:val="1F4D78"/>
    </w:rPr>
  </w:style>
  <w:style w:type="character" w:styleId="Style11" w:customStyle="1">
    <w:name w:val="Абзац списка Знак"/>
    <w:qFormat/>
    <w:rPr>
      <w:sz w:val="22"/>
      <w:szCs w:val="22"/>
    </w:rPr>
  </w:style>
  <w:style w:type="character" w:styleId="12" w:customStyle="1">
    <w:name w:val="Гиперссылка1"/>
    <w:basedOn w:val="DefaultParagraphFont"/>
    <w:qFormat/>
    <w:rPr>
      <w:color w:val="0563C1"/>
      <w:u w:val="single"/>
    </w:rPr>
  </w:style>
  <w:style w:type="character" w:styleId="Style12" w:customStyle="1">
    <w:name w:val="Текст сноски Знак"/>
    <w:basedOn w:val="DefaultParagraphFont"/>
    <w:qFormat/>
    <w:rPr>
      <w:sz w:val="20"/>
      <w:szCs w:val="20"/>
    </w:rPr>
  </w:style>
  <w:style w:type="character" w:styleId="Style13" w:customStyle="1">
    <w:name w:val="Символ сноски"/>
    <w:qFormat/>
    <w:rPr>
      <w:vertAlign w:val="superscript"/>
    </w:rPr>
  </w:style>
  <w:style w:type="character" w:styleId="Style14">
    <w:name w:val="Footnote Reference"/>
    <w:rPr>
      <w:vertAlign w:val="superscript"/>
    </w:rPr>
  </w:style>
  <w:style w:type="character" w:styleId="FootnoteCharacters" w:customStyle="1">
    <w:name w:val="Footnote Characters"/>
    <w:basedOn w:val="DefaultParagraphFont"/>
    <w:qFormat/>
    <w:rPr>
      <w:vertAlign w:val="superscript"/>
    </w:rPr>
  </w:style>
  <w:style w:type="character" w:styleId="Apple-converted-space" w:customStyle="1">
    <w:name w:val="apple-converted-space"/>
    <w:basedOn w:val="DefaultParagraphFont"/>
    <w:qFormat/>
    <w:rPr/>
  </w:style>
  <w:style w:type="character" w:styleId="32" w:customStyle="1">
    <w:name w:val="Основной текст 3 Знак"/>
    <w:basedOn w:val="DefaultParagraphFont"/>
    <w:qFormat/>
    <w:rPr>
      <w:rFonts w:ascii="Times New Roman" w:hAnsi="Times New Roman" w:eastAsia="Times New Roman" w:cs="Times New Roman"/>
      <w:sz w:val="16"/>
      <w:szCs w:val="16"/>
      <w:lang w:eastAsia="ru-RU"/>
    </w:rPr>
  </w:style>
  <w:style w:type="character" w:styleId="Style15" w:customStyle="1">
    <w:name w:val="Верхний колонтитул Знак"/>
    <w:basedOn w:val="DefaultParagraphFont"/>
    <w:qFormat/>
    <w:rPr>
      <w:rFonts w:ascii="Times New Roman" w:hAnsi="Times New Roman" w:eastAsia="Times New Roman" w:cs="Times New Roman"/>
      <w:lang w:eastAsia="ru-RU"/>
    </w:rPr>
  </w:style>
  <w:style w:type="character" w:styleId="Style16" w:customStyle="1">
    <w:name w:val="Основной шрифт"/>
    <w:qFormat/>
    <w:rPr/>
  </w:style>
  <w:style w:type="character" w:styleId="21" w:customStyle="1">
    <w:name w:val="Основной текст с отступом 2 Знак"/>
    <w:basedOn w:val="DefaultParagraphFont"/>
    <w:qFormat/>
    <w:rPr>
      <w:sz w:val="22"/>
      <w:szCs w:val="22"/>
    </w:rPr>
  </w:style>
  <w:style w:type="character" w:styleId="Style17" w:customStyle="1">
    <w:name w:val="Нижний колонтитул Знак"/>
    <w:basedOn w:val="DefaultParagraphFont"/>
    <w:qFormat/>
    <w:rPr>
      <w:sz w:val="22"/>
      <w:szCs w:val="22"/>
    </w:rPr>
  </w:style>
  <w:style w:type="character" w:styleId="Style18" w:customStyle="1">
    <w:name w:val="Текст выноски Знак"/>
    <w:basedOn w:val="DefaultParagraphFont"/>
    <w:qFormat/>
    <w:rPr>
      <w:rFonts w:ascii="Tahoma" w:hAnsi="Tahoma" w:cs="Tahoma"/>
      <w:sz w:val="16"/>
      <w:szCs w:val="16"/>
    </w:rPr>
  </w:style>
  <w:style w:type="character" w:styleId="Style19" w:customStyle="1">
    <w:name w:val="Текст примечания Знак"/>
    <w:basedOn w:val="DefaultParagraphFont"/>
    <w:qFormat/>
    <w:rPr>
      <w:sz w:val="20"/>
      <w:szCs w:val="20"/>
    </w:rPr>
  </w:style>
  <w:style w:type="character" w:styleId="Style20" w:customStyle="1">
    <w:name w:val="Основной текст Знак"/>
    <w:basedOn w:val="DefaultParagraphFont"/>
    <w:qFormat/>
    <w:rPr>
      <w:rFonts w:ascii="Times New Roman" w:hAnsi="Times New Roman" w:eastAsia="Times New Roman" w:cs="Times New Roman"/>
      <w:szCs w:val="20"/>
      <w:lang w:eastAsia="ru-RU"/>
    </w:rPr>
  </w:style>
  <w:style w:type="character" w:styleId="ConsPlusNormal" w:customStyle="1">
    <w:name w:val="ConsPlusNormal Знак"/>
    <w:qFormat/>
    <w:rPr>
      <w:rFonts w:ascii="Calibri" w:hAnsi="Calibri" w:eastAsia="Times New Roman" w:cs="Calibri"/>
      <w:sz w:val="22"/>
      <w:szCs w:val="20"/>
      <w:lang w:eastAsia="ru-RU"/>
    </w:rPr>
  </w:style>
  <w:style w:type="character" w:styleId="22" w:customStyle="1">
    <w:name w:val="Заголовок 2 Знак"/>
    <w:basedOn w:val="DefaultParagraphFont"/>
    <w:qFormat/>
    <w:rPr>
      <w:rFonts w:ascii="Calibri Light" w:hAnsi="Calibri Light" w:eastAsia="Calibri" w:cs="DejaVu Sans"/>
      <w:color w:val="2E74B5"/>
      <w:sz w:val="26"/>
      <w:szCs w:val="26"/>
    </w:rPr>
  </w:style>
  <w:style w:type="character" w:styleId="Style21" w:customStyle="1">
    <w:name w:val="Обычный (веб) Знак"/>
    <w:qFormat/>
    <w:rPr>
      <w:rFonts w:ascii="Times New Roman" w:hAnsi="Times New Roman" w:eastAsia="Times New Roman" w:cs="Times New Roman"/>
      <w:lang w:eastAsia="ru-RU"/>
    </w:rPr>
  </w:style>
  <w:style w:type="character" w:styleId="23" w:customStyle="1">
    <w:name w:val="Основной текст 2 Знак"/>
    <w:basedOn w:val="DefaultParagraphFont"/>
    <w:qFormat/>
    <w:rPr>
      <w:sz w:val="22"/>
      <w:szCs w:val="22"/>
    </w:rPr>
  </w:style>
  <w:style w:type="character" w:styleId="Extended-textfull" w:customStyle="1">
    <w:name w:val="extended-text__full"/>
    <w:basedOn w:val="DefaultParagraphFont"/>
    <w:qFormat/>
    <w:rPr/>
  </w:style>
  <w:style w:type="character" w:styleId="13" w:customStyle="1">
    <w:name w:val="Неразрешенное упоминание1"/>
    <w:basedOn w:val="DefaultParagraphFont"/>
    <w:qFormat/>
    <w:rPr>
      <w:color w:val="605E5C"/>
    </w:rPr>
  </w:style>
  <w:style w:type="character" w:styleId="Style22" w:customStyle="1">
    <w:name w:val="Без интервала Знак"/>
    <w:qFormat/>
    <w:rPr>
      <w:rFonts w:ascii="Calibri" w:hAnsi="Calibri" w:eastAsia="Calibri" w:cs="Times New Roman"/>
      <w:sz w:val="22"/>
      <w:szCs w:val="22"/>
    </w:rPr>
  </w:style>
  <w:style w:type="character" w:styleId="PlaceholderText">
    <w:name w:val="Placeholder Text"/>
    <w:basedOn w:val="DefaultParagraphFont"/>
    <w:qFormat/>
    <w:rPr>
      <w:color w:val="808080"/>
    </w:rPr>
  </w:style>
  <w:style w:type="character" w:styleId="Style23" w:customStyle="1">
    <w:name w:val="Основной текст с отступом Знак"/>
    <w:basedOn w:val="DefaultParagraphFont"/>
    <w:qFormat/>
    <w:rPr>
      <w:sz w:val="22"/>
      <w:szCs w:val="22"/>
    </w:rPr>
  </w:style>
  <w:style w:type="character" w:styleId="33" w:customStyle="1">
    <w:name w:val="Стиль3 Знак"/>
    <w:qFormat/>
    <w:rPr>
      <w:rFonts w:ascii="Times New Roman" w:hAnsi="Times New Roman" w:eastAsia="Times New Roman" w:cs="Times New Roman"/>
      <w:szCs w:val="20"/>
      <w:lang w:eastAsia="ru-RU"/>
    </w:rPr>
  </w:style>
  <w:style w:type="character" w:styleId="14" w:customStyle="1">
    <w:name w:val="Основной шрифт абзаца1"/>
    <w:qFormat/>
    <w:rPr/>
  </w:style>
  <w:style w:type="character" w:styleId="Blk" w:customStyle="1">
    <w:name w:val="blk"/>
    <w:basedOn w:val="14"/>
    <w:qFormat/>
    <w:rPr/>
  </w:style>
  <w:style w:type="character" w:styleId="FontStyle13" w:customStyle="1">
    <w:name w:val="Font Style13"/>
    <w:qFormat/>
    <w:rPr>
      <w:rFonts w:ascii="Times New Roman" w:hAnsi="Times New Roman" w:cs="Times New Roman"/>
      <w:sz w:val="24"/>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rFonts w:ascii="Times New Roman" w:hAnsi="Times New Roman" w:eastAsia="DejaVu Sans;Times New Roman" w:cs="Times New Roman"/>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7z0" w:customStyle="1">
    <w:name w:val="WW8Num7z0"/>
    <w:qFormat/>
    <w:rPr/>
  </w:style>
  <w:style w:type="character" w:styleId="WW8Num7z1" w:customStyle="1">
    <w:name w:val="WW8Num7z1"/>
    <w:qFormat/>
    <w:rPr/>
  </w:style>
  <w:style w:type="character" w:styleId="WW8Num7z2" w:customStyle="1">
    <w:name w:val="WW8Num7z2"/>
    <w:qFormat/>
    <w:rPr/>
  </w:style>
  <w:style w:type="character" w:styleId="WW8Num7z3" w:customStyle="1">
    <w:name w:val="WW8Num7z3"/>
    <w:qFormat/>
    <w:rPr/>
  </w:style>
  <w:style w:type="character" w:styleId="WW8Num7z4" w:customStyle="1">
    <w:name w:val="WW8Num7z4"/>
    <w:qFormat/>
    <w:rPr/>
  </w:style>
  <w:style w:type="character" w:styleId="WW8Num7z5" w:customStyle="1">
    <w:name w:val="WW8Num7z5"/>
    <w:qFormat/>
    <w:rPr/>
  </w:style>
  <w:style w:type="character" w:styleId="WW8Num7z6" w:customStyle="1">
    <w:name w:val="WW8Num7z6"/>
    <w:qFormat/>
    <w:rPr/>
  </w:style>
  <w:style w:type="character" w:styleId="WW8Num7z7" w:customStyle="1">
    <w:name w:val="WW8Num7z7"/>
    <w:qFormat/>
    <w:rPr/>
  </w:style>
  <w:style w:type="character" w:styleId="WW8Num7z8" w:customStyle="1">
    <w:name w:val="WW8Num7z8"/>
    <w:qFormat/>
    <w:rPr/>
  </w:style>
  <w:style w:type="character" w:styleId="WW8Num8z0" w:customStyle="1">
    <w:name w:val="WW8Num8z0"/>
    <w:qFormat/>
    <w:rPr/>
  </w:style>
  <w:style w:type="character" w:styleId="WW8Num8z1" w:customStyle="1">
    <w:name w:val="WW8Num8z1"/>
    <w:qFormat/>
    <w:rPr/>
  </w:style>
  <w:style w:type="character" w:styleId="WW8Num8z2" w:customStyle="1">
    <w:name w:val="WW8Num8z2"/>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WW8Num9z0" w:customStyle="1">
    <w:name w:val="WW8Num9z0"/>
    <w:qFormat/>
    <w:rPr/>
  </w:style>
  <w:style w:type="character" w:styleId="WW8Num9z1" w:customStyle="1">
    <w:name w:val="WW8Num9z1"/>
    <w:qFormat/>
    <w:rPr/>
  </w:style>
  <w:style w:type="character" w:styleId="WW8Num9z2" w:customStyle="1">
    <w:name w:val="WW8Num9z2"/>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15" w:customStyle="1">
    <w:name w:val="Просмотренная гиперссылка1"/>
    <w:qFormat/>
    <w:rPr>
      <w:color w:val="800080"/>
      <w:u w:val="single"/>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z0" w:customStyle="1">
    <w:name w:val="WW8Num1z0"/>
    <w:qFormat/>
    <w:rPr/>
  </w:style>
  <w:style w:type="character" w:styleId="Style24">
    <w:name w:val="Emphasis"/>
    <w:qFormat/>
    <w:rPr>
      <w:i/>
      <w:iCs/>
    </w:rPr>
  </w:style>
  <w:style w:type="character" w:styleId="Style25" w:customStyle="1">
    <w:name w:val="Символ нумерации"/>
    <w:qFormat/>
    <w:rPr/>
  </w:style>
  <w:style w:type="character" w:styleId="WW8Num5z0" w:customStyle="1">
    <w:name w:val="WW8Num5z0"/>
    <w:qFormat/>
    <w:rPr/>
  </w:style>
  <w:style w:type="character" w:styleId="WW8Num5z1" w:customStyle="1">
    <w:name w:val="WW8Num5z1"/>
    <w:qFormat/>
    <w:rPr/>
  </w:style>
  <w:style w:type="character" w:styleId="WW8Num5z2" w:customStyle="1">
    <w:name w:val="WW8Num5z2"/>
    <w:qFormat/>
    <w:rPr>
      <w:rFonts w:ascii="Times New Roman" w:hAnsi="Times New Roman" w:eastAsia="Times New Roman" w:cs="Times New Roman"/>
      <w:b/>
      <w:bCs/>
      <w:sz w:val="24"/>
      <w:szCs w:val="24"/>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
    <w:name w:val="Hyperlink"/>
    <w:rPr>
      <w:color w:val="000080"/>
      <w:u w:val="single"/>
    </w:rPr>
  </w:style>
  <w:style w:type="paragraph" w:styleId="Style26">
    <w:name w:val="Заголовок"/>
    <w:basedOn w:val="Normal"/>
    <w:next w:val="Style27"/>
    <w:qFormat/>
    <w:pPr>
      <w:keepNext w:val="true"/>
      <w:spacing w:before="240" w:after="120"/>
    </w:pPr>
    <w:rPr>
      <w:rFonts w:ascii="Liberation Sans" w:hAnsi="Liberation Sans" w:eastAsia="Microsoft YaHei" w:cs="Arial"/>
      <w:sz w:val="28"/>
      <w:szCs w:val="28"/>
    </w:rPr>
  </w:style>
  <w:style w:type="paragraph" w:styleId="Style27">
    <w:name w:val="Body Text"/>
    <w:basedOn w:val="Normal"/>
    <w:pPr>
      <w:spacing w:lineRule="auto" w:line="240" w:before="0" w:after="120"/>
      <w:jc w:val="both"/>
    </w:pPr>
    <w:rPr>
      <w:rFonts w:ascii="Times New Roman" w:hAnsi="Times New Roman" w:eastAsia="Times New Roman" w:cs="Times New Roman"/>
      <w:sz w:val="24"/>
      <w:szCs w:val="20"/>
      <w:lang w:eastAsia="ru-RU"/>
    </w:rPr>
  </w:style>
  <w:style w:type="paragraph" w:styleId="Style28">
    <w:name w:val="List"/>
    <w:basedOn w:val="Style27"/>
    <w:pPr/>
    <w:rPr>
      <w:rFonts w:cs="FreeSans"/>
    </w:rPr>
  </w:style>
  <w:style w:type="paragraph" w:styleId="Style29">
    <w:name w:val="Caption"/>
    <w:basedOn w:val="Normal"/>
    <w:qFormat/>
    <w:pPr>
      <w:suppressLineNumbers/>
      <w:spacing w:before="120" w:after="120"/>
    </w:pPr>
    <w:rPr>
      <w:rFonts w:cs="Arial"/>
      <w:i/>
      <w:iCs/>
      <w:sz w:val="24"/>
      <w:szCs w:val="24"/>
    </w:rPr>
  </w:style>
  <w:style w:type="paragraph" w:styleId="Style30">
    <w:name w:val="Указатель"/>
    <w:basedOn w:val="Normal"/>
    <w:qFormat/>
    <w:pPr>
      <w:suppressLineNumbers/>
    </w:pPr>
    <w:rPr>
      <w:rFonts w:cs="Arial"/>
    </w:rPr>
  </w:style>
  <w:style w:type="paragraph" w:styleId="Style31">
    <w:name w:val="Title"/>
    <w:basedOn w:val="Normal"/>
    <w:next w:val="Style27"/>
    <w:qFormat/>
    <w:pPr>
      <w:keepNext w:val="true"/>
      <w:spacing w:before="240" w:after="120"/>
    </w:pPr>
    <w:rPr>
      <w:rFonts w:ascii="Liberation Sans" w:hAnsi="Liberation Sans" w:eastAsia="Noto Sans CJK SC Regular" w:cs="FreeSans"/>
      <w:sz w:val="28"/>
      <w:szCs w:val="28"/>
    </w:rPr>
  </w:style>
  <w:style w:type="paragraph" w:styleId="Caption">
    <w:name w:val="caption"/>
    <w:basedOn w:val="Normal"/>
    <w:qFormat/>
    <w:pPr>
      <w:spacing w:before="120" w:after="120"/>
    </w:pPr>
    <w:rPr>
      <w:rFonts w:cs="FreeSans"/>
      <w:i/>
      <w:iCs/>
    </w:rPr>
  </w:style>
  <w:style w:type="paragraph" w:styleId="Indexheading">
    <w:name w:val="index heading"/>
    <w:basedOn w:val="Style31"/>
    <w:qFormat/>
    <w:pPr/>
    <w:rPr/>
  </w:style>
  <w:style w:type="paragraph" w:styleId="ListParagraph">
    <w:name w:val="List Paragraph"/>
    <w:basedOn w:val="Normal"/>
    <w:qFormat/>
    <w:pPr>
      <w:spacing w:before="0" w:after="0"/>
      <w:ind w:left="720" w:hanging="0"/>
      <w:contextualSpacing/>
    </w:pPr>
    <w:rPr/>
  </w:style>
  <w:style w:type="paragraph" w:styleId="Style32">
    <w:name w:val="Index Heading"/>
    <w:basedOn w:val="Style26"/>
    <w:pPr/>
    <w:rPr/>
  </w:style>
  <w:style w:type="paragraph" w:styleId="Style33">
    <w:name w:val="TOC Heading"/>
    <w:basedOn w:val="1"/>
    <w:next w:val="Normal"/>
    <w:qFormat/>
    <w:pPr/>
    <w:rPr>
      <w:lang w:eastAsia="ru-RU"/>
    </w:rPr>
  </w:style>
  <w:style w:type="paragraph" w:styleId="16">
    <w:name w:val="TOC 1"/>
    <w:basedOn w:val="Normal"/>
    <w:next w:val="Normal"/>
    <w:autoRedefine/>
    <w:pPr>
      <w:tabs>
        <w:tab w:val="clear" w:pos="408"/>
        <w:tab w:val="left" w:pos="426" w:leader="none"/>
        <w:tab w:val="right" w:pos="9344" w:leader="dot"/>
      </w:tabs>
      <w:spacing w:lineRule="auto" w:line="240" w:before="0" w:after="0"/>
    </w:pPr>
    <w:rPr/>
  </w:style>
  <w:style w:type="paragraph" w:styleId="NormalWeb">
    <w:name w:val="Normal (Web)"/>
    <w:basedOn w:val="Normal"/>
    <w:qFormat/>
    <w:pPr>
      <w:spacing w:lineRule="auto" w:line="240" w:before="280" w:after="280"/>
    </w:pPr>
    <w:rPr>
      <w:rFonts w:ascii="Times New Roman" w:hAnsi="Times New Roman" w:eastAsia="Times New Roman" w:cs="Times New Roman"/>
      <w:sz w:val="24"/>
      <w:szCs w:val="24"/>
      <w:lang w:eastAsia="ru-RU"/>
    </w:rPr>
  </w:style>
  <w:style w:type="paragraph" w:styleId="34">
    <w:name w:val="TOC 3"/>
    <w:basedOn w:val="Normal"/>
    <w:next w:val="Normal"/>
    <w:autoRedefine/>
    <w:pPr>
      <w:tabs>
        <w:tab w:val="clear" w:pos="408"/>
        <w:tab w:val="right" w:pos="9344" w:leader="dot"/>
      </w:tabs>
      <w:spacing w:lineRule="auto" w:line="240" w:before="0" w:after="0"/>
      <w:ind w:left="284" w:hanging="0"/>
    </w:pPr>
    <w:rPr/>
  </w:style>
  <w:style w:type="paragraph" w:styleId="Style34">
    <w:name w:val="Footnote Text"/>
    <w:basedOn w:val="Normal"/>
    <w:pPr>
      <w:spacing w:lineRule="auto" w:line="240" w:before="0" w:after="0"/>
    </w:pPr>
    <w:rPr>
      <w:sz w:val="20"/>
      <w:szCs w:val="20"/>
    </w:rPr>
  </w:style>
  <w:style w:type="paragraph" w:styleId="35" w:customStyle="1">
    <w:name w:val="Стиль3 Знак Знак"/>
    <w:basedOn w:val="BodyTextIndent2"/>
    <w:qFormat/>
    <w:pPr>
      <w:widowControl w:val="false"/>
      <w:tabs>
        <w:tab w:val="clear" w:pos="408"/>
        <w:tab w:val="left" w:pos="227" w:leader="none"/>
      </w:tabs>
      <w:spacing w:lineRule="auto" w:line="240" w:before="120" w:after="0"/>
      <w:ind w:left="0" w:hanging="0"/>
      <w:jc w:val="both"/>
      <w:textAlignment w:val="baseline"/>
    </w:pPr>
    <w:rPr>
      <w:rFonts w:ascii="Times New Roman" w:hAnsi="Times New Roman" w:eastAsia="Times New Roman" w:cs="Times New Roman"/>
      <w:sz w:val="24"/>
      <w:szCs w:val="20"/>
      <w:lang w:eastAsia="ru-RU"/>
    </w:rPr>
  </w:style>
  <w:style w:type="paragraph" w:styleId="36" w:customStyle="1">
    <w:name w:val="Стиль3"/>
    <w:basedOn w:val="BodyTextIndent2"/>
    <w:qFormat/>
    <w:pPr>
      <w:widowControl w:val="false"/>
      <w:tabs>
        <w:tab w:val="clear" w:pos="408"/>
        <w:tab w:val="left" w:pos="1307" w:leader="none"/>
      </w:tabs>
      <w:spacing w:lineRule="auto" w:line="240" w:before="120" w:after="0"/>
      <w:ind w:left="1080" w:hanging="0"/>
      <w:jc w:val="both"/>
      <w:textAlignment w:val="baseline"/>
    </w:pPr>
    <w:rPr>
      <w:rFonts w:ascii="Times New Roman" w:hAnsi="Times New Roman" w:eastAsia="Times New Roman" w:cs="Times New Roman"/>
      <w:sz w:val="24"/>
      <w:szCs w:val="20"/>
      <w:lang w:eastAsia="ru-RU"/>
    </w:rPr>
  </w:style>
  <w:style w:type="paragraph" w:styleId="BodyText3">
    <w:name w:val="Body Text 3"/>
    <w:basedOn w:val="Normal"/>
    <w:qFormat/>
    <w:pPr>
      <w:spacing w:lineRule="auto" w:line="240" w:before="0" w:after="120"/>
    </w:pPr>
    <w:rPr>
      <w:rFonts w:ascii="Times New Roman" w:hAnsi="Times New Roman" w:eastAsia="Times New Roman" w:cs="Times New Roman"/>
      <w:sz w:val="16"/>
      <w:szCs w:val="16"/>
      <w:lang w:eastAsia="ru-RU"/>
    </w:rPr>
  </w:style>
  <w:style w:type="paragraph" w:styleId="Style35" w:customStyle="1">
    <w:name w:val="Верхний и нижний колонтитулы"/>
    <w:basedOn w:val="Normal"/>
    <w:qFormat/>
    <w:pPr/>
    <w:rPr/>
  </w:style>
  <w:style w:type="paragraph" w:styleId="Style36" w:customStyle="1">
    <w:name w:val="Колонтитул"/>
    <w:basedOn w:val="Normal"/>
    <w:qFormat/>
    <w:pPr/>
    <w:rPr/>
  </w:style>
  <w:style w:type="paragraph" w:styleId="Style37">
    <w:name w:val="Header"/>
    <w:basedOn w:val="Normal"/>
    <w:pPr>
      <w:tabs>
        <w:tab w:val="clear" w:pos="408"/>
        <w:tab w:val="center" w:pos="4677" w:leader="none"/>
        <w:tab w:val="right" w:pos="9355" w:leader="none"/>
      </w:tabs>
      <w:spacing w:lineRule="auto" w:line="240" w:before="0" w:after="0"/>
    </w:pPr>
    <w:rPr>
      <w:rFonts w:ascii="Times New Roman" w:hAnsi="Times New Roman" w:eastAsia="Times New Roman" w:cs="Times New Roman"/>
      <w:sz w:val="24"/>
      <w:szCs w:val="24"/>
      <w:lang w:eastAsia="ru-RU"/>
    </w:rPr>
  </w:style>
  <w:style w:type="paragraph" w:styleId="Style38" w:customStyle="1">
    <w:name w:val="Словарная статья"/>
    <w:basedOn w:val="Normal"/>
    <w:next w:val="Normal"/>
    <w:qFormat/>
    <w:pPr>
      <w:spacing w:lineRule="auto" w:line="240" w:before="0" w:after="0"/>
      <w:ind w:right="118" w:hanging="0"/>
      <w:jc w:val="both"/>
    </w:pPr>
    <w:rPr>
      <w:rFonts w:ascii="Arial" w:hAnsi="Arial" w:eastAsia="Times New Roman" w:cs="Times New Roman"/>
      <w:sz w:val="20"/>
      <w:szCs w:val="20"/>
      <w:lang w:eastAsia="ru-RU"/>
    </w:rPr>
  </w:style>
  <w:style w:type="paragraph" w:styleId="BodyTextIndent2">
    <w:name w:val="Body Text Indent 2"/>
    <w:basedOn w:val="Normal"/>
    <w:qFormat/>
    <w:pPr>
      <w:spacing w:lineRule="auto" w:line="480" w:before="0" w:after="120"/>
      <w:ind w:left="283" w:hanging="0"/>
    </w:pPr>
    <w:rPr/>
  </w:style>
  <w:style w:type="paragraph" w:styleId="Style39">
    <w:name w:val="Footer"/>
    <w:basedOn w:val="Normal"/>
    <w:pPr>
      <w:tabs>
        <w:tab w:val="clear" w:pos="408"/>
        <w:tab w:val="center" w:pos="4677" w:leader="none"/>
        <w:tab w:val="right" w:pos="9355" w:leader="none"/>
      </w:tabs>
      <w:spacing w:lineRule="auto" w:line="240" w:before="0" w:after="0"/>
    </w:pPr>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ConsPlusNormal1" w:customStyle="1">
    <w:name w:val="ConsPlusNormal"/>
    <w:qFormat/>
    <w:pPr>
      <w:widowControl w:val="false"/>
      <w:suppressAutoHyphens w:val="true"/>
      <w:bidi w:val="0"/>
      <w:spacing w:before="0" w:after="0"/>
      <w:jc w:val="left"/>
    </w:pPr>
    <w:rPr>
      <w:rFonts w:ascii="Calibri" w:hAnsi="Calibri" w:eastAsia="Times New Roman" w:cs="Calibri"/>
      <w:color w:val="auto"/>
      <w:kern w:val="0"/>
      <w:sz w:val="22"/>
      <w:szCs w:val="20"/>
      <w:lang w:val="ru-RU" w:eastAsia="ru-RU" w:bidi="ar-SA"/>
    </w:rPr>
  </w:style>
  <w:style w:type="paragraph" w:styleId="Annotationtext">
    <w:name w:val="annotation text"/>
    <w:basedOn w:val="Normal"/>
    <w:qFormat/>
    <w:pPr>
      <w:spacing w:lineRule="auto" w:line="240"/>
    </w:pPr>
    <w:rPr>
      <w:sz w:val="20"/>
      <w:szCs w:val="20"/>
    </w:rPr>
  </w:style>
  <w:style w:type="paragraph" w:styleId="ConsPlusNonformat" w:customStyle="1">
    <w:name w:val="ConsPlusNonformat"/>
    <w:qFormat/>
    <w:pPr>
      <w:widowControl/>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Default" w:customStyle="1">
    <w:name w:val="Default"/>
    <w:qFormat/>
    <w:pPr>
      <w:widowControl/>
      <w:suppressAutoHyphens w:val="true"/>
      <w:bidi w:val="0"/>
      <w:spacing w:before="0" w:after="0"/>
      <w:jc w:val="left"/>
    </w:pPr>
    <w:rPr>
      <w:rFonts w:ascii="Times New Roman" w:hAnsi="Times New Roman" w:eastAsia="Calibri" w:cs="Times New Roman"/>
      <w:color w:val="000000"/>
      <w:kern w:val="0"/>
      <w:sz w:val="22"/>
      <w:szCs w:val="24"/>
      <w:lang w:val="ru-RU" w:eastAsia="en-US" w:bidi="ar-SA"/>
    </w:rPr>
  </w:style>
  <w:style w:type="paragraph" w:styleId="24">
    <w:name w:val="TOC 2"/>
    <w:basedOn w:val="Normal"/>
    <w:next w:val="Normal"/>
    <w:autoRedefine/>
    <w:pPr>
      <w:spacing w:before="0" w:after="100"/>
      <w:ind w:left="220" w:hanging="0"/>
    </w:pPr>
    <w:rPr/>
  </w:style>
  <w:style w:type="paragraph" w:styleId="OP111" w:customStyle="1">
    <w:name w:val="OP.1.1.1"/>
    <w:basedOn w:val="Normal"/>
    <w:autoRedefine/>
    <w:qFormat/>
    <w:pPr>
      <w:spacing w:lineRule="auto" w:line="240" w:before="0" w:after="0"/>
      <w:jc w:val="both"/>
      <w:outlineLvl w:val="2"/>
    </w:pPr>
    <w:rPr>
      <w:rFonts w:ascii="Franklin Gothic Book" w:hAnsi="Franklin Gothic Book" w:eastAsia="Times New Roman" w:cs="Times New Roman"/>
      <w:sz w:val="28"/>
      <w:szCs w:val="28"/>
      <w:lang w:eastAsia="ru-RU"/>
    </w:rPr>
  </w:style>
  <w:style w:type="paragraph" w:styleId="BodyText2">
    <w:name w:val="Body Text 2"/>
    <w:basedOn w:val="Normal"/>
    <w:qFormat/>
    <w:pPr>
      <w:spacing w:lineRule="auto" w:line="480" w:before="0" w:after="120"/>
    </w:pPr>
    <w:rPr/>
  </w:style>
  <w:style w:type="paragraph" w:styleId="Style40" w:customStyle="1">
    <w:name w:val="Тендерные данные"/>
    <w:basedOn w:val="Normal"/>
    <w:qFormat/>
    <w:pPr>
      <w:tabs>
        <w:tab w:val="clear" w:pos="408"/>
        <w:tab w:val="left" w:pos="1985" w:leader="none"/>
      </w:tabs>
      <w:spacing w:lineRule="auto" w:line="240" w:before="120" w:after="60"/>
      <w:jc w:val="both"/>
    </w:pPr>
    <w:rPr>
      <w:rFonts w:ascii="Times New Roman" w:hAnsi="Times New Roman" w:eastAsia="Times New Roman" w:cs="Times New Roman"/>
      <w:b/>
      <w:sz w:val="24"/>
      <w:szCs w:val="20"/>
      <w:lang w:eastAsia="ru-RU"/>
    </w:rPr>
  </w:style>
  <w:style w:type="paragraph" w:styleId="Style41" w:customStyle="1">
    <w:name w:val="Таблица шапка"/>
    <w:basedOn w:val="Normal"/>
    <w:qFormat/>
    <w:pPr>
      <w:keepNext w:val="true"/>
      <w:spacing w:lineRule="auto" w:line="240" w:before="40" w:after="40"/>
      <w:ind w:left="57" w:right="57" w:hanging="0"/>
    </w:pPr>
    <w:rPr>
      <w:rFonts w:ascii="Times New Roman" w:hAnsi="Times New Roman" w:eastAsia="Times New Roman" w:cs="Times New Roman"/>
      <w:szCs w:val="20"/>
      <w:lang w:eastAsia="ru-RU"/>
    </w:rPr>
  </w:style>
  <w:style w:type="paragraph" w:styleId="Style42" w:customStyle="1">
    <w:name w:val="Таблица текст"/>
    <w:basedOn w:val="Normal"/>
    <w:qFormat/>
    <w:pPr>
      <w:spacing w:lineRule="auto" w:line="240" w:before="40" w:after="40"/>
      <w:ind w:left="57" w:right="57" w:hanging="0"/>
    </w:pPr>
    <w:rPr>
      <w:rFonts w:ascii="Times New Roman" w:hAnsi="Times New Roman" w:eastAsia="Times New Roman" w:cs="Times New Roman"/>
      <w:sz w:val="24"/>
      <w:szCs w:val="20"/>
      <w:lang w:eastAsia="ru-RU"/>
    </w:rPr>
  </w:style>
  <w:style w:type="paragraph" w:styleId="Style43" w:customStyle="1">
    <w:name w:val="пункт"/>
    <w:basedOn w:val="Normal"/>
    <w:qFormat/>
    <w:pPr>
      <w:spacing w:lineRule="auto" w:line="240" w:before="60" w:after="60"/>
    </w:pPr>
    <w:rPr>
      <w:rFonts w:ascii="Times New Roman" w:hAnsi="Times New Roman" w:eastAsia="Times New Roman" w:cs="Times New Roman"/>
      <w:sz w:val="24"/>
      <w:szCs w:val="24"/>
      <w:lang w:eastAsia="ru-RU"/>
    </w:rPr>
  </w:style>
  <w:style w:type="paragraph" w:styleId="Style44" w:customStyle="1">
    <w:name w:val="САГ_Абзац"/>
    <w:basedOn w:val="Normal"/>
    <w:qFormat/>
    <w:pPr>
      <w:tabs>
        <w:tab w:val="clear" w:pos="408"/>
        <w:tab w:val="left" w:pos="0" w:leader="none"/>
      </w:tabs>
      <w:spacing w:lineRule="auto" w:line="240" w:before="0" w:after="0"/>
      <w:ind w:firstLine="567"/>
      <w:jc w:val="both"/>
    </w:pPr>
    <w:rPr>
      <w:rFonts w:ascii="Times New Roman" w:hAnsi="Times New Roman" w:eastAsia="Times New Roman" w:cs="Times New Roman"/>
      <w:sz w:val="24"/>
      <w:szCs w:val="24"/>
      <w:lang w:eastAsia="ru-RU"/>
    </w:rPr>
  </w:style>
  <w:style w:type="paragraph" w:styleId="Style45" w:customStyle="1">
    <w:name w:val="САГ_Абзац жирный"/>
    <w:basedOn w:val="Style44"/>
    <w:qFormat/>
    <w:pPr/>
    <w:rPr>
      <w:b/>
    </w:rPr>
  </w:style>
  <w:style w:type="paragraph" w:styleId="Style46" w:customStyle="1">
    <w:name w:val="САГ_Табличный_заголовки"/>
    <w:basedOn w:val="Normal"/>
    <w:qFormat/>
    <w:pPr>
      <w:keepNext w:val="true"/>
      <w:keepLines/>
      <w:spacing w:lineRule="auto" w:line="240" w:before="0" w:after="0"/>
      <w:jc w:val="center"/>
    </w:pPr>
    <w:rPr>
      <w:rFonts w:ascii="Times New Roman" w:hAnsi="Times New Roman" w:eastAsia="Times New Roman" w:cs="Times New Roman"/>
      <w:b/>
      <w:lang w:eastAsia="ru-RU"/>
    </w:rPr>
  </w:style>
  <w:style w:type="paragraph" w:styleId="37" w:customStyle="1">
    <w:name w:val="САГ_Формы Заголовок 3 (б/н)"/>
    <w:basedOn w:val="Normal"/>
    <w:qFormat/>
    <w:pPr>
      <w:keepNext w:val="true"/>
      <w:tabs>
        <w:tab w:val="clear" w:pos="408"/>
        <w:tab w:val="left" w:pos="1276" w:leader="none"/>
      </w:tabs>
      <w:spacing w:lineRule="auto" w:line="240" w:before="0" w:after="0"/>
      <w:contextualSpacing/>
      <w:jc w:val="both"/>
      <w:outlineLvl w:val="2"/>
    </w:pPr>
    <w:rPr>
      <w:rFonts w:ascii="Times New Roman" w:hAnsi="Times New Roman" w:eastAsia="Times New Roman" w:cs="Times New Roman"/>
      <w:b/>
      <w:bCs/>
      <w:szCs w:val="26"/>
      <w:lang w:eastAsia="ru-RU"/>
    </w:rPr>
  </w:style>
  <w:style w:type="paragraph" w:styleId="4" w:customStyle="1">
    <w:name w:val="САГ_Формы Пункт 4 (б/н)"/>
    <w:basedOn w:val="Normal"/>
    <w:qFormat/>
    <w:pPr>
      <w:spacing w:lineRule="auto" w:line="240" w:before="0" w:after="0"/>
      <w:jc w:val="both"/>
    </w:pPr>
    <w:rPr>
      <w:rFonts w:ascii="Times New Roman" w:hAnsi="Times New Roman" w:eastAsia="Times New Roman" w:cs="Times New Roman"/>
      <w:szCs w:val="24"/>
      <w:lang w:eastAsia="ru-RU"/>
    </w:rPr>
  </w:style>
  <w:style w:type="paragraph" w:styleId="NoSpacing">
    <w:name w:val="No Spacing"/>
    <w:qFormat/>
    <w:pPr>
      <w:widowControl/>
      <w:suppressAutoHyphens w:val="true"/>
      <w:bidi w:val="0"/>
      <w:spacing w:before="0" w:after="0"/>
      <w:jc w:val="left"/>
    </w:pPr>
    <w:rPr>
      <w:rFonts w:ascii="Calibri" w:hAnsi="Calibri" w:eastAsia="Calibri" w:cs="Times New Roman"/>
      <w:color w:val="auto"/>
      <w:kern w:val="0"/>
      <w:sz w:val="22"/>
      <w:szCs w:val="22"/>
      <w:lang w:val="ru-RU" w:eastAsia="en-US" w:bidi="ar-SA"/>
    </w:rPr>
  </w:style>
  <w:style w:type="paragraph" w:styleId="Style47">
    <w:name w:val="Body Text Indent"/>
    <w:basedOn w:val="Normal"/>
    <w:pPr>
      <w:spacing w:before="0" w:after="120"/>
      <w:ind w:left="283" w:hanging="0"/>
    </w:pPr>
    <w:rPr/>
  </w:style>
  <w:style w:type="paragraph" w:styleId="S1" w:customStyle="1">
    <w:name w:val="s_1"/>
    <w:basedOn w:val="Normal"/>
    <w:qFormat/>
    <w:pPr>
      <w:spacing w:lineRule="auto" w:line="240" w:before="280" w:after="280"/>
    </w:pPr>
    <w:rPr>
      <w:rFonts w:ascii="Times New Roman" w:hAnsi="Times New Roman" w:eastAsia="Times New Roman" w:cs="Times New Roman"/>
      <w:sz w:val="24"/>
      <w:szCs w:val="24"/>
      <w:lang w:eastAsia="ru-RU"/>
    </w:rPr>
  </w:style>
  <w:style w:type="paragraph" w:styleId="17" w:customStyle="1">
    <w:name w:val="Стиль1"/>
    <w:basedOn w:val="Normal"/>
    <w:qFormat/>
    <w:pPr>
      <w:keepNext w:val="true"/>
      <w:keepLines/>
      <w:widowControl w:val="false"/>
      <w:suppressLineNumbers/>
      <w:tabs>
        <w:tab w:val="clear" w:pos="408"/>
        <w:tab w:val="left" w:pos="432" w:leader="none"/>
      </w:tabs>
      <w:spacing w:lineRule="auto" w:line="240" w:before="0" w:after="60"/>
      <w:ind w:left="432" w:hanging="432"/>
    </w:pPr>
    <w:rPr>
      <w:rFonts w:ascii="Times New Roman" w:hAnsi="Times New Roman" w:eastAsia="Times New Roman" w:cs="Times New Roman"/>
      <w:b/>
      <w:sz w:val="28"/>
      <w:szCs w:val="24"/>
      <w:lang w:eastAsia="ru-RU"/>
    </w:rPr>
  </w:style>
  <w:style w:type="paragraph" w:styleId="Style48" w:customStyle="1">
    <w:name w:val="Содержимое врезки"/>
    <w:basedOn w:val="Normal"/>
    <w:qFormat/>
    <w:pPr/>
    <w:rPr/>
  </w:style>
  <w:style w:type="paragraph" w:styleId="ConsNormal" w:customStyle="1">
    <w:name w:val="ConsNormal"/>
    <w:qFormat/>
    <w:pPr>
      <w:widowControl w:val="false"/>
      <w:suppressAutoHyphens w:val="true"/>
      <w:bidi w:val="0"/>
      <w:spacing w:before="0" w:after="0"/>
      <w:ind w:right="19772" w:firstLine="720"/>
      <w:jc w:val="left"/>
    </w:pPr>
    <w:rPr>
      <w:rFonts w:ascii="Arial" w:hAnsi="Arial" w:eastAsia="Times New Roman" w:cs="Arial"/>
      <w:color w:val="auto"/>
      <w:kern w:val="0"/>
      <w:sz w:val="20"/>
      <w:szCs w:val="20"/>
      <w:lang w:val="ru-RU" w:eastAsia="en-US" w:bidi="ar-SA"/>
    </w:rPr>
  </w:style>
  <w:style w:type="paragraph" w:styleId="18" w:customStyle="1">
    <w:name w:val="Абзац списка1"/>
    <w:basedOn w:val="Normal"/>
    <w:qFormat/>
    <w:pPr>
      <w:ind w:left="708" w:hanging="0"/>
    </w:pPr>
    <w:rPr>
      <w:sz w:val="24"/>
      <w:szCs w:val="24"/>
    </w:rPr>
  </w:style>
  <w:style w:type="paragraph" w:styleId="Style49" w:customStyle="1">
    <w:name w:val="Текст в заданном формате"/>
    <w:basedOn w:val="Normal"/>
    <w:qFormat/>
    <w:pPr/>
    <w:rPr>
      <w:rFonts w:ascii="Liberation Mono;Courier New" w:hAnsi="Liberation Mono;Courier New" w:eastAsia="Courier New" w:cs="Liberation Mono;Courier New"/>
    </w:rPr>
  </w:style>
  <w:style w:type="paragraph" w:styleId="Style50" w:customStyle="1">
    <w:name w:val="Содержимое таблицы"/>
    <w:basedOn w:val="Normal"/>
    <w:qFormat/>
    <w:pPr>
      <w:suppressLineNumbers/>
    </w:pPr>
    <w:rPr/>
  </w:style>
  <w:style w:type="paragraph" w:styleId="Style51" w:customStyle="1">
    <w:name w:val="Заголовок таблицы"/>
    <w:basedOn w:val="Style50"/>
    <w:qFormat/>
    <w:pPr>
      <w:jc w:val="center"/>
    </w:pPr>
    <w:rPr>
      <w:b/>
      <w:bCs/>
    </w:rPr>
  </w:style>
  <w:style w:type="paragraph" w:styleId="19" w:customStyle="1">
    <w:name w:val="Без интервала1"/>
    <w:qFormat/>
    <w:pPr>
      <w:widowControl/>
      <w:suppressAutoHyphens w:val="true"/>
      <w:bidi w:val="0"/>
      <w:spacing w:before="0" w:after="0"/>
      <w:jc w:val="left"/>
    </w:pPr>
    <w:rPr>
      <w:rFonts w:ascii="Calibri" w:hAnsi="Calibri" w:eastAsia="Times New Roman" w:cs="Calibri"/>
      <w:color w:val="auto"/>
      <w:kern w:val="0"/>
      <w:sz w:val="22"/>
      <w:szCs w:val="22"/>
      <w:lang w:val="ru-RU" w:eastAsia="zh-CN" w:bidi="ar-SA"/>
    </w:rPr>
  </w:style>
  <w:style w:type="paragraph" w:styleId="110" w:customStyle="1">
    <w:name w:val="Указатель1"/>
    <w:basedOn w:val="Normal"/>
    <w:qFormat/>
    <w:pPr/>
    <w:rPr>
      <w:rFonts w:cs="FreeSans"/>
    </w:rPr>
  </w:style>
  <w:style w:type="paragraph" w:styleId="111" w:customStyle="1">
    <w:name w:val="Заголовок1"/>
    <w:basedOn w:val="Normal"/>
    <w:qFormat/>
    <w:pPr>
      <w:keepNext w:val="true"/>
      <w:spacing w:before="240" w:after="120"/>
    </w:pPr>
    <w:rPr>
      <w:rFonts w:ascii="Liberation Sans" w:hAnsi="Liberation Sans" w:eastAsia="Noto Sans CJK SC Regular" w:cs="FreeSans"/>
      <w:sz w:val="28"/>
      <w:szCs w:val="28"/>
    </w:rPr>
  </w:style>
  <w:style w:type="paragraph" w:styleId="Style52" w:customStyle="1">
    <w:name w:val="Пункт"/>
    <w:basedOn w:val="Normal"/>
    <w:qFormat/>
    <w:pPr>
      <w:tabs>
        <w:tab w:val="clear" w:pos="408"/>
        <w:tab w:val="left" w:pos="1418" w:leader="none"/>
      </w:tabs>
      <w:ind w:firstLine="567"/>
      <w:jc w:val="both"/>
    </w:pPr>
    <w:rPr>
      <w:sz w:val="28"/>
    </w:rPr>
  </w:style>
  <w:style w:type="paragraph" w:styleId="25" w:customStyle="1">
    <w:name w:val="Пункт2"/>
    <w:basedOn w:val="Style52"/>
    <w:qFormat/>
    <w:pPr>
      <w:keepNext w:val="true"/>
      <w:spacing w:before="240" w:after="120"/>
      <w:jc w:val="left"/>
      <w:outlineLvl w:val="2"/>
    </w:pPr>
    <w:rPr>
      <w:b/>
      <w:szCs w:val="20"/>
    </w:rPr>
  </w:style>
  <w:style w:type="paragraph" w:styleId="Style53" w:customStyle="1">
    <w:name w:val="Подпункт"/>
    <w:basedOn w:val="Normal"/>
    <w:qFormat/>
    <w:pPr>
      <w:tabs>
        <w:tab w:val="clear" w:pos="408"/>
        <w:tab w:val="left" w:pos="360" w:leader="none"/>
        <w:tab w:val="left" w:pos="2025" w:leader="none"/>
      </w:tabs>
      <w:ind w:left="360" w:hanging="360"/>
      <w:jc w:val="both"/>
    </w:pPr>
    <w:rPr>
      <w:szCs w:val="20"/>
    </w:rPr>
  </w:style>
  <w:style w:type="numbering" w:styleId="NoList" w:default="1">
    <w:name w:val="No List"/>
    <w:uiPriority w:val="99"/>
    <w:semiHidden/>
    <w:unhideWhenUsed/>
    <w:qFormat/>
  </w:style>
  <w:style w:type="numbering" w:styleId="WW8Num2" w:customStyle="1">
    <w:name w:val="WW8Num2"/>
    <w:qFormat/>
  </w:style>
  <w:style w:type="numbering" w:styleId="WW8Num7" w:customStyle="1">
    <w:name w:val="WW8Num7"/>
    <w:qFormat/>
  </w:style>
  <w:style w:type="numbering" w:styleId="WW8Num8" w:customStyle="1">
    <w:name w:val="WW8Num8"/>
    <w:qFormat/>
  </w:style>
  <w:style w:type="numbering" w:styleId="WW8Num9" w:customStyle="1">
    <w:name w:val="WW8Num9"/>
    <w:qFormat/>
  </w:style>
  <w:style w:type="numbering" w:styleId="WW8Num5" w:customStyle="1">
    <w:name w:val="WW8Num5"/>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sv-rsk.ru/" TargetMode="External"/><Relationship Id="rId3" Type="http://schemas.openxmlformats.org/officeDocument/2006/relationships/hyperlink" Target="https://etp-region.ru/" TargetMode="External"/><Relationship Id="rId4" Type="http://schemas.openxmlformats.org/officeDocument/2006/relationships/hyperlink" Target="http://www.sv-rsk.ru/" TargetMode="External"/><Relationship Id="rId5" Type="http://schemas.openxmlformats.org/officeDocument/2006/relationships/hyperlink" Target="https://etp-region.ru/" TargetMode="External"/><Relationship Id="rId6" Type="http://schemas.openxmlformats.org/officeDocument/2006/relationships/image" Target="media/image1.wmf"/><Relationship Id="rId7" Type="http://schemas.openxmlformats.org/officeDocument/2006/relationships/hyperlink" Target="https://etp-region.ru/"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header" Target="header4.xml"/><Relationship Id="rId14" Type="http://schemas.openxmlformats.org/officeDocument/2006/relationships/header" Target="header5.xml"/><Relationship Id="rId15" Type="http://schemas.openxmlformats.org/officeDocument/2006/relationships/footer" Target="footer3.xml"/><Relationship Id="rId16" Type="http://schemas.openxmlformats.org/officeDocument/2006/relationships/footer" Target="footer4.xml"/><Relationship Id="rId17" Type="http://schemas.openxmlformats.org/officeDocument/2006/relationships/footer" Target="footer5.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2965</TotalTime>
  <Application>LibreOffice/7.5.3.2$Windows_X86_64 LibreOffice_project/9f56dff12ba03b9acd7730a5a481eea045e468f3</Application>
  <AppVersion>15.0000</AppVersion>
  <Pages>33</Pages>
  <Words>10519</Words>
  <Characters>73803</Characters>
  <CharactersWithSpaces>84512</CharactersWithSpaces>
  <Paragraphs>570</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2024-09-12T07:16:00Z</dcterms:created>
  <dc:creator>Юлия Переверзева</dc:creator>
  <dc:description/>
  <dc:language>ru-RU</dc:language>
  <cp:lastModifiedBy/>
  <dcterms:modified xsi:type="dcterms:W3CDTF">2026-06-05T15:35:07Z</dcterms:modified>
  <cp:revision>130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