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402"/>
        <w:gridCol w:w="4952"/>
      </w:tblGrid>
      <w:tr>
        <w:trPr/>
        <w:tc>
          <w:tcPr>
            <w:tcW w:w="440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952" w:type="dxa"/>
            <w:tcBorders/>
          </w:tcPr>
          <w:p>
            <w:pPr>
              <w:pStyle w:val="Normal"/>
              <w:widowControl w:val="false"/>
              <w:jc w:val="right"/>
              <w:rPr>
                <w:sz w:val="32"/>
              </w:rPr>
            </w:pPr>
            <w:r>
              <w:rPr/>
              <w:tab/>
            </w:r>
            <w:r>
              <w:rPr>
                <w:sz w:val="32"/>
              </w:rPr>
              <w:t>УТВЕРЖДАЮ</w:t>
            </w:r>
          </w:p>
          <w:p>
            <w:pPr>
              <w:pStyle w:val="Normal"/>
              <w:widowControl w:val="false"/>
              <w:jc w:val="right"/>
              <w:rPr>
                <w:sz w:val="32"/>
              </w:rPr>
            </w:pPr>
            <w:r>
              <w:rPr>
                <w:sz w:val="32"/>
              </w:rPr>
              <w:tab/>
              <w:t xml:space="preserve">Директор ГАУ </w:t>
            </w:r>
          </w:p>
          <w:p>
            <w:pPr>
              <w:pStyle w:val="Normal"/>
              <w:widowControl w:val="false"/>
              <w:jc w:val="right"/>
              <w:rPr>
                <w:sz w:val="32"/>
              </w:rPr>
            </w:pPr>
            <w:r>
              <w:rPr>
                <w:sz w:val="32"/>
              </w:rPr>
              <w:t>«СРЦН города Нижняя Салда»</w:t>
            </w:r>
          </w:p>
          <w:p>
            <w:pPr>
              <w:pStyle w:val="Normal"/>
              <w:widowControl w:val="false"/>
              <w:jc w:val="right"/>
              <w:rPr>
                <w:sz w:val="32"/>
              </w:rPr>
            </w:pPr>
            <w:r>
              <w:rPr>
                <w:sz w:val="32"/>
              </w:rPr>
              <w:t>_____________ Л.А.Голованова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>
                <w:sz w:val="32"/>
              </w:rPr>
              <w:tab/>
            </w:r>
          </w:p>
        </w:tc>
      </w:tr>
    </w:tbl>
    <w:p>
      <w:pPr>
        <w:pStyle w:val="Normal"/>
        <w:widowControl w:val="false"/>
        <w:numPr>
          <w:ilvl w:val="0"/>
          <w:numId w:val="0"/>
        </w:numPr>
        <w:jc w:val="center"/>
        <w:outlineLvl w:val="0"/>
        <w:rPr>
          <w:sz w:val="32"/>
        </w:rPr>
      </w:pPr>
      <w:r>
        <w:rPr>
          <w:sz w:val="32"/>
        </w:rPr>
      </w:r>
    </w:p>
    <w:p>
      <w:pPr>
        <w:pStyle w:val="Normal"/>
        <w:widowControl w:val="false"/>
        <w:numPr>
          <w:ilvl w:val="0"/>
          <w:numId w:val="0"/>
        </w:numPr>
        <w:jc w:val="center"/>
        <w:outlineLvl w:val="0"/>
        <w:rPr>
          <w:sz w:val="32"/>
        </w:rPr>
      </w:pPr>
      <w:r>
        <w:rPr>
          <w:sz w:val="32"/>
        </w:rPr>
      </w:r>
    </w:p>
    <w:p>
      <w:pPr>
        <w:pStyle w:val="Normal"/>
        <w:widowControl w:val="false"/>
        <w:numPr>
          <w:ilvl w:val="0"/>
          <w:numId w:val="0"/>
        </w:numPr>
        <w:jc w:val="center"/>
        <w:outlineLvl w:val="0"/>
        <w:rPr>
          <w:sz w:val="32"/>
        </w:rPr>
      </w:pPr>
      <w:r>
        <w:rPr>
          <w:sz w:val="32"/>
        </w:rPr>
      </w:r>
    </w:p>
    <w:p>
      <w:pPr>
        <w:pStyle w:val="Normal"/>
        <w:widowControl w:val="false"/>
        <w:numPr>
          <w:ilvl w:val="0"/>
          <w:numId w:val="0"/>
        </w:numPr>
        <w:jc w:val="center"/>
        <w:outlineLvl w:val="0"/>
        <w:rPr>
          <w:sz w:val="32"/>
        </w:rPr>
      </w:pPr>
      <w:r>
        <w:rPr>
          <w:sz w:val="32"/>
        </w:rPr>
      </w:r>
    </w:p>
    <w:p>
      <w:pPr>
        <w:pStyle w:val="Normal"/>
        <w:widowControl w:val="false"/>
        <w:numPr>
          <w:ilvl w:val="0"/>
          <w:numId w:val="0"/>
        </w:numPr>
        <w:jc w:val="center"/>
        <w:outlineLvl w:val="0"/>
        <w:rPr>
          <w:sz w:val="32"/>
        </w:rPr>
      </w:pPr>
      <w:r>
        <w:rPr>
          <w:sz w:val="32"/>
        </w:rPr>
        <w:t xml:space="preserve">ИЗВЕЩЕНИЕ О ПРОВЕДЕНИИ </w:t>
      </w:r>
    </w:p>
    <w:p>
      <w:pPr>
        <w:pStyle w:val="Normal"/>
        <w:widowControl w:val="false"/>
        <w:numPr>
          <w:ilvl w:val="0"/>
          <w:numId w:val="0"/>
        </w:numPr>
        <w:jc w:val="center"/>
        <w:outlineLvl w:val="0"/>
        <w:rPr>
          <w:sz w:val="32"/>
        </w:rPr>
      </w:pPr>
      <w:r>
        <w:rPr>
          <w:sz w:val="32"/>
        </w:rPr>
        <w:t>ЗАПРОСА КОТИРОВОК В ЭЛЕКТРОННОЙ ФОРМЕ:</w:t>
      </w:r>
    </w:p>
    <w:p>
      <w:pPr>
        <w:pStyle w:val="Normal"/>
        <w:widowControl w:val="false"/>
        <w:shd w:val="clear" w:color="auto" w:fill="FFFFFF"/>
        <w:jc w:val="center"/>
        <w:rPr>
          <w:sz w:val="32"/>
        </w:rPr>
      </w:pPr>
      <w:r>
        <w:rPr>
          <w:sz w:val="32"/>
        </w:rPr>
      </w:r>
    </w:p>
    <w:p>
      <w:pPr>
        <w:pStyle w:val="Normal"/>
        <w:widowControl w:val="false"/>
        <w:shd w:val="clear" w:color="auto" w:fill="FFFFFF"/>
        <w:jc w:val="center"/>
        <w:rPr>
          <w:sz w:val="32"/>
        </w:rPr>
      </w:pPr>
      <w:r>
        <w:rPr>
          <w:sz w:val="32"/>
        </w:rPr>
      </w:r>
    </w:p>
    <w:p>
      <w:pPr>
        <w:pStyle w:val="Normal"/>
        <w:widowControl w:val="false"/>
        <w:shd w:val="clear" w:color="auto" w:fill="FFFFFF"/>
        <w:jc w:val="center"/>
        <w:rPr>
          <w:sz w:val="32"/>
        </w:rPr>
      </w:pPr>
      <w:r>
        <w:rPr>
          <w:sz w:val="32"/>
        </w:rPr>
      </w:r>
    </w:p>
    <w:p>
      <w:pPr>
        <w:pStyle w:val="Normal"/>
        <w:widowControl w:val="false"/>
        <w:shd w:val="clear" w:color="auto" w:fill="FFFFFF"/>
        <w:jc w:val="center"/>
        <w:rPr>
          <w:sz w:val="32"/>
        </w:rPr>
      </w:pPr>
      <w:r>
        <w:rPr>
          <w:sz w:val="32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/>
        <w:jc w:val="center"/>
        <w:outlineLvl w:val="0"/>
        <w:rPr>
          <w:b/>
        </w:rPr>
      </w:pPr>
      <w:r>
        <w:rPr>
          <w:b/>
          <w:sz w:val="32"/>
        </w:rPr>
        <w:t xml:space="preserve">ПОСТАВКА БЕНЗИНА АВТОМОБИЛЬНОГО АИ-92, АИ-95, ДИЗЕЛЬНОГО ТОПЛИВА ПО ТОПЛИВНЫМ КАРТАМ  </w:t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/>
        <w:jc w:val="center"/>
        <w:outlineLvl w:val="0"/>
        <w:rPr>
          <w:sz w:val="32"/>
        </w:rPr>
      </w:pPr>
      <w:r>
        <w:rPr>
          <w:sz w:val="32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/>
        <w:jc w:val="center"/>
        <w:outlineLvl w:val="0"/>
        <w:rPr>
          <w:sz w:val="32"/>
        </w:rPr>
      </w:pPr>
      <w:r>
        <w:rPr>
          <w:sz w:val="32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/>
        <w:jc w:val="center"/>
        <w:outlineLvl w:val="0"/>
        <w:rPr>
          <w:sz w:val="32"/>
        </w:rPr>
      </w:pPr>
      <w:r>
        <w:rPr>
          <w:b/>
          <w:sz w:val="32"/>
        </w:rPr>
        <w:t>Заказчик</w:t>
      </w:r>
      <w:r>
        <w:rPr>
          <w:sz w:val="32"/>
        </w:rPr>
        <w:t>: государственное автономное учреждение социального обслуживания Свердловской области «Социально-реабилитационный центр для несовершеннолетних города Нижняя Салда», 624740, Свердловская область, г. Нижняя Салда, ул.Советская, 56.</w:t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/>
        <w:tabs>
          <w:tab w:val="clear" w:pos="708"/>
          <w:tab w:val="left" w:pos="180" w:leader="none"/>
        </w:tabs>
        <w:outlineLvl w:val="0"/>
        <w:rPr>
          <w:sz w:val="32"/>
        </w:rPr>
      </w:pPr>
      <w:r>
        <w:rPr>
          <w:sz w:val="32"/>
        </w:rPr>
        <w:tab/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/>
        <w:tabs>
          <w:tab w:val="clear" w:pos="708"/>
          <w:tab w:val="left" w:pos="180" w:leader="none"/>
        </w:tabs>
        <w:outlineLvl w:val="0"/>
        <w:rPr>
          <w:sz w:val="32"/>
        </w:rPr>
      </w:pPr>
      <w:r>
        <w:rPr>
          <w:sz w:val="32"/>
        </w:rPr>
      </w:r>
    </w:p>
    <w:p>
      <w:pPr>
        <w:pStyle w:val="Normal"/>
        <w:suppressAutoHyphens w:val="false"/>
        <w:spacing w:before="0" w:after="160"/>
        <w:jc w:val="left"/>
        <w:rPr>
          <w:rFonts w:eastAsia="Calibri" w:eastAsiaTheme="minorHAnsi"/>
          <w:sz w:val="18"/>
          <w:szCs w:val="18"/>
          <w:lang w:eastAsia="en-US"/>
        </w:rPr>
      </w:pPr>
      <w:r>
        <w:rPr>
          <w:rFonts w:eastAsia="Calibri" w:eastAsiaTheme="minorHAnsi"/>
          <w:sz w:val="18"/>
          <w:szCs w:val="18"/>
          <w:lang w:eastAsia="en-US"/>
        </w:rPr>
      </w:r>
    </w:p>
    <w:p>
      <w:pPr>
        <w:pStyle w:val="Normal"/>
        <w:suppressAutoHyphens w:val="false"/>
        <w:spacing w:before="0" w:after="160"/>
        <w:jc w:val="left"/>
        <w:rPr>
          <w:rFonts w:eastAsia="Calibri" w:eastAsiaTheme="minorHAnsi"/>
          <w:sz w:val="18"/>
          <w:szCs w:val="18"/>
          <w:lang w:eastAsia="en-US"/>
        </w:rPr>
      </w:pPr>
      <w:r>
        <w:rPr>
          <w:rFonts w:eastAsia="Calibri" w:eastAsiaTheme="minorHAnsi"/>
          <w:sz w:val="18"/>
          <w:szCs w:val="18"/>
          <w:lang w:eastAsia="en-US"/>
        </w:rPr>
      </w:r>
    </w:p>
    <w:p>
      <w:pPr>
        <w:pStyle w:val="Normal"/>
        <w:suppressAutoHyphens w:val="false"/>
        <w:spacing w:before="0" w:after="160"/>
        <w:jc w:val="left"/>
        <w:rPr>
          <w:rFonts w:eastAsia="Calibri" w:eastAsiaTheme="minorHAnsi"/>
          <w:sz w:val="18"/>
          <w:szCs w:val="18"/>
          <w:lang w:eastAsia="en-US"/>
        </w:rPr>
      </w:pPr>
      <w:r>
        <w:rPr>
          <w:rFonts w:eastAsia="Calibri" w:eastAsiaTheme="minorHAnsi"/>
          <w:sz w:val="18"/>
          <w:szCs w:val="18"/>
          <w:lang w:eastAsia="en-US"/>
        </w:rPr>
        <w:t>Специалист по закупкам:</w:t>
      </w:r>
    </w:p>
    <w:p>
      <w:pPr>
        <w:pStyle w:val="Normal"/>
        <w:suppressAutoHyphens w:val="false"/>
        <w:spacing w:before="0" w:after="160"/>
        <w:jc w:val="left"/>
        <w:rPr>
          <w:rFonts w:eastAsia="Calibri" w:eastAsiaTheme="minorHAnsi"/>
          <w:sz w:val="18"/>
          <w:szCs w:val="18"/>
          <w:lang w:eastAsia="en-US"/>
        </w:rPr>
      </w:pPr>
      <w:r>
        <w:rPr>
          <w:rFonts w:eastAsia="Calibri" w:eastAsiaTheme="minorHAnsi"/>
          <w:sz w:val="18"/>
          <w:szCs w:val="18"/>
          <w:lang w:eastAsia="en-US"/>
        </w:rPr>
        <w:t>Посникова Н.В. _________________ «______»_____________________ 2026г.</w:t>
      </w:r>
    </w:p>
    <w:p>
      <w:pPr>
        <w:pStyle w:val="Normal"/>
        <w:suppressAutoHyphens w:val="false"/>
        <w:jc w:val="left"/>
        <w:rPr>
          <w:rFonts w:eastAsia="Calibri" w:eastAsiaTheme="minorHAnsi"/>
          <w:sz w:val="18"/>
          <w:szCs w:val="18"/>
          <w:lang w:eastAsia="en-US"/>
        </w:rPr>
      </w:pPr>
      <w:r>
        <w:rPr>
          <w:rFonts w:eastAsia="Calibri" w:eastAsiaTheme="minorHAnsi"/>
          <w:sz w:val="18"/>
          <w:szCs w:val="18"/>
          <w:lang w:eastAsia="en-US"/>
        </w:rPr>
      </w:r>
    </w:p>
    <w:p>
      <w:pPr>
        <w:pStyle w:val="Normal"/>
        <w:suppressAutoHyphens w:val="false"/>
        <w:spacing w:before="0" w:after="160"/>
        <w:jc w:val="left"/>
        <w:rPr>
          <w:rFonts w:eastAsia="Calibri" w:eastAsiaTheme="minorHAnsi"/>
          <w:sz w:val="18"/>
          <w:szCs w:val="18"/>
          <w:lang w:eastAsia="en-US"/>
        </w:rPr>
      </w:pPr>
      <w:r>
        <w:rPr>
          <w:rFonts w:eastAsia="Calibri" w:eastAsiaTheme="minorHAnsi"/>
          <w:sz w:val="18"/>
          <w:szCs w:val="18"/>
          <w:lang w:eastAsia="en-US"/>
        </w:rPr>
      </w:r>
    </w:p>
    <w:p>
      <w:pPr>
        <w:pStyle w:val="Normal"/>
        <w:suppressAutoHyphens w:val="false"/>
        <w:spacing w:before="0" w:after="160"/>
        <w:jc w:val="left"/>
        <w:rPr>
          <w:rFonts w:eastAsia="Calibri" w:eastAsiaTheme="minorHAnsi"/>
          <w:sz w:val="18"/>
          <w:szCs w:val="18"/>
          <w:lang w:eastAsia="en-US"/>
        </w:rPr>
      </w:pPr>
      <w:r>
        <w:rPr>
          <w:rFonts w:eastAsia="Calibri" w:eastAsiaTheme="minorHAnsi"/>
          <w:sz w:val="18"/>
          <w:szCs w:val="18"/>
          <w:lang w:eastAsia="en-US"/>
        </w:rPr>
        <w:t>СОГЛАСОВАНО:</w:t>
      </w:r>
    </w:p>
    <w:p>
      <w:pPr>
        <w:pStyle w:val="Normal"/>
        <w:suppressAutoHyphens w:val="false"/>
        <w:spacing w:before="0" w:after="160"/>
        <w:jc w:val="left"/>
        <w:rPr>
          <w:rFonts w:eastAsia="Calibri" w:eastAsiaTheme="minorHAnsi"/>
          <w:sz w:val="18"/>
          <w:szCs w:val="18"/>
          <w:lang w:eastAsia="en-US"/>
        </w:rPr>
      </w:pPr>
      <w:r>
        <w:rPr>
          <w:rFonts w:eastAsia="Calibri" w:eastAsiaTheme="minorHAnsi"/>
          <w:sz w:val="18"/>
          <w:szCs w:val="18"/>
          <w:lang w:eastAsia="en-US"/>
        </w:rPr>
        <w:t>Главный бухгалтер</w:t>
      </w:r>
    </w:p>
    <w:p>
      <w:pPr>
        <w:pStyle w:val="Normal"/>
        <w:suppressAutoHyphens w:val="false"/>
        <w:spacing w:before="0" w:after="160"/>
        <w:jc w:val="left"/>
        <w:rPr>
          <w:rFonts w:eastAsia="Calibri" w:eastAsiaTheme="minorHAnsi"/>
          <w:sz w:val="18"/>
          <w:szCs w:val="18"/>
          <w:lang w:eastAsia="en-US"/>
        </w:rPr>
      </w:pPr>
      <w:r>
        <w:rPr>
          <w:rFonts w:eastAsia="Calibri" w:eastAsiaTheme="minorHAnsi"/>
          <w:sz w:val="18"/>
          <w:szCs w:val="18"/>
          <w:lang w:eastAsia="en-US"/>
        </w:rPr>
        <w:t>Темпалова Н.В. ___________________ «______»________________________2026г.</w:t>
      </w:r>
    </w:p>
    <w:p>
      <w:pPr>
        <w:pStyle w:val="Normal"/>
        <w:suppressAutoHyphens w:val="false"/>
        <w:spacing w:before="0" w:after="160"/>
        <w:jc w:val="left"/>
        <w:rPr>
          <w:rFonts w:eastAsia="Calibri" w:eastAsiaTheme="minorHAnsi"/>
          <w:sz w:val="18"/>
          <w:szCs w:val="18"/>
          <w:lang w:eastAsia="en-US"/>
        </w:rPr>
      </w:pPr>
      <w:r>
        <w:rPr>
          <w:rFonts w:eastAsia="Calibri" w:eastAsiaTheme="minorHAnsi"/>
          <w:sz w:val="18"/>
          <w:szCs w:val="18"/>
          <w:lang w:eastAsia="en-US"/>
        </w:rPr>
      </w:r>
    </w:p>
    <w:p>
      <w:pPr>
        <w:pStyle w:val="Normal"/>
        <w:suppressAutoHyphens w:val="false"/>
        <w:spacing w:before="0" w:after="160"/>
        <w:jc w:val="left"/>
        <w:rPr>
          <w:rFonts w:eastAsia="Calibri" w:eastAsiaTheme="minorHAnsi"/>
          <w:sz w:val="18"/>
          <w:szCs w:val="18"/>
          <w:lang w:eastAsia="en-US"/>
        </w:rPr>
      </w:pPr>
      <w:r>
        <w:rPr>
          <w:rFonts w:eastAsia="Calibri" w:eastAsiaTheme="minorHAnsi"/>
          <w:sz w:val="18"/>
          <w:szCs w:val="18"/>
          <w:lang w:eastAsia="en-US"/>
        </w:rPr>
      </w:r>
    </w:p>
    <w:p>
      <w:pPr>
        <w:pStyle w:val="Normal"/>
        <w:widowControl w:val="false"/>
        <w:jc w:val="center"/>
        <w:rPr>
          <w:sz w:val="32"/>
        </w:rPr>
      </w:pPr>
      <w:r>
        <w:rPr>
          <w:sz w:val="32"/>
        </w:rPr>
        <w:t xml:space="preserve">г. Нижняя Салда </w:t>
      </w:r>
    </w:p>
    <w:p>
      <w:pPr>
        <w:pStyle w:val="Normal"/>
        <w:widowControl w:val="false"/>
        <w:jc w:val="center"/>
        <w:rPr>
          <w:sz w:val="32"/>
        </w:rPr>
      </w:pPr>
      <w:r>
        <w:rPr>
          <w:sz w:val="32"/>
        </w:rPr>
        <w:t>2026</w:t>
      </w:r>
    </w:p>
    <w:p>
      <w:pPr>
        <w:pStyle w:val="Normal"/>
        <w:widowControl w:val="false"/>
        <w:jc w:val="center"/>
        <w:rPr>
          <w:sz w:val="32"/>
        </w:rPr>
      </w:pPr>
      <w:r>
        <w:rPr>
          <w:sz w:val="32"/>
        </w:rPr>
      </w:r>
    </w:p>
    <w:p>
      <w:pPr>
        <w:pStyle w:val="Normal"/>
        <w:widowControl w:val="false"/>
        <w:ind w:firstLine="624"/>
        <w:rPr/>
      </w:pPr>
      <w:r>
        <w:rPr>
          <w:rFonts w:eastAsia="Calibri"/>
          <w:lang w:eastAsia="en-US"/>
        </w:rPr>
        <w:t>Настоящий запрос котировок проводится в соответствии положениями Гражданского кодекса Российской Федерации, Бюджетного кодекса Российской Федерации, Федерального закона от 18 июля 2011 года №223-</w:t>
        <w:softHyphen/>
        <w:t>ФЗ «О закупках товаров, работ, услуг отдельными видами юридических лиц», Федерального закона от 26 июля 2006 г. №135-ФЗ «О защите конкуренции», Федерального закона от 10.01.2002 г. №1-ФЗ «Об электронной цифровой подписи», Положения о закупках товаров, работ, услуг для нужд государственного автономного учреждения социального обслуживания Свердловской области «Социально-реабилитационный центр для несовершеннолетних города Нижняя Салда» и иных действующих нормативных правовых актов Российской Федерации.</w:t>
      </w:r>
    </w:p>
    <w:p>
      <w:pPr>
        <w:pStyle w:val="Normal"/>
        <w:spacing w:before="120" w:after="120"/>
        <w:ind w:firstLine="624"/>
        <w:rPr>
          <w:rFonts w:eastAsia="Calibri"/>
          <w:lang w:eastAsia="en-US"/>
        </w:rPr>
      </w:pPr>
      <w:r>
        <w:rPr>
          <w:rFonts w:eastAsia="Calibri"/>
          <w:lang w:eastAsia="en-US"/>
        </w:rPr>
        <w:t>В части, прямо не урегулированной законодательством Российской Федерации, проведение запроса котировок регулируется настоящим извещением.</w:t>
      </w:r>
    </w:p>
    <w:tbl>
      <w:tblPr>
        <w:tblStyle w:val="11"/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65"/>
        <w:gridCol w:w="2882"/>
        <w:gridCol w:w="1823"/>
        <w:gridCol w:w="4448"/>
      </w:tblGrid>
      <w:tr>
        <w:trPr/>
        <w:tc>
          <w:tcPr>
            <w:tcW w:w="765" w:type="dxa"/>
            <w:tcBorders/>
            <w:shd w:color="auto" w:fill="F2F2F2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jc w:val="center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 xml:space="preserve">№ </w:t>
            </w:r>
            <w:r>
              <w:rPr>
                <w:b/>
                <w:kern w:val="0"/>
                <w:lang w:val="ru-RU" w:eastAsia="en-US" w:bidi="ar-SA"/>
              </w:rPr>
              <w:br/>
              <w:t>п/п</w:t>
            </w:r>
          </w:p>
        </w:tc>
        <w:tc>
          <w:tcPr>
            <w:tcW w:w="2882" w:type="dxa"/>
            <w:tcBorders/>
            <w:shd w:color="auto" w:fill="F2F2F2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jc w:val="center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Наименование пункта</w:t>
            </w:r>
          </w:p>
        </w:tc>
        <w:tc>
          <w:tcPr>
            <w:tcW w:w="6271" w:type="dxa"/>
            <w:gridSpan w:val="2"/>
            <w:tcBorders/>
            <w:shd w:color="auto" w:fill="F2F2F2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jc w:val="center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Содержание пункта</w:t>
            </w:r>
          </w:p>
        </w:tc>
      </w:tr>
      <w:tr>
        <w:trPr/>
        <w:tc>
          <w:tcPr>
            <w:tcW w:w="9918" w:type="dxa"/>
            <w:gridSpan w:val="4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</w:r>
          </w:p>
        </w:tc>
      </w:tr>
      <w:tr>
        <w:trPr/>
        <w:tc>
          <w:tcPr>
            <w:tcW w:w="765" w:type="dxa"/>
            <w:tcBorders/>
            <w:shd w:color="auto" w:fill="F2F2F2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before="60" w:after="60"/>
              <w:ind w:hanging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2882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Способ осуществления закупки</w:t>
            </w:r>
          </w:p>
        </w:tc>
        <w:tc>
          <w:tcPr>
            <w:tcW w:w="627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Запрос котировок в электронной форме</w:t>
            </w:r>
          </w:p>
        </w:tc>
      </w:tr>
      <w:tr>
        <w:trPr/>
        <w:tc>
          <w:tcPr>
            <w:tcW w:w="765" w:type="dxa"/>
            <w:tcBorders/>
            <w:shd w:color="auto" w:fill="F2F2F2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before="60" w:after="60"/>
              <w:ind w:hanging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9153" w:type="dxa"/>
            <w:gridSpan w:val="3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Сведения о заказчике:</w:t>
            </w:r>
          </w:p>
        </w:tc>
      </w:tr>
      <w:tr>
        <w:trPr/>
        <w:tc>
          <w:tcPr>
            <w:tcW w:w="765" w:type="dxa"/>
            <w:tcBorders/>
            <w:shd w:color="auto" w:fill="F2F2F2" w:val="clear"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2882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Наименование заказчика</w:t>
            </w:r>
          </w:p>
        </w:tc>
        <w:tc>
          <w:tcPr>
            <w:tcW w:w="6271" w:type="dxa"/>
            <w:gridSpan w:val="2"/>
            <w:tcBorders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kern w:val="0"/>
                <w:lang w:val="ru-RU" w:bidi="ar-SA"/>
              </w:rPr>
            </w:pPr>
            <w:r>
              <w:rPr>
                <w:kern w:val="0"/>
                <w:lang w:val="ru-RU" w:eastAsia="en-US" w:bidi="ar-SA"/>
              </w:rPr>
              <w:t xml:space="preserve">государственное автономное учреждения социального обслуживания Свердловской области </w:t>
            </w:r>
            <w:r>
              <w:rPr>
                <w:rFonts w:eastAsia="Calibri"/>
                <w:kern w:val="0"/>
                <w:lang w:val="ru-RU" w:eastAsia="en-US" w:bidi="ar-SA"/>
              </w:rPr>
              <w:t xml:space="preserve">«Социально-реабилитационный центр для несовершеннолетних города Нижняя Салда» </w:t>
            </w:r>
            <w:r>
              <w:rPr>
                <w:kern w:val="0"/>
                <w:lang w:val="ru-RU" w:eastAsia="en-US" w:bidi="ar-SA"/>
              </w:rPr>
              <w:t xml:space="preserve"> (ГАУ «СРЦН города Нижняя Салда»)</w:t>
            </w:r>
          </w:p>
        </w:tc>
      </w:tr>
      <w:tr>
        <w:trPr/>
        <w:tc>
          <w:tcPr>
            <w:tcW w:w="765" w:type="dxa"/>
            <w:tcBorders/>
            <w:shd w:color="auto" w:fill="F2F2F2" w:val="clear"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2882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Место нахождения</w:t>
            </w:r>
          </w:p>
        </w:tc>
        <w:tc>
          <w:tcPr>
            <w:tcW w:w="6271" w:type="dxa"/>
            <w:gridSpan w:val="2"/>
            <w:tcBorders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kern w:val="0"/>
                <w:lang w:val="ru-RU" w:bidi="ar-SA"/>
              </w:rPr>
            </w:pPr>
            <w:r>
              <w:rPr>
                <w:kern w:val="0"/>
                <w:lang w:val="ru-RU" w:eastAsia="en-US" w:bidi="ar-SA"/>
              </w:rPr>
              <w:t>Российская Федерация, 624740, Свердловская область, г. Нижняя Салда, ул.Советская, 56</w:t>
            </w:r>
          </w:p>
        </w:tc>
      </w:tr>
      <w:tr>
        <w:trPr/>
        <w:tc>
          <w:tcPr>
            <w:tcW w:w="765" w:type="dxa"/>
            <w:tcBorders/>
            <w:shd w:color="auto" w:fill="F2F2F2" w:val="clear"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2882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Почтовый адрес</w:t>
            </w:r>
          </w:p>
        </w:tc>
        <w:tc>
          <w:tcPr>
            <w:tcW w:w="6271" w:type="dxa"/>
            <w:gridSpan w:val="2"/>
            <w:tcBorders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kern w:val="0"/>
                <w:lang w:val="ru-RU" w:bidi="ar-SA"/>
              </w:rPr>
            </w:pPr>
            <w:r>
              <w:rPr>
                <w:kern w:val="0"/>
                <w:lang w:val="ru-RU" w:eastAsia="en-US" w:bidi="ar-SA"/>
              </w:rPr>
              <w:t>Российская Федерация, 624740, Свердловская область, г. Нижняя Салда, ул.Советская, 56</w:t>
            </w:r>
          </w:p>
        </w:tc>
      </w:tr>
      <w:tr>
        <w:trPr/>
        <w:tc>
          <w:tcPr>
            <w:tcW w:w="765" w:type="dxa"/>
            <w:tcBorders/>
            <w:shd w:color="auto" w:fill="F2F2F2" w:val="clear"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2882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Контактное лицо</w:t>
            </w:r>
          </w:p>
        </w:tc>
        <w:tc>
          <w:tcPr>
            <w:tcW w:w="6271" w:type="dxa"/>
            <w:gridSpan w:val="2"/>
            <w:tcBorders/>
          </w:tcPr>
          <w:p>
            <w:pPr>
              <w:pStyle w:val="Normal"/>
              <w:widowControl w:val="false"/>
              <w:suppressAutoHyphens w:val="false"/>
              <w:spacing w:before="60" w:after="60"/>
              <w:jc w:val="left"/>
              <w:rPr>
                <w:kern w:val="0"/>
                <w:lang w:val="ru-RU" w:bidi="ar-SA"/>
              </w:rPr>
            </w:pPr>
            <w:r>
              <w:rPr>
                <w:color w:val="000000"/>
                <w:kern w:val="0"/>
                <w:lang w:val="ru-RU" w:eastAsia="ru-RU" w:bidi="ar-SA"/>
              </w:rPr>
              <w:t>Специалист по закупкам Посникова Наталья Витальевна</w:t>
            </w:r>
          </w:p>
        </w:tc>
      </w:tr>
      <w:tr>
        <w:trPr>
          <w:trHeight w:val="383" w:hRule="atLeast"/>
        </w:trPr>
        <w:tc>
          <w:tcPr>
            <w:tcW w:w="765" w:type="dxa"/>
            <w:tcBorders/>
            <w:shd w:color="auto" w:fill="F2F2F2" w:val="clear"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2882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Номер контактного телефона</w:t>
            </w:r>
          </w:p>
        </w:tc>
        <w:tc>
          <w:tcPr>
            <w:tcW w:w="627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rPr>
                <w:kern w:val="0"/>
                <w:lang w:val="ru-RU" w:bidi="ar-SA"/>
              </w:rPr>
            </w:pPr>
            <w:r>
              <w:rPr>
                <w:iCs/>
                <w:color w:val="000000"/>
                <w:kern w:val="0"/>
                <w:lang w:val="ru-RU" w:eastAsia="ru-RU" w:bidi="ar-SA"/>
              </w:rPr>
              <w:t>+7-967-857-06-40</w:t>
            </w:r>
          </w:p>
        </w:tc>
      </w:tr>
      <w:tr>
        <w:trPr/>
        <w:tc>
          <w:tcPr>
            <w:tcW w:w="765" w:type="dxa"/>
            <w:tcBorders/>
            <w:shd w:color="auto" w:fill="F2F2F2" w:val="clear"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2882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iCs/>
                <w:kern w:val="0"/>
                <w:lang w:val="ru-RU" w:eastAsia="en-US" w:bidi="ar-SA"/>
              </w:rPr>
              <w:t xml:space="preserve">Техническое задание, сопровождение договора </w:t>
            </w:r>
          </w:p>
        </w:tc>
        <w:tc>
          <w:tcPr>
            <w:tcW w:w="6271" w:type="dxa"/>
            <w:gridSpan w:val="2"/>
            <w:tcBorders/>
          </w:tcPr>
          <w:p>
            <w:pPr>
              <w:pStyle w:val="Normal"/>
              <w:widowControl w:val="false"/>
              <w:suppressAutoHyphens w:val="false"/>
              <w:spacing w:before="60" w:after="60"/>
              <w:jc w:val="left"/>
              <w:rPr>
                <w:kern w:val="0"/>
                <w:lang w:val="ru-RU" w:bidi="ar-SA"/>
              </w:rPr>
            </w:pPr>
            <w:r>
              <w:rPr>
                <w:iCs/>
                <w:color w:val="000000"/>
                <w:kern w:val="0"/>
                <w:lang w:val="ru-RU" w:eastAsia="ru-RU" w:bidi="ar-SA"/>
              </w:rPr>
              <w:t>Посникова Наталья Витальевна</w:t>
            </w:r>
          </w:p>
        </w:tc>
      </w:tr>
      <w:tr>
        <w:trPr/>
        <w:tc>
          <w:tcPr>
            <w:tcW w:w="765" w:type="dxa"/>
            <w:tcBorders/>
            <w:shd w:color="auto" w:fill="F2F2F2" w:val="clear"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2882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iCs/>
                <w:lang w:eastAsia="en-US"/>
              </w:rPr>
            </w:pPr>
            <w:r>
              <w:rPr>
                <w:iCs/>
                <w:kern w:val="0"/>
                <w:lang w:val="ru-RU" w:eastAsia="en-US" w:bidi="ar-SA"/>
              </w:rPr>
              <w:t>Номер контактного телефона</w:t>
            </w:r>
          </w:p>
        </w:tc>
        <w:tc>
          <w:tcPr>
            <w:tcW w:w="6271" w:type="dxa"/>
            <w:gridSpan w:val="2"/>
            <w:tcBorders/>
          </w:tcPr>
          <w:p>
            <w:pPr>
              <w:pStyle w:val="Normal"/>
              <w:widowControl w:val="false"/>
              <w:suppressAutoHyphens w:val="false"/>
              <w:spacing w:before="60" w:after="60"/>
              <w:jc w:val="left"/>
              <w:rPr>
                <w:kern w:val="0"/>
                <w:lang w:val="ru-RU" w:bidi="ar-SA"/>
              </w:rPr>
            </w:pPr>
            <w:r>
              <w:rPr>
                <w:color w:val="0000FF"/>
                <w:kern w:val="0"/>
                <w:u w:val="single"/>
                <w:lang w:val="en-US" w:eastAsia="ru-RU" w:bidi="ar-SA"/>
              </w:rPr>
              <w:t>soc115@egov66.ru u</w:t>
            </w:r>
          </w:p>
        </w:tc>
      </w:tr>
      <w:tr>
        <w:trPr/>
        <w:tc>
          <w:tcPr>
            <w:tcW w:w="765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2.8.</w:t>
            </w:r>
          </w:p>
        </w:tc>
        <w:tc>
          <w:tcPr>
            <w:tcW w:w="2882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Адрес электронной почты</w:t>
            </w:r>
          </w:p>
        </w:tc>
        <w:tc>
          <w:tcPr>
            <w:tcW w:w="627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rPr>
                <w:kern w:val="0"/>
                <w:lang w:val="ru-RU" w:bidi="ar-SA"/>
              </w:rPr>
            </w:pPr>
            <w:r>
              <w:rPr>
                <w:iCs/>
                <w:color w:val="000000"/>
                <w:kern w:val="0"/>
                <w:lang w:val="ru-RU" w:eastAsia="ru-RU" w:bidi="ar-SA"/>
              </w:rPr>
              <w:t>+7-967-857-06-40</w:t>
            </w:r>
          </w:p>
        </w:tc>
      </w:tr>
      <w:tr>
        <w:trPr/>
        <w:tc>
          <w:tcPr>
            <w:tcW w:w="765" w:type="dxa"/>
            <w:tcBorders/>
            <w:shd w:color="auto" w:fill="F2F2F2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before="60" w:after="60"/>
              <w:ind w:hanging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9153" w:type="dxa"/>
            <w:gridSpan w:val="3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kern w:val="0"/>
                <w:lang w:val="ru-RU" w:bidi="ar-SA"/>
              </w:rPr>
            </w:pPr>
            <w:r>
              <w:rPr>
                <w:kern w:val="0"/>
                <w:lang w:val="ru-RU" w:eastAsia="en-US" w:bidi="ar-SA"/>
              </w:rPr>
              <w:t>Сведения о закупке:</w:t>
            </w:r>
          </w:p>
        </w:tc>
      </w:tr>
      <w:tr>
        <w:trPr>
          <w:trHeight w:val="531" w:hRule="atLeast"/>
        </w:trPr>
        <w:tc>
          <w:tcPr>
            <w:tcW w:w="765" w:type="dxa"/>
            <w:tcBorders/>
            <w:shd w:color="auto" w:fill="F2F2F2" w:val="clear"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2882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Предмет закупки (договора)</w:t>
            </w:r>
          </w:p>
        </w:tc>
        <w:tc>
          <w:tcPr>
            <w:tcW w:w="6271" w:type="dxa"/>
            <w:gridSpan w:val="2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ind w:right="145"/>
              <w:rPr>
                <w:kern w:val="0"/>
                <w:lang w:val="ru-RU" w:bidi="ar-SA"/>
              </w:rPr>
            </w:pPr>
            <w:r>
              <w:rPr>
                <w:rFonts w:eastAsia="Calibri"/>
                <w:iCs/>
                <w:kern w:val="0"/>
                <w:lang w:val="ru-RU" w:eastAsia="ru-RU" w:bidi="ar-SA"/>
              </w:rPr>
              <w:t>Поставка бензина автомобильного АИ-92, АИ-95, дизельного топлива по топливным картам</w:t>
            </w:r>
          </w:p>
        </w:tc>
      </w:tr>
      <w:tr>
        <w:trPr/>
        <w:tc>
          <w:tcPr>
            <w:tcW w:w="765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2882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ОКПД 2</w:t>
            </w:r>
          </w:p>
        </w:tc>
        <w:tc>
          <w:tcPr>
            <w:tcW w:w="6271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 xml:space="preserve">В соответствии с техническим заданием/описанием объекта закупки (раздел </w:t>
            </w:r>
            <w:r>
              <w:rPr>
                <w:kern w:val="0"/>
                <w:lang w:val="en-US" w:eastAsia="en-US" w:bidi="ar-SA"/>
              </w:rPr>
              <w:t>II</w:t>
            </w:r>
            <w:r>
              <w:rPr>
                <w:kern w:val="0"/>
                <w:lang w:val="ru-RU" w:eastAsia="en-US" w:bidi="ar-SA"/>
              </w:rPr>
              <w:t xml:space="preserve"> извещения об осуществлении закупки)</w:t>
            </w:r>
          </w:p>
        </w:tc>
      </w:tr>
      <w:tr>
        <w:trPr/>
        <w:tc>
          <w:tcPr>
            <w:tcW w:w="765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2882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ОКВЭД 2</w:t>
            </w:r>
          </w:p>
        </w:tc>
        <w:tc>
          <w:tcPr>
            <w:tcW w:w="627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</w:tr>
      <w:tr>
        <w:trPr/>
        <w:tc>
          <w:tcPr>
            <w:tcW w:w="765" w:type="dxa"/>
            <w:tcBorders/>
            <w:shd w:color="auto" w:fill="F2F2F2" w:val="clear"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2882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Количество поставляемого товара, объема выполняемой работы, оказываемой услуги, а также краткое описание предмета закупки</w:t>
            </w:r>
          </w:p>
        </w:tc>
        <w:tc>
          <w:tcPr>
            <w:tcW w:w="6271" w:type="dxa"/>
            <w:gridSpan w:val="2"/>
            <w:tcBorders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 xml:space="preserve">В соответствии с техническим заданием/описанием объекта закупки (раздел </w:t>
            </w:r>
            <w:r>
              <w:rPr>
                <w:kern w:val="0"/>
                <w:lang w:val="en-US" w:eastAsia="en-US" w:bidi="ar-SA"/>
              </w:rPr>
              <w:t>II</w:t>
            </w:r>
            <w:r>
              <w:rPr>
                <w:kern w:val="0"/>
                <w:lang w:val="ru-RU" w:eastAsia="en-US" w:bidi="ar-SA"/>
              </w:rPr>
              <w:t xml:space="preserve"> извещения об осуществлении закупки)</w:t>
            </w:r>
          </w:p>
        </w:tc>
      </w:tr>
      <w:tr>
        <w:trPr/>
        <w:tc>
          <w:tcPr>
            <w:tcW w:w="765" w:type="dxa"/>
            <w:tcBorders/>
            <w:shd w:color="auto" w:fill="F2F2F2" w:val="clear"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9153" w:type="dxa"/>
            <w:gridSpan w:val="3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Место, условия и сроки (периоды) поставки товара (выполнения работ, оказания услуг)</w:t>
            </w:r>
          </w:p>
        </w:tc>
      </w:tr>
      <w:tr>
        <w:trPr/>
        <w:tc>
          <w:tcPr>
            <w:tcW w:w="765" w:type="dxa"/>
            <w:tcBorders/>
            <w:shd w:color="auto" w:fill="F2F2F2" w:val="clear"/>
          </w:tcPr>
          <w:p>
            <w:pPr>
              <w:pStyle w:val="Normal"/>
              <w:widowControl w:val="false"/>
              <w:numPr>
                <w:ilvl w:val="2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2882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Место поставки товара (выполнения работ, оказания услуг)</w:t>
            </w:r>
          </w:p>
        </w:tc>
        <w:tc>
          <w:tcPr>
            <w:tcW w:w="6271" w:type="dxa"/>
            <w:gridSpan w:val="2"/>
            <w:tcBorders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true"/>
              <w:spacing w:before="0" w:after="0"/>
              <w:ind w:left="57" w:right="227"/>
              <w:textAlignment w:val="baseline"/>
              <w:rPr>
                <w:lang w:eastAsia="ru-RU"/>
              </w:rPr>
            </w:pPr>
            <w:r>
              <w:rPr>
                <w:kern w:val="0"/>
                <w:lang w:val="ru-RU" w:eastAsia="ru-RU" w:bidi="ar-SA"/>
              </w:rPr>
              <w:t xml:space="preserve">Поставка Товара осуществляется с применением автоматизированной системы безналичного расчёта с помощью магнитных (электронных) </w:t>
            </w:r>
            <w:r>
              <w:rPr>
                <w:kern w:val="0"/>
                <w:shd w:fill="FFFF00" w:val="clear"/>
                <w:lang w:val="ru-RU" w:eastAsia="ru-RU" w:bidi="ar-SA"/>
              </w:rPr>
              <w:t>карт через сеть автозаправочных станций, ближайшая станция должна находиться не более 20 км от учреждения,  а иметь другие станции на территории Свердловской области.</w:t>
            </w:r>
          </w:p>
        </w:tc>
      </w:tr>
      <w:tr>
        <w:trPr/>
        <w:tc>
          <w:tcPr>
            <w:tcW w:w="765" w:type="dxa"/>
            <w:tcBorders/>
            <w:shd w:color="auto" w:fill="F2F2F2" w:val="clear"/>
          </w:tcPr>
          <w:p>
            <w:pPr>
              <w:pStyle w:val="Normal"/>
              <w:widowControl w:val="false"/>
              <w:numPr>
                <w:ilvl w:val="2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2882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Условия поставки товара (выполнения работ, оказания услуг)</w:t>
            </w:r>
          </w:p>
        </w:tc>
        <w:tc>
          <w:tcPr>
            <w:tcW w:w="6271" w:type="dxa"/>
            <w:gridSpan w:val="2"/>
            <w:tcBorders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 xml:space="preserve">Поставка Товара осуществляется с применением автоматизированной системы безналичного расчёта с помощью магнитных (электронных) карт через сеть автозаправочных станций, которые должны соответствовать требованиям, установленным в техническом задании. </w:t>
            </w:r>
          </w:p>
        </w:tc>
      </w:tr>
      <w:tr>
        <w:trPr/>
        <w:tc>
          <w:tcPr>
            <w:tcW w:w="765" w:type="dxa"/>
            <w:tcBorders/>
            <w:shd w:color="auto" w:fill="F2F2F2" w:val="clear"/>
          </w:tcPr>
          <w:p>
            <w:pPr>
              <w:pStyle w:val="Normal"/>
              <w:widowControl w:val="false"/>
              <w:numPr>
                <w:ilvl w:val="2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2882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Сроки (периоды) поставки товара, выполнения работы, оказания услуги</w:t>
            </w:r>
          </w:p>
        </w:tc>
        <w:tc>
          <w:tcPr>
            <w:tcW w:w="6271" w:type="dxa"/>
            <w:gridSpan w:val="2"/>
            <w:tcBorders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с 01 июля 2026 г. по 31 декабря  2026 г. включительно.</w:t>
            </w:r>
          </w:p>
        </w:tc>
      </w:tr>
      <w:tr>
        <w:trPr/>
        <w:tc>
          <w:tcPr>
            <w:tcW w:w="765" w:type="dxa"/>
            <w:tcBorders/>
            <w:shd w:color="auto" w:fill="F2F2F2" w:val="clear"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9153" w:type="dxa"/>
            <w:gridSpan w:val="3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Сведения о начальной (максимальной) цене договора, либо формула цены и максимальное значение цены договора, либо цена единицы товара, работ, услуг и максимальное значение цены договора</w:t>
            </w:r>
          </w:p>
        </w:tc>
      </w:tr>
      <w:tr>
        <w:trPr/>
        <w:tc>
          <w:tcPr>
            <w:tcW w:w="765" w:type="dxa"/>
            <w:tcBorders/>
            <w:shd w:color="auto" w:fill="F2F2F2" w:val="clear"/>
          </w:tcPr>
          <w:p>
            <w:pPr>
              <w:pStyle w:val="Normal"/>
              <w:widowControl w:val="false"/>
              <w:numPr>
                <w:ilvl w:val="2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2882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 xml:space="preserve">Начальная (максимальная) цена договора </w:t>
            </w:r>
          </w:p>
        </w:tc>
        <w:tc>
          <w:tcPr>
            <w:tcW w:w="6271" w:type="dxa"/>
            <w:gridSpan w:val="2"/>
            <w:tcBorders/>
          </w:tcPr>
          <w:p>
            <w:pPr>
              <w:pStyle w:val="Normal"/>
              <w:widowControl w:val="false"/>
              <w:suppressAutoHyphens w:val="false"/>
              <w:spacing w:before="240" w:after="60"/>
              <w:rPr>
                <w:kern w:val="0"/>
                <w:lang w:val="ru-RU" w:bidi="ar-SA"/>
              </w:rPr>
            </w:pPr>
            <w:r>
              <w:rPr>
                <w:rFonts w:eastAsia="Calibri"/>
                <w:b/>
                <w:bCs/>
                <w:kern w:val="0"/>
                <w:lang w:val="ru-RU" w:eastAsia="ru-RU" w:bidi="ar-SA"/>
              </w:rPr>
              <w:t>143180,70 рублей (Сто сорок три   тысячи сто восемьдесят рублей 70 копеек)</w:t>
            </w:r>
          </w:p>
        </w:tc>
      </w:tr>
      <w:tr>
        <w:trPr/>
        <w:tc>
          <w:tcPr>
            <w:tcW w:w="765" w:type="dxa"/>
            <w:tcBorders/>
            <w:shd w:color="auto" w:fill="F2F2F2" w:val="clear"/>
          </w:tcPr>
          <w:p>
            <w:pPr>
              <w:pStyle w:val="Normal"/>
              <w:widowControl w:val="false"/>
              <w:numPr>
                <w:ilvl w:val="2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2882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Цена единицы товара, работ, услуг/начальная сумма цен единиц товара, работ, услуг</w:t>
            </w:r>
          </w:p>
        </w:tc>
        <w:tc>
          <w:tcPr>
            <w:tcW w:w="6271" w:type="dxa"/>
            <w:gridSpan w:val="2"/>
            <w:tcBorders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Не применяется</w:t>
            </w:r>
          </w:p>
        </w:tc>
      </w:tr>
      <w:tr>
        <w:trPr/>
        <w:tc>
          <w:tcPr>
            <w:tcW w:w="765" w:type="dxa"/>
            <w:tcBorders/>
            <w:shd w:color="auto" w:fill="F2F2F2" w:val="clear"/>
          </w:tcPr>
          <w:p>
            <w:pPr>
              <w:pStyle w:val="Normal"/>
              <w:widowControl w:val="false"/>
              <w:numPr>
                <w:ilvl w:val="2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2882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Формула цены</w:t>
            </w:r>
          </w:p>
        </w:tc>
        <w:tc>
          <w:tcPr>
            <w:tcW w:w="6271" w:type="dxa"/>
            <w:gridSpan w:val="2"/>
            <w:tcBorders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Не применяется</w:t>
            </w:r>
          </w:p>
        </w:tc>
      </w:tr>
      <w:tr>
        <w:trPr/>
        <w:tc>
          <w:tcPr>
            <w:tcW w:w="765" w:type="dxa"/>
            <w:tcBorders/>
            <w:shd w:color="auto" w:fill="F2F2F2" w:val="clear"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2882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Обоснование начальной (максимальной) цены договора либо цены единицы товара, работы, услуги, включая информацию о расходах на перевозку, страхование, уплату таможенных пошлин, налогов и других обязательных платежей</w:t>
            </w:r>
          </w:p>
        </w:tc>
        <w:tc>
          <w:tcPr>
            <w:tcW w:w="627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Метод определения начальной (максимальной) цены договора: Обоснование начальных цен единиц товара, работы, услуги: в соответствии с обоснованием начальной суммы цен единиц товара и расчета коэффициента вариации начальной суммы цен единицы товара на поставку ГСМ (отдельный файл приложения к Извещению).</w:t>
            </w:r>
          </w:p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Максимальное значение цены договора, максимальные значения цен единиц товаров включают в себя: причитающееся Поставщику вознаграждение и компенсацию всех его расходов и издержек, необходимых для надлежащего и полного исполнения своих обязательств по настоящему договору, себестоимость Товара, затраты по эксплуатации машин и механизмов, расходы на выплату сотрудникам, затраты на оформление и обслуживание документов (топливных талонов), страхование, уплату пошлин, налогов, сборов и иных обязательных платежей, установленных законодательством РФ. Затраты не включенные в максимальное значение цены договора, максимальные значения цен единиц товаров не подлежат оплате со стороны Заказчика.</w:t>
            </w:r>
          </w:p>
        </w:tc>
      </w:tr>
      <w:tr>
        <w:trPr/>
        <w:tc>
          <w:tcPr>
            <w:tcW w:w="765" w:type="dxa"/>
            <w:tcBorders/>
            <w:shd w:color="auto" w:fill="F2F2F2" w:val="clear"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2882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Источник финансирования закупки</w:t>
            </w:r>
          </w:p>
        </w:tc>
        <w:tc>
          <w:tcPr>
            <w:tcW w:w="627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rPr>
                <w:kern w:val="0"/>
                <w:lang w:val="ru-RU" w:bidi="ar-SA"/>
              </w:rPr>
            </w:pPr>
            <w:r>
              <w:rPr>
                <w:kern w:val="0"/>
                <w:lang w:val="ru-RU" w:eastAsia="en-US" w:bidi="ar-SA"/>
              </w:rPr>
              <w:t>30015009940</w:t>
            </w:r>
          </w:p>
        </w:tc>
      </w:tr>
      <w:tr>
        <w:trPr/>
        <w:tc>
          <w:tcPr>
            <w:tcW w:w="765" w:type="dxa"/>
            <w:tcBorders/>
            <w:shd w:color="auto" w:fill="F2F2F2" w:val="clear"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2882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Информация о валюте, используемой для формирования цены договора и расчетов с поставщиками (исполнителями, подрядчиками)</w:t>
            </w:r>
          </w:p>
        </w:tc>
        <w:tc>
          <w:tcPr>
            <w:tcW w:w="627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Российский рубль</w:t>
            </w:r>
          </w:p>
        </w:tc>
      </w:tr>
      <w:tr>
        <w:trPr/>
        <w:tc>
          <w:tcPr>
            <w:tcW w:w="765" w:type="dxa"/>
            <w:tcBorders/>
            <w:shd w:color="auto" w:fill="F2F2F2" w:val="clear"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2882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Порядок применения официального курса иностранной валюты к российскому рублю, установленного Центральным банком Российской Федерации и используемого при оплате договора</w:t>
            </w:r>
          </w:p>
        </w:tc>
        <w:tc>
          <w:tcPr>
            <w:tcW w:w="627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Не применяется</w:t>
            </w:r>
          </w:p>
        </w:tc>
      </w:tr>
      <w:tr>
        <w:trPr/>
        <w:tc>
          <w:tcPr>
            <w:tcW w:w="765" w:type="dxa"/>
            <w:vMerge w:val="restart"/>
            <w:tcBorders/>
            <w:shd w:color="auto" w:fill="F2F2F2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before="60" w:after="60"/>
              <w:ind w:hanging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2882" w:type="dxa"/>
            <w:vMerge w:val="restart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Срок, место и порядок предоставления извещения об осуществлении закупки, размер, порядок и сроки внесения платы, взимаемой заказчиком за предоставление данного извещения, если такая плата установлена заказчиком, за исключением случаев предоставления извещения об осуществлении закупки в форме электронного документа</w:t>
            </w:r>
          </w:p>
        </w:tc>
        <w:tc>
          <w:tcPr>
            <w:tcW w:w="627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color w:val="FF0000"/>
                <w:lang w:eastAsia="en-US"/>
              </w:rPr>
            </w:pPr>
            <w:r>
              <w:rPr>
                <w:color w:val="FF0000"/>
                <w:kern w:val="0"/>
                <w:lang w:val="ru-RU" w:eastAsia="en-US" w:bidi="ar-SA"/>
              </w:rPr>
              <w:t xml:space="preserve">Дата начала  подачи заявок на участие в запросе котировок: </w:t>
            </w:r>
            <w:r>
              <w:rPr>
                <w:color w:val="FF0000"/>
                <w:kern w:val="0"/>
                <w:u w:val="single"/>
                <w:lang w:val="ru-RU" w:eastAsia="en-US" w:bidi="ar-SA"/>
              </w:rPr>
              <w:t>с момента публикации извещения</w:t>
            </w:r>
          </w:p>
          <w:p>
            <w:pPr>
              <w:pStyle w:val="Normal"/>
              <w:widowControl w:val="false"/>
              <w:suppressAutoHyphens w:val="false"/>
              <w:spacing w:before="60" w:after="60"/>
              <w:rPr>
                <w:color w:val="FF0000"/>
                <w:lang w:eastAsia="en-US"/>
              </w:rPr>
            </w:pPr>
            <w:r>
              <w:rPr>
                <w:color w:val="FF0000"/>
                <w:kern w:val="0"/>
                <w:lang w:val="ru-RU" w:eastAsia="en-US" w:bidi="ar-SA"/>
              </w:rPr>
              <w:t>Дата окончания срока подачи  заявок на участие в запросе котировок: 1</w:t>
            </w:r>
            <w:r>
              <w:rPr>
                <w:color w:val="FF0000"/>
                <w:kern w:val="0"/>
                <w:lang w:val="ru-RU" w:eastAsia="en-US" w:bidi="ar-SA"/>
              </w:rPr>
              <w:t>7</w:t>
            </w:r>
            <w:r>
              <w:rPr>
                <w:color w:val="FF0000"/>
                <w:kern w:val="0"/>
                <w:lang w:val="ru-RU" w:eastAsia="en-US" w:bidi="ar-SA"/>
              </w:rPr>
              <w:t xml:space="preserve">.06.2025 09:00:00 </w:t>
            </w:r>
            <w:r>
              <w:rPr>
                <w:color w:val="FF0000"/>
                <w:kern w:val="0"/>
                <w:u w:val="single"/>
                <w:lang w:val="ru-RU" w:eastAsia="en-US" w:bidi="ar-SA"/>
              </w:rPr>
              <w:t>(по местному времени Заказчика).</w:t>
            </w:r>
          </w:p>
        </w:tc>
      </w:tr>
      <w:tr>
        <w:trPr/>
        <w:tc>
          <w:tcPr>
            <w:tcW w:w="765" w:type="dxa"/>
            <w:vMerge w:val="continue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2882" w:type="dxa"/>
            <w:vMerge w:val="continue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627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color w:val="0563C1"/>
                <w:u w:val="single"/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Извещение об осуществлении закупки размещено в информационно-телекоммуникационной сети «Интернет» в единой информационной системе, предусмотренной Федеральным законом от 18.07.2011 № 223-ФЗ «О закупках товаров, Работ, услуг отдельными видами юридических лиц» по адресу:</w:t>
            </w:r>
            <w:r>
              <w:rPr>
                <w:kern w:val="0"/>
                <w:lang w:val="ru-RU" w:eastAsia="ru-RU" w:bidi="ar-SA"/>
              </w:rPr>
              <w:t xml:space="preserve"> </w:t>
            </w:r>
            <w:hyperlink r:id="rId2">
              <w:r>
                <w:rPr>
                  <w:rStyle w:val="ListLabel29"/>
                  <w:color w:val="0000FF"/>
                  <w:kern w:val="0"/>
                  <w:u w:val="single"/>
                  <w:lang w:val="en-US" w:eastAsia="en-US" w:bidi="ar-SA"/>
                </w:rPr>
                <w:t>www</w:t>
              </w:r>
              <w:r>
                <w:rPr>
                  <w:rStyle w:val="ListLabel29"/>
                  <w:color w:val="0000FF"/>
                  <w:kern w:val="0"/>
                  <w:u w:val="single"/>
                  <w:lang w:val="ru-RU" w:eastAsia="en-US" w:bidi="ar-SA"/>
                </w:rPr>
                <w:t>.zakupki.gov.ru</w:t>
              </w:r>
            </w:hyperlink>
            <w:r>
              <w:rPr>
                <w:kern w:val="0"/>
                <w:lang w:val="ru-RU" w:eastAsia="en-US" w:bidi="ar-SA"/>
              </w:rPr>
              <w:t xml:space="preserve"> и на сайте электронной площадки по адресу:</w:t>
            </w:r>
            <w:r>
              <w:rPr>
                <w:kern w:val="0"/>
                <w:lang w:val="ru-RU" w:eastAsia="ru-RU" w:bidi="ar-SA"/>
              </w:rPr>
              <w:t xml:space="preserve"> </w:t>
            </w:r>
            <w:hyperlink r:id="rId3">
              <w:r>
                <w:rPr>
                  <w:rStyle w:val="Hyperlink"/>
                  <w:kern w:val="0"/>
                  <w:sz w:val="22"/>
                  <w:szCs w:val="22"/>
                  <w:lang w:val="ru-RU" w:eastAsia="ru-RU" w:bidi="ar-SA"/>
                </w:rPr>
                <w:t>https://etp-region.ru</w:t>
              </w:r>
            </w:hyperlink>
            <w:r>
              <w:rPr>
                <w:kern w:val="0"/>
                <w:lang w:val="ru-RU" w:eastAsia="en-US" w:bidi="ar-SA"/>
              </w:rPr>
              <w:t>.</w:t>
            </w:r>
          </w:p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Информация доступна для ознакомления без взимания платы.</w:t>
            </w:r>
          </w:p>
        </w:tc>
      </w:tr>
      <w:tr>
        <w:trPr/>
        <w:tc>
          <w:tcPr>
            <w:tcW w:w="765" w:type="dxa"/>
            <w:tcBorders/>
            <w:shd w:color="auto" w:fill="F2F2F2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before="60" w:after="60"/>
              <w:ind w:hanging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2882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627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hyperlink r:id="rId4">
              <w:r>
                <w:rPr>
                  <w:rStyle w:val="Hyperlink"/>
                  <w:kern w:val="0"/>
                  <w:sz w:val="22"/>
                  <w:szCs w:val="22"/>
                  <w:lang w:val="ru-RU" w:eastAsia="ru-RU" w:bidi="ar-SA"/>
                </w:rPr>
                <w:t>https://etp-region.ru</w:t>
              </w:r>
            </w:hyperlink>
          </w:p>
        </w:tc>
      </w:tr>
      <w:tr>
        <w:trPr/>
        <w:tc>
          <w:tcPr>
            <w:tcW w:w="765" w:type="dxa"/>
            <w:tcBorders/>
            <w:shd w:color="auto" w:fill="F2F2F2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before="60" w:after="60"/>
              <w:ind w:hanging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9153" w:type="dxa"/>
            <w:gridSpan w:val="3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Требования к участнику закупки</w:t>
            </w:r>
          </w:p>
        </w:tc>
      </w:tr>
      <w:tr>
        <w:trPr>
          <w:trHeight w:val="273" w:hRule="atLeast"/>
        </w:trPr>
        <w:tc>
          <w:tcPr>
            <w:tcW w:w="765" w:type="dxa"/>
            <w:vMerge w:val="restart"/>
            <w:tcBorders/>
            <w:shd w:color="auto" w:fill="F2F2F2" w:val="clear"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4705" w:type="dxa"/>
            <w:gridSpan w:val="2"/>
            <w:vMerge w:val="restart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</w:t>
            </w:r>
          </w:p>
        </w:tc>
        <w:tc>
          <w:tcPr>
            <w:tcW w:w="444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color w:val="FFFFFF"/>
                <w:highlight w:val="green"/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 xml:space="preserve">Установлено </w:t>
            </w:r>
          </w:p>
        </w:tc>
      </w:tr>
      <w:tr>
        <w:trPr>
          <w:trHeight w:val="556" w:hRule="atLeast"/>
        </w:trPr>
        <w:tc>
          <w:tcPr>
            <w:tcW w:w="765" w:type="dxa"/>
            <w:vMerge w:val="continue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4705" w:type="dxa"/>
            <w:gridSpan w:val="2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444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60" w:after="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</w:tr>
      <w:tr>
        <w:trPr/>
        <w:tc>
          <w:tcPr>
            <w:tcW w:w="765" w:type="dxa"/>
            <w:tcBorders/>
            <w:shd w:color="auto" w:fill="F2F2F2" w:val="clear"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470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Непроведение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</w:t>
            </w:r>
          </w:p>
        </w:tc>
        <w:tc>
          <w:tcPr>
            <w:tcW w:w="444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Установлено</w:t>
            </w:r>
          </w:p>
        </w:tc>
      </w:tr>
      <w:tr>
        <w:trPr/>
        <w:tc>
          <w:tcPr>
            <w:tcW w:w="765" w:type="dxa"/>
            <w:tcBorders/>
            <w:shd w:color="auto" w:fill="F2F2F2" w:val="clear"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470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Неприостановление деятельности участника закупки в порядке, установленном Кодексом Российской Федерации об административных правонарушениях</w:t>
            </w:r>
          </w:p>
        </w:tc>
        <w:tc>
          <w:tcPr>
            <w:tcW w:w="444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Установлено</w:t>
            </w:r>
          </w:p>
        </w:tc>
      </w:tr>
      <w:tr>
        <w:trPr/>
        <w:tc>
          <w:tcPr>
            <w:tcW w:w="765" w:type="dxa"/>
            <w:tcBorders/>
            <w:shd w:color="auto" w:fill="F2F2F2" w:val="clear"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470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(финансовой) отчетности за последний отчетный период</w:t>
            </w:r>
            <w:r>
              <w:rPr>
                <w:rStyle w:val="FootnoteReference"/>
                <w:kern w:val="0"/>
                <w:lang w:val="ru-RU" w:eastAsia="en-US" w:bidi="ar-SA"/>
              </w:rPr>
              <w:footnoteReference w:id="2"/>
            </w:r>
          </w:p>
        </w:tc>
        <w:tc>
          <w:tcPr>
            <w:tcW w:w="444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Установлено</w:t>
            </w:r>
          </w:p>
        </w:tc>
      </w:tr>
      <w:tr>
        <w:trPr/>
        <w:tc>
          <w:tcPr>
            <w:tcW w:w="765" w:type="dxa"/>
            <w:tcBorders/>
            <w:shd w:color="auto" w:fill="F2F2F2" w:val="clear"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470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Отсутствие у участника закупки - физического лица, в том числе индивидуального предпринимателя,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непогашенной или неснятой судимости за преступления в сфере экономики и (или) преступления, предусмотренные статьями 289, 290, 291, 291.1 Уголовного кодекса Российской Федерации,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предметом осуществляемой закупки, и административного наказания в виде дисквалификации</w:t>
            </w:r>
          </w:p>
        </w:tc>
        <w:tc>
          <w:tcPr>
            <w:tcW w:w="444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Установлено</w:t>
            </w:r>
          </w:p>
        </w:tc>
      </w:tr>
      <w:tr>
        <w:trPr/>
        <w:tc>
          <w:tcPr>
            <w:tcW w:w="765" w:type="dxa"/>
            <w:tcBorders/>
            <w:shd w:color="auto" w:fill="F2F2F2" w:val="clear"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470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Отсутствие фактов привлечения в течение двух лет до момента подачи заявки на участие в закупке участника закупки - юридического лица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444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Установлено</w:t>
            </w:r>
          </w:p>
        </w:tc>
      </w:tr>
      <w:tr>
        <w:trPr/>
        <w:tc>
          <w:tcPr>
            <w:tcW w:w="765" w:type="dxa"/>
            <w:tcBorders/>
            <w:shd w:color="auto" w:fill="F2F2F2" w:val="clear"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470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Обладание участником закупки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</w:t>
            </w:r>
          </w:p>
        </w:tc>
        <w:tc>
          <w:tcPr>
            <w:tcW w:w="444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Не установлено</w:t>
            </w:r>
          </w:p>
        </w:tc>
      </w:tr>
      <w:tr>
        <w:trPr/>
        <w:tc>
          <w:tcPr>
            <w:tcW w:w="765" w:type="dxa"/>
            <w:tcBorders/>
            <w:shd w:color="auto" w:fill="F2F2F2" w:val="clear"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470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</w:t>
            </w:r>
          </w:p>
        </w:tc>
        <w:tc>
          <w:tcPr>
            <w:tcW w:w="444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highlight w:val="yellow"/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Не установлено</w:t>
            </w:r>
          </w:p>
        </w:tc>
      </w:tr>
      <w:tr>
        <w:trPr/>
        <w:tc>
          <w:tcPr>
            <w:tcW w:w="765" w:type="dxa"/>
            <w:tcBorders/>
            <w:shd w:color="auto" w:fill="F2F2F2" w:val="clear"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470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Отсутствие сведений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лица, в реестре недобросовестных поставщиков, предусмотренном Федеральным законом от 18.07.2011 № 223-ФЗ «О закупках товаров, работ, услуг отдельными видами юридических лиц» и в реестре недобросовестных поставщиков, предусмотренном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444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Установлено</w:t>
            </w:r>
          </w:p>
        </w:tc>
      </w:tr>
      <w:tr>
        <w:trPr/>
        <w:tc>
          <w:tcPr>
            <w:tcW w:w="765" w:type="dxa"/>
            <w:tcBorders/>
            <w:shd w:color="auto" w:fill="F2F2F2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before="60" w:after="60"/>
              <w:ind w:hanging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9153" w:type="dxa"/>
            <w:gridSpan w:val="3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Порядок, дата начала, дата и время окончания срока подачи заявок на участие в закупке (этапах конкурентной закупки) и порядок подведения итогов конкурентной закупки (этапов конкурентной закупки)</w:t>
            </w:r>
          </w:p>
        </w:tc>
      </w:tr>
      <w:tr>
        <w:trPr/>
        <w:tc>
          <w:tcPr>
            <w:tcW w:w="765" w:type="dxa"/>
            <w:tcBorders/>
            <w:shd w:color="auto" w:fill="F2F2F2" w:val="clear"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2882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Порядок подачи заявок на участие в закупке</w:t>
            </w:r>
          </w:p>
        </w:tc>
        <w:tc>
          <w:tcPr>
            <w:tcW w:w="627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В соответствии в Положением о закупках</w:t>
            </w:r>
          </w:p>
        </w:tc>
      </w:tr>
      <w:tr>
        <w:trPr/>
        <w:tc>
          <w:tcPr>
            <w:tcW w:w="765" w:type="dxa"/>
            <w:tcBorders/>
            <w:shd w:color="auto" w:fill="F2F2F2" w:val="clear"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2882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Требования к оформлению документов, входящих в состав заявки</w:t>
            </w:r>
          </w:p>
        </w:tc>
        <w:tc>
          <w:tcPr>
            <w:tcW w:w="627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Электронные документы, входящие в состав заявки должны иметь один из распространенных форматов документов: с расширением (*.doc), (*.docx), (*.xls), (*.xlsx), (*.pdf), (*.jpg) и т.д.</w:t>
            </w:r>
          </w:p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Документы, подписанные электронной подпись (далее – ЭП) участника закупки, лица, имеющего право действовать от имени участника закупки, признаются документами, подписанными собственноручной подписью участника закупки, лица имеющего право действовать от имени участника, заверенные оттиском печати организации.</w:t>
            </w:r>
          </w:p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Наличие ЭП участника закупки подтверждает, что документ отправлен от имени участника закупки и являются точными цифровыми копиями документов-оригиналов.</w:t>
            </w:r>
          </w:p>
          <w:p>
            <w:pPr>
              <w:pStyle w:val="Normal"/>
              <w:widowControl w:val="false"/>
              <w:suppressAutoHyphens w:val="false"/>
              <w:spacing w:before="60" w:after="60"/>
              <w:rPr>
                <w:b/>
                <w:sz w:val="32"/>
                <w:u w:val="single"/>
                <w:lang w:eastAsia="en-US"/>
              </w:rPr>
            </w:pPr>
            <w:r>
              <w:rPr>
                <w:b/>
                <w:kern w:val="0"/>
                <w:sz w:val="32"/>
                <w:u w:val="single"/>
                <w:lang w:val="ru-RU" w:eastAsia="en-US" w:bidi="ar-SA"/>
              </w:rPr>
              <w:t>Файлы формируются по принципу: один файл – один документ.</w:t>
            </w:r>
          </w:p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 xml:space="preserve">Все файлы не должны иметь защиты от их открытия, изменения, копирования их содержимого или их печати. </w:t>
            </w:r>
          </w:p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Файлы должны быть именованы так, чтобы из их названия ясно следовало, какой документ, требуемый извещением, в каком файле находится.</w:t>
            </w:r>
          </w:p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Все документы, входящие в состав заявки должны быть подписаны электронной подписью лица, имеющего право действовать от имени участника закупок.</w:t>
            </w:r>
          </w:p>
        </w:tc>
      </w:tr>
      <w:tr>
        <w:trPr/>
        <w:tc>
          <w:tcPr>
            <w:tcW w:w="765" w:type="dxa"/>
            <w:tcBorders/>
            <w:shd w:color="auto" w:fill="F2F2F2" w:val="clear"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2882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Дата и время начала срока подачи заявок на участие в закупке</w:t>
            </w:r>
          </w:p>
        </w:tc>
        <w:tc>
          <w:tcPr>
            <w:tcW w:w="627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с момента публикации извещения</w:t>
            </w:r>
          </w:p>
          <w:p>
            <w:pPr>
              <w:pStyle w:val="Normal"/>
              <w:widowControl w:val="false"/>
              <w:suppressAutoHyphens w:val="false"/>
              <w:spacing w:before="60" w:after="60"/>
              <w:rPr>
                <w:highlight w:val="yellow"/>
                <w:lang w:eastAsia="en-US"/>
              </w:rPr>
            </w:pPr>
            <w:r>
              <w:rPr>
                <w:kern w:val="0"/>
                <w:highlight w:val="yellow"/>
                <w:lang w:val="ru-RU" w:eastAsia="en-US" w:bidi="ar-SA"/>
              </w:rPr>
            </w:r>
          </w:p>
        </w:tc>
      </w:tr>
      <w:tr>
        <w:trPr/>
        <w:tc>
          <w:tcPr>
            <w:tcW w:w="765" w:type="dxa"/>
            <w:tcBorders/>
            <w:shd w:color="auto" w:fill="F2F2F2" w:val="clear"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2882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Дата и время окончания срока подачи заявок на участие в закупке</w:t>
            </w:r>
          </w:p>
        </w:tc>
        <w:tc>
          <w:tcPr>
            <w:tcW w:w="627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highlight w:val="yellow"/>
                <w:u w:val="single"/>
                <w:lang w:eastAsia="en-US"/>
              </w:rPr>
            </w:pPr>
            <w:r>
              <w:rPr>
                <w:color w:val="FF0000"/>
                <w:kern w:val="0"/>
                <w:u w:val="single"/>
                <w:lang w:val="ru-RU" w:eastAsia="en-US" w:bidi="ar-SA"/>
              </w:rPr>
              <w:t>1</w:t>
            </w:r>
            <w:r>
              <w:rPr>
                <w:color w:val="FF0000"/>
                <w:kern w:val="0"/>
                <w:u w:val="single"/>
                <w:lang w:val="ru-RU" w:eastAsia="en-US" w:bidi="ar-SA"/>
              </w:rPr>
              <w:t>7.</w:t>
            </w:r>
            <w:r>
              <w:rPr>
                <w:color w:val="FF0000"/>
                <w:kern w:val="0"/>
                <w:u w:val="single"/>
                <w:lang w:val="ru-RU" w:eastAsia="en-US" w:bidi="ar-SA"/>
              </w:rPr>
              <w:t>06.2026 09:00:00 (по местному времени Заказчика)</w:t>
            </w:r>
          </w:p>
        </w:tc>
      </w:tr>
      <w:tr>
        <w:trPr/>
        <w:tc>
          <w:tcPr>
            <w:tcW w:w="765" w:type="dxa"/>
            <w:tcBorders/>
            <w:shd w:color="auto" w:fill="F2F2F2" w:val="clear"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2882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Дата и время подведения итогов закупки</w:t>
            </w:r>
          </w:p>
        </w:tc>
        <w:tc>
          <w:tcPr>
            <w:tcW w:w="627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color w:val="FF0000"/>
                <w:highlight w:val="yellow"/>
                <w:u w:val="single"/>
                <w:lang w:eastAsia="en-US"/>
              </w:rPr>
            </w:pPr>
            <w:r>
              <w:rPr>
                <w:color w:val="FF0000"/>
                <w:kern w:val="0"/>
                <w:u w:val="single"/>
                <w:lang w:val="ru-RU" w:eastAsia="en-US" w:bidi="ar-SA"/>
              </w:rPr>
              <w:t>1</w:t>
            </w:r>
            <w:bookmarkStart w:id="0" w:name="_GoBack"/>
            <w:bookmarkEnd w:id="0"/>
            <w:r>
              <w:rPr>
                <w:color w:val="FF0000"/>
                <w:kern w:val="0"/>
                <w:u w:val="single"/>
                <w:lang w:val="ru-RU" w:eastAsia="en-US" w:bidi="ar-SA"/>
              </w:rPr>
              <w:t>7</w:t>
            </w:r>
            <w:r>
              <w:rPr>
                <w:color w:val="FF0000"/>
                <w:kern w:val="0"/>
                <w:u w:val="single"/>
                <w:lang w:val="ru-RU" w:eastAsia="en-US" w:bidi="ar-SA"/>
              </w:rPr>
              <w:t>.06.2026 10:00:00 (по местному времени Заказчика)</w:t>
            </w:r>
          </w:p>
        </w:tc>
      </w:tr>
      <w:tr>
        <w:trPr/>
        <w:tc>
          <w:tcPr>
            <w:tcW w:w="765" w:type="dxa"/>
            <w:tcBorders/>
            <w:shd w:color="auto" w:fill="F2F2F2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before="60" w:after="60"/>
              <w:ind w:hanging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9153" w:type="dxa"/>
            <w:gridSpan w:val="3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 xml:space="preserve">Требования к составу заявки на участие в закупке </w:t>
            </w:r>
          </w:p>
        </w:tc>
      </w:tr>
      <w:tr>
        <w:trPr>
          <w:trHeight w:val="248" w:hRule="atLeast"/>
        </w:trPr>
        <w:tc>
          <w:tcPr>
            <w:tcW w:w="765" w:type="dxa"/>
            <w:vMerge w:val="restart"/>
            <w:tcBorders/>
            <w:shd w:color="auto" w:fill="F2F2F2" w:val="clear"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4705" w:type="dxa"/>
            <w:gridSpan w:val="2"/>
            <w:vMerge w:val="restart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Предложение о цене договора (единицы товара, работы, услуги)</w:t>
            </w:r>
          </w:p>
        </w:tc>
        <w:tc>
          <w:tcPr>
            <w:tcW w:w="444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Установлено</w:t>
            </w:r>
          </w:p>
        </w:tc>
      </w:tr>
      <w:tr>
        <w:trPr>
          <w:trHeight w:val="248" w:hRule="atLeast"/>
        </w:trPr>
        <w:tc>
          <w:tcPr>
            <w:tcW w:w="765" w:type="dxa"/>
            <w:vMerge w:val="continue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4705" w:type="dxa"/>
            <w:gridSpan w:val="2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444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Представляется с использованием программно-аппаратных средств электронной площадки</w:t>
            </w:r>
          </w:p>
        </w:tc>
      </w:tr>
      <w:tr>
        <w:trPr>
          <w:trHeight w:val="248" w:hRule="atLeast"/>
        </w:trPr>
        <w:tc>
          <w:tcPr>
            <w:tcW w:w="765" w:type="dxa"/>
            <w:vMerge w:val="restart"/>
            <w:tcBorders/>
            <w:shd w:color="auto" w:fill="F2F2F2" w:val="clear"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4705" w:type="dxa"/>
            <w:gridSpan w:val="2"/>
            <w:vMerge w:val="restart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Предложение участника закупки в отношении предмета закупки</w:t>
            </w:r>
          </w:p>
        </w:tc>
        <w:tc>
          <w:tcPr>
            <w:tcW w:w="444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Установлено</w:t>
            </w:r>
          </w:p>
        </w:tc>
      </w:tr>
      <w:tr>
        <w:trPr>
          <w:trHeight w:val="435" w:hRule="atLeast"/>
        </w:trPr>
        <w:tc>
          <w:tcPr>
            <w:tcW w:w="765" w:type="dxa"/>
            <w:vMerge w:val="continue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4705" w:type="dxa"/>
            <w:gridSpan w:val="2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444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Согласие участника закупки (Форма 2)</w:t>
            </w:r>
          </w:p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</w:tr>
      <w:tr>
        <w:trPr>
          <w:trHeight w:val="89" w:hRule="atLeast"/>
        </w:trPr>
        <w:tc>
          <w:tcPr>
            <w:tcW w:w="765" w:type="dxa"/>
            <w:vMerge w:val="restart"/>
            <w:tcBorders/>
            <w:shd w:color="auto" w:fill="F2F2F2" w:val="clear"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4705" w:type="dxa"/>
            <w:gridSpan w:val="2"/>
            <w:vMerge w:val="restart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 xml:space="preserve">Наименование, фирменное наименование (при наличии), адрес юридического лица в пределах места нахождения юридического лица, если участником закупки является </w:t>
            </w:r>
            <w:r>
              <w:rPr>
                <w:i/>
                <w:kern w:val="0"/>
                <w:lang w:val="ru-RU" w:eastAsia="en-US" w:bidi="ar-SA"/>
              </w:rPr>
              <w:t>юридическое лицо;</w:t>
            </w:r>
          </w:p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 xml:space="preserve">Фамилия, имя, отчество (при наличии), паспортные данные, адрес места жительства физического лица, зарегистрированного в качестве индивидуального предпринимателя, если участником закупки является </w:t>
            </w:r>
            <w:r>
              <w:rPr>
                <w:i/>
                <w:kern w:val="0"/>
                <w:lang w:val="ru-RU" w:eastAsia="en-US" w:bidi="ar-SA"/>
              </w:rPr>
              <w:t>индивидуальный предприниматель</w:t>
            </w:r>
          </w:p>
        </w:tc>
        <w:tc>
          <w:tcPr>
            <w:tcW w:w="444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Установлено</w:t>
            </w:r>
          </w:p>
        </w:tc>
      </w:tr>
      <w:tr>
        <w:trPr>
          <w:trHeight w:val="480" w:hRule="atLeast"/>
        </w:trPr>
        <w:tc>
          <w:tcPr>
            <w:tcW w:w="765" w:type="dxa"/>
            <w:vMerge w:val="continue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4705" w:type="dxa"/>
            <w:gridSpan w:val="2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4448" w:type="dxa"/>
            <w:vMerge w:val="restart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Сведения об участнике закупки (Форма 1)</w:t>
            </w:r>
          </w:p>
        </w:tc>
      </w:tr>
      <w:tr>
        <w:trPr>
          <w:trHeight w:val="480" w:hRule="atLeast"/>
        </w:trPr>
        <w:tc>
          <w:tcPr>
            <w:tcW w:w="765" w:type="dxa"/>
            <w:vMerge w:val="continue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470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(</w:t>
            </w:r>
            <w:r>
              <w:rPr>
                <w:i/>
                <w:kern w:val="0"/>
                <w:lang w:val="ru-RU" w:eastAsia="en-US" w:bidi="ar-SA"/>
              </w:rPr>
              <w:t>для иностранного лица</w:t>
            </w:r>
            <w:r>
              <w:rPr>
                <w:kern w:val="0"/>
                <w:lang w:val="ru-RU" w:eastAsia="en-US" w:bidi="ar-SA"/>
              </w:rPr>
              <w:t>)</w:t>
            </w:r>
          </w:p>
        </w:tc>
        <w:tc>
          <w:tcPr>
            <w:tcW w:w="4448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</w:tr>
      <w:tr>
        <w:trPr>
          <w:trHeight w:val="480" w:hRule="atLeast"/>
        </w:trPr>
        <w:tc>
          <w:tcPr>
            <w:tcW w:w="765" w:type="dxa"/>
            <w:vMerge w:val="continue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470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Идентификационный номер налогоплательщика (при наличии) учредителей, членов коллегиального исполнительного органа, лица, исполняющего функции единоличного исполнительного органа юридического лица, если участником закупки является</w:t>
            </w:r>
            <w:r>
              <w:rPr>
                <w:i/>
                <w:kern w:val="0"/>
                <w:lang w:val="ru-RU" w:eastAsia="en-US" w:bidi="ar-SA"/>
              </w:rPr>
              <w:t xml:space="preserve"> юридическое лицо</w:t>
            </w:r>
            <w:r>
              <w:rPr>
                <w:kern w:val="0"/>
                <w:lang w:val="ru-RU" w:eastAsia="en-US" w:bidi="ar-SA"/>
              </w:rPr>
              <w:t xml:space="preserve">, или в соответствии с законодательством соответствующего </w:t>
            </w:r>
            <w:r>
              <w:rPr>
                <w:i/>
                <w:kern w:val="0"/>
                <w:lang w:val="ru-RU" w:eastAsia="en-US" w:bidi="ar-SA"/>
              </w:rPr>
              <w:t>иностранного</w:t>
            </w:r>
            <w:r>
              <w:rPr>
                <w:kern w:val="0"/>
                <w:lang w:val="ru-RU" w:eastAsia="en-US" w:bidi="ar-SA"/>
              </w:rPr>
              <w:t xml:space="preserve"> государства аналог идентификационного номера налогоплательщика таких лиц</w:t>
            </w:r>
          </w:p>
        </w:tc>
        <w:tc>
          <w:tcPr>
            <w:tcW w:w="4448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</w:tr>
      <w:tr>
        <w:trPr>
          <w:trHeight w:val="505" w:hRule="atLeast"/>
        </w:trPr>
        <w:tc>
          <w:tcPr>
            <w:tcW w:w="765" w:type="dxa"/>
            <w:tcBorders/>
            <w:shd w:color="auto" w:fill="F2F2F2" w:val="clear"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470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 xml:space="preserve">Учредительный документ, если участником закупки является </w:t>
            </w:r>
            <w:r>
              <w:rPr>
                <w:i/>
                <w:kern w:val="0"/>
                <w:lang w:val="ru-RU" w:eastAsia="en-US" w:bidi="ar-SA"/>
              </w:rPr>
              <w:t>юридическое лицо</w:t>
            </w:r>
          </w:p>
        </w:tc>
        <w:tc>
          <w:tcPr>
            <w:tcW w:w="444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Установлено</w:t>
            </w:r>
          </w:p>
        </w:tc>
      </w:tr>
      <w:tr>
        <w:trPr/>
        <w:tc>
          <w:tcPr>
            <w:tcW w:w="765" w:type="dxa"/>
            <w:tcBorders/>
            <w:shd w:color="auto" w:fill="F2F2F2" w:val="clear"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470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 xml:space="preserve">Копия документа, подтверждающего полномочия лица действовать от имени участника закупки, </w:t>
            </w:r>
            <w:r>
              <w:rPr>
                <w:i/>
                <w:kern w:val="0"/>
                <w:lang w:val="ru-RU" w:eastAsia="en-US" w:bidi="ar-SA"/>
              </w:rPr>
              <w:t>за исключением</w:t>
            </w:r>
            <w:r>
              <w:rPr>
                <w:kern w:val="0"/>
                <w:lang w:val="ru-RU" w:eastAsia="en-US" w:bidi="ar-SA"/>
              </w:rPr>
              <w:t xml:space="preserve"> случаев подписания заявки индивидуальным предпринимателем, если участником закупки является индивидуальный предприниматель, или лицом, указанным в едином государственном реестре юридических лиц в качестве лица, имеющего право без доверенности действовать от имени юридического лица, если участником закупки является юридическое лицо</w:t>
            </w:r>
          </w:p>
        </w:tc>
        <w:tc>
          <w:tcPr>
            <w:tcW w:w="444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Установлено</w:t>
            </w:r>
          </w:p>
        </w:tc>
      </w:tr>
      <w:tr>
        <w:trPr>
          <w:trHeight w:val="246" w:hRule="atLeast"/>
        </w:trPr>
        <w:tc>
          <w:tcPr>
            <w:tcW w:w="765" w:type="dxa"/>
            <w:vMerge w:val="restart"/>
            <w:tcBorders/>
            <w:shd w:color="auto" w:fill="F2F2F2" w:val="clear"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4705" w:type="dxa"/>
            <w:gridSpan w:val="2"/>
            <w:vMerge w:val="restart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 xml:space="preserve">Копии документов, подтверждающих соответствие участника закупки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закупки, </w:t>
            </w:r>
            <w:r>
              <w:rPr>
                <w:i/>
                <w:kern w:val="0"/>
                <w:lang w:val="ru-RU" w:eastAsia="en-US" w:bidi="ar-SA"/>
              </w:rPr>
              <w:t>за исключением</w:t>
            </w:r>
            <w:r>
              <w:rPr>
                <w:kern w:val="0"/>
                <w:lang w:val="ru-RU" w:eastAsia="en-US" w:bidi="ar-SA"/>
              </w:rPr>
              <w:t xml:space="preserve"> случая, если в соответствии с законодательством Российской Федерации информация и документы, подтверждающие такое соответствие, содержатся в открытых и общедоступных государственных реестрах, размещенных в информационно-телекоммуникационной сети «Интернет» (указывается сайт или страница сайта в информационно-телекоммуникационной сети «Интернет», на которых размещены эти информация и документы)</w:t>
            </w:r>
          </w:p>
        </w:tc>
        <w:tc>
          <w:tcPr>
            <w:tcW w:w="444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highlight w:val="yellow"/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Установлено</w:t>
            </w:r>
          </w:p>
        </w:tc>
      </w:tr>
      <w:tr>
        <w:trPr>
          <w:trHeight w:val="2107" w:hRule="atLeast"/>
        </w:trPr>
        <w:tc>
          <w:tcPr>
            <w:tcW w:w="765" w:type="dxa"/>
            <w:vMerge w:val="continue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4705" w:type="dxa"/>
            <w:gridSpan w:val="2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444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highlight w:val="yellow"/>
                <w:lang w:eastAsia="en-US"/>
              </w:rPr>
            </w:pPr>
            <w:r>
              <w:rPr>
                <w:kern w:val="0"/>
                <w:highlight w:val="yellow"/>
                <w:lang w:val="ru-RU" w:eastAsia="en-US" w:bidi="ar-SA"/>
              </w:rPr>
            </w:r>
          </w:p>
        </w:tc>
      </w:tr>
      <w:tr>
        <w:trPr>
          <w:trHeight w:val="1833" w:hRule="atLeast"/>
        </w:trPr>
        <w:tc>
          <w:tcPr>
            <w:tcW w:w="765" w:type="dxa"/>
            <w:tcBorders/>
            <w:shd w:color="auto" w:fill="F2F2F2" w:val="clear"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470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Копия решения о согласии на совершение крупной сделки или о последующем одобрении этой сделки,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(если требование об обеспечении заявок установлено заказчиком в извещении об осуществлении закупки), обеспечения исполнения договора (если требование об обеспечении исполнения договора установлено заказчиком в извещении об осуществлении закупки) является крупной сделкой</w:t>
            </w:r>
          </w:p>
        </w:tc>
        <w:tc>
          <w:tcPr>
            <w:tcW w:w="444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Установлено</w:t>
            </w:r>
          </w:p>
        </w:tc>
      </w:tr>
      <w:tr>
        <w:trPr/>
        <w:tc>
          <w:tcPr>
            <w:tcW w:w="765" w:type="dxa"/>
            <w:tcBorders/>
            <w:shd w:color="auto" w:fill="F2F2F2" w:val="clear"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470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Информация и документы об обеспечении заявки на участие в закупке, если соответствующее требование предусмотрено извещением об осуществлении закупки, документацией о закупке:</w:t>
            </w:r>
          </w:p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реквизиты специального банковского счета участника закупки, если обеспечение заявки на участие в такой закупке предоставляется участником закупки путем внесения денежных средств;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false"/>
              <w:spacing w:before="60" w:after="60"/>
              <w:ind w:hanging="0" w:left="78"/>
              <w:contextualSpacing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независимая гарантия или ее копия, если в качестве обеспечения заявки на участие в закупке участником закупки предоставляется независимая гарантия</w:t>
            </w:r>
          </w:p>
        </w:tc>
        <w:tc>
          <w:tcPr>
            <w:tcW w:w="444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Не установлено</w:t>
            </w:r>
          </w:p>
        </w:tc>
      </w:tr>
      <w:tr>
        <w:trPr>
          <w:trHeight w:val="70" w:hRule="atLeast"/>
        </w:trPr>
        <w:tc>
          <w:tcPr>
            <w:tcW w:w="765" w:type="dxa"/>
            <w:vMerge w:val="restart"/>
            <w:tcBorders/>
            <w:shd w:color="auto" w:fill="F2F2F2" w:val="clear"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4705" w:type="dxa"/>
            <w:gridSpan w:val="2"/>
            <w:vMerge w:val="restart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Декларация, подтверждающая на дату подачи заявки на участие в закупке соответствие участника закупки требованиям, установленным в соответствии с пунктами 6.1 – 6.8 извещения об осуществлении закупки</w:t>
            </w:r>
          </w:p>
        </w:tc>
        <w:tc>
          <w:tcPr>
            <w:tcW w:w="444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Установлено</w:t>
            </w:r>
          </w:p>
        </w:tc>
      </w:tr>
      <w:tr>
        <w:trPr>
          <w:trHeight w:val="1564" w:hRule="atLeast"/>
        </w:trPr>
        <w:tc>
          <w:tcPr>
            <w:tcW w:w="765" w:type="dxa"/>
            <w:vMerge w:val="continue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4705" w:type="dxa"/>
            <w:gridSpan w:val="2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444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Представляется с использованием программно-аппаратных средств электронной площадки. В случае отсутствия декларации на электронной площадке предоставляется копия декларации в составе заявки.</w:t>
            </w:r>
          </w:p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</w:tr>
      <w:tr>
        <w:trPr>
          <w:trHeight w:val="165" w:hRule="atLeast"/>
        </w:trPr>
        <w:tc>
          <w:tcPr>
            <w:tcW w:w="765" w:type="dxa"/>
            <w:vMerge w:val="restart"/>
            <w:tcBorders/>
            <w:shd w:color="auto" w:fill="F2F2F2" w:val="clear"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4705" w:type="dxa"/>
            <w:gridSpan w:val="2"/>
            <w:vMerge w:val="restart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Копии документов, подтверждающих</w:t>
            </w:r>
          </w:p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соответствие товара, работы или услуги, являющихся предметом закупки, требованиям, установленным в соответствии с законодательством Российской Федерации в случае, если требования к данным товару, работе или услуге установлены в соответствии с законодательством Российской Федерации.</w:t>
            </w:r>
          </w:p>
        </w:tc>
        <w:tc>
          <w:tcPr>
            <w:tcW w:w="444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Установлено</w:t>
            </w:r>
          </w:p>
        </w:tc>
      </w:tr>
      <w:tr>
        <w:trPr>
          <w:trHeight w:val="2034" w:hRule="atLeast"/>
        </w:trPr>
        <w:tc>
          <w:tcPr>
            <w:tcW w:w="765" w:type="dxa"/>
            <w:vMerge w:val="continue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4705" w:type="dxa"/>
            <w:gridSpan w:val="2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444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</w:tr>
      <w:tr>
        <w:trPr>
          <w:trHeight w:val="70" w:hRule="atLeast"/>
        </w:trPr>
        <w:tc>
          <w:tcPr>
            <w:tcW w:w="765" w:type="dxa"/>
            <w:vMerge w:val="restart"/>
            <w:tcBorders/>
            <w:shd w:color="auto" w:fill="F2F2F2" w:val="clear"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4705" w:type="dxa"/>
            <w:gridSpan w:val="2"/>
            <w:vMerge w:val="restart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 xml:space="preserve">Наименование страны происхождения поставляемого товара (при осуществлении закупки товара, в том числе поставляемого заказчику при выполнении закупаемых работ, оказании закупаемых услуг) (п. 12 ч. 19.1 ст. 3.4 Закона № 223-ФЗ), </w:t>
            </w:r>
          </w:p>
          <w:p>
            <w:pPr>
              <w:pStyle w:val="Normal"/>
              <w:widowControl w:val="false"/>
              <w:suppressAutoHyphens w:val="false"/>
              <w:spacing w:before="60" w:after="60"/>
              <w:rPr>
                <w:highlight w:val="yellow"/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 xml:space="preserve">документ, подтверждающий страну происхождения товара, предусмотренный актом Правительства Российской Федерации, принятым в соответствии с п. 1 ч. 8 ст. 3 Закона № 223-ФЗ </w:t>
            </w:r>
          </w:p>
        </w:tc>
        <w:tc>
          <w:tcPr>
            <w:tcW w:w="444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Установлено</w:t>
            </w:r>
          </w:p>
          <w:p>
            <w:pPr>
              <w:pStyle w:val="Normal"/>
              <w:widowControl w:val="false"/>
              <w:suppressAutoHyphens w:val="false"/>
              <w:spacing w:before="60" w:after="60"/>
              <w:rPr>
                <w:highlight w:val="yellow"/>
                <w:lang w:eastAsia="en-US"/>
              </w:rPr>
            </w:pPr>
            <w:r>
              <w:rPr>
                <w:kern w:val="0"/>
                <w:highlight w:val="yellow"/>
                <w:lang w:val="ru-RU" w:eastAsia="en-US" w:bidi="ar-SA"/>
              </w:rPr>
            </w:r>
          </w:p>
        </w:tc>
      </w:tr>
      <w:tr>
        <w:trPr>
          <w:trHeight w:val="2234" w:hRule="atLeast"/>
        </w:trPr>
        <w:tc>
          <w:tcPr>
            <w:tcW w:w="765" w:type="dxa"/>
            <w:vMerge w:val="continue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4705" w:type="dxa"/>
            <w:gridSpan w:val="2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highlight w:val="yellow"/>
                <w:lang w:eastAsia="en-US"/>
              </w:rPr>
            </w:pPr>
            <w:r>
              <w:rPr>
                <w:kern w:val="0"/>
                <w:highlight w:val="yellow"/>
                <w:lang w:val="ru-RU" w:eastAsia="en-US" w:bidi="ar-SA"/>
              </w:rPr>
            </w:r>
          </w:p>
        </w:tc>
        <w:tc>
          <w:tcPr>
            <w:tcW w:w="444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 xml:space="preserve">Страна производитель: Российская Федерация. </w:t>
            </w:r>
          </w:p>
          <w:p>
            <w:pPr>
              <w:pStyle w:val="Normal"/>
              <w:widowControl w:val="false"/>
              <w:suppressAutoHyphens w:val="false"/>
              <w:spacing w:before="60" w:after="60"/>
              <w:rPr>
                <w:highlight w:val="yellow"/>
                <w:lang w:eastAsia="en-US"/>
              </w:rPr>
            </w:pPr>
            <w:r>
              <w:rPr>
                <w:kern w:val="0"/>
                <w:highlight w:val="yellow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false"/>
              <w:spacing w:before="60" w:after="60"/>
              <w:rPr>
                <w:highlight w:val="yellow"/>
                <w:lang w:eastAsia="en-US"/>
              </w:rPr>
            </w:pPr>
            <w:r>
              <w:rPr>
                <w:kern w:val="0"/>
                <w:highlight w:val="yellow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false"/>
              <w:spacing w:before="60" w:after="60"/>
              <w:rPr>
                <w:highlight w:val="yellow"/>
                <w:lang w:eastAsia="en-US"/>
              </w:rPr>
            </w:pPr>
            <w:r>
              <w:rPr>
                <w:kern w:val="0"/>
                <w:highlight w:val="yellow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false"/>
              <w:spacing w:before="60" w:after="60"/>
              <w:rPr>
                <w:highlight w:val="yellow"/>
                <w:lang w:eastAsia="en-US"/>
              </w:rPr>
            </w:pPr>
            <w:r>
              <w:rPr>
                <w:kern w:val="0"/>
                <w:highlight w:val="yellow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false"/>
              <w:spacing w:before="60" w:after="60"/>
              <w:rPr>
                <w:highlight w:val="yellow"/>
                <w:lang w:eastAsia="en-US"/>
              </w:rPr>
            </w:pPr>
            <w:r>
              <w:rPr>
                <w:kern w:val="0"/>
                <w:highlight w:val="yellow"/>
                <w:lang w:val="ru-RU" w:eastAsia="en-US" w:bidi="ar-SA"/>
              </w:rPr>
            </w:r>
          </w:p>
        </w:tc>
      </w:tr>
      <w:tr>
        <w:trPr>
          <w:trHeight w:val="70" w:hRule="atLeast"/>
        </w:trPr>
        <w:tc>
          <w:tcPr>
            <w:tcW w:w="765" w:type="dxa"/>
            <w:tcBorders/>
            <w:shd w:color="auto" w:fill="F2F2F2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before="60" w:after="60"/>
              <w:ind w:hanging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9153" w:type="dxa"/>
            <w:gridSpan w:val="3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Приоритет, включая минимальную долю закупок,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</w:t>
            </w:r>
          </w:p>
        </w:tc>
      </w:tr>
      <w:tr>
        <w:trPr>
          <w:trHeight w:val="70" w:hRule="atLeast"/>
        </w:trPr>
        <w:tc>
          <w:tcPr>
            <w:tcW w:w="765" w:type="dxa"/>
            <w:vMerge w:val="restart"/>
            <w:tcBorders/>
            <w:shd w:color="auto" w:fill="F2F2F2" w:val="clear"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2882" w:type="dxa"/>
            <w:vMerge w:val="restart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</w:t>
            </w:r>
          </w:p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(Постановление Правительства РФ от 23.12.2024 №1875)</w:t>
            </w:r>
          </w:p>
        </w:tc>
        <w:tc>
          <w:tcPr>
            <w:tcW w:w="627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Установлено</w:t>
            </w:r>
          </w:p>
        </w:tc>
      </w:tr>
      <w:tr>
        <w:trPr>
          <w:trHeight w:val="825" w:hRule="atLeast"/>
        </w:trPr>
        <w:tc>
          <w:tcPr>
            <w:tcW w:w="765" w:type="dxa"/>
            <w:vMerge w:val="continue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2882" w:type="dxa"/>
            <w:vMerge w:val="continue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627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ind w:left="33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</w:tr>
      <w:tr>
        <w:trPr>
          <w:trHeight w:val="225" w:hRule="atLeast"/>
        </w:trPr>
        <w:tc>
          <w:tcPr>
            <w:tcW w:w="765" w:type="dxa"/>
            <w:vMerge w:val="restart"/>
            <w:tcBorders/>
            <w:shd w:color="auto" w:fill="F2F2F2" w:val="clear"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2882" w:type="dxa"/>
            <w:vMerge w:val="restart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Минимальная доля закупок товаров российского происхождения</w:t>
            </w:r>
          </w:p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(Постановление Правительства РФ от 23.12.2024 №1875)</w:t>
            </w:r>
          </w:p>
        </w:tc>
        <w:tc>
          <w:tcPr>
            <w:tcW w:w="627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Установлено</w:t>
            </w:r>
          </w:p>
        </w:tc>
      </w:tr>
      <w:tr>
        <w:trPr>
          <w:trHeight w:val="1261" w:hRule="atLeast"/>
        </w:trPr>
        <w:tc>
          <w:tcPr>
            <w:tcW w:w="765" w:type="dxa"/>
            <w:vMerge w:val="continue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2882" w:type="dxa"/>
            <w:vMerge w:val="continue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627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</w:tr>
      <w:tr>
        <w:trPr/>
        <w:tc>
          <w:tcPr>
            <w:tcW w:w="765" w:type="dxa"/>
            <w:tcBorders/>
            <w:shd w:color="auto" w:fill="F2F2F2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before="60" w:after="60"/>
              <w:ind w:hanging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9153" w:type="dxa"/>
            <w:gridSpan w:val="3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Особенности участия субъектов малого и среднего предпринимательства в закупке</w:t>
            </w:r>
          </w:p>
        </w:tc>
      </w:tr>
      <w:tr>
        <w:trPr>
          <w:trHeight w:val="375" w:hRule="atLeast"/>
        </w:trPr>
        <w:tc>
          <w:tcPr>
            <w:tcW w:w="765" w:type="dxa"/>
            <w:vMerge w:val="restart"/>
            <w:tcBorders/>
            <w:shd w:color="auto" w:fill="F2F2F2" w:val="clear"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2882" w:type="dxa"/>
            <w:vMerge w:val="restart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Особенности участия субъектов малого и среднего предпринимательства в закупках товаров, работ, услуг отдельными видами юридических лиц</w:t>
            </w:r>
          </w:p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(Постановление Правительства РФ от 11.12.2014 № 1352)</w:t>
            </w:r>
          </w:p>
        </w:tc>
        <w:tc>
          <w:tcPr>
            <w:tcW w:w="627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Не установлено</w:t>
            </w:r>
          </w:p>
        </w:tc>
      </w:tr>
      <w:tr>
        <w:trPr>
          <w:trHeight w:val="2985" w:hRule="atLeast"/>
        </w:trPr>
        <w:tc>
          <w:tcPr>
            <w:tcW w:w="765" w:type="dxa"/>
            <w:vMerge w:val="continue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2882" w:type="dxa"/>
            <w:vMerge w:val="continue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627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</w:tr>
      <w:tr>
        <w:trPr/>
        <w:tc>
          <w:tcPr>
            <w:tcW w:w="765" w:type="dxa"/>
            <w:tcBorders/>
            <w:shd w:color="auto" w:fill="F2F2F2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before="60" w:after="60"/>
              <w:ind w:hanging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2882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Особенности участия в закупке коллективного участника закупки</w:t>
            </w:r>
          </w:p>
        </w:tc>
        <w:tc>
          <w:tcPr>
            <w:tcW w:w="627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В соответствии с Положением о закупках</w:t>
            </w:r>
          </w:p>
        </w:tc>
      </w:tr>
      <w:tr>
        <w:trPr/>
        <w:tc>
          <w:tcPr>
            <w:tcW w:w="765" w:type="dxa"/>
            <w:tcBorders/>
            <w:shd w:color="auto" w:fill="F2F2F2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before="60" w:after="60"/>
              <w:ind w:hanging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9153" w:type="dxa"/>
            <w:gridSpan w:val="3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Формы, порядок, дата и время окончания срока предоставления участникам закупки разъяснений положений извещения об осуществлении закупки</w:t>
            </w:r>
          </w:p>
        </w:tc>
      </w:tr>
      <w:tr>
        <w:trPr/>
        <w:tc>
          <w:tcPr>
            <w:tcW w:w="765" w:type="dxa"/>
            <w:tcBorders/>
            <w:shd w:color="auto" w:fill="F2F2F2" w:val="clear"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2882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Дата и время окончания срока направления</w:t>
            </w:r>
            <w:r>
              <w:rPr>
                <w:kern w:val="0"/>
                <w:lang w:val="ru-RU" w:eastAsia="ru-RU" w:bidi="ar-SA"/>
              </w:rPr>
              <w:t xml:space="preserve"> </w:t>
            </w:r>
            <w:r>
              <w:rPr>
                <w:kern w:val="0"/>
                <w:lang w:val="ru-RU" w:eastAsia="en-US" w:bidi="ar-SA"/>
              </w:rPr>
              <w:t>запросов о даче разъяснений положений извещения об осуществлении закупки</w:t>
            </w:r>
          </w:p>
        </w:tc>
        <w:tc>
          <w:tcPr>
            <w:tcW w:w="627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highlight w:val="yellow"/>
                <w:u w:val="single"/>
                <w:lang w:eastAsia="en-US"/>
              </w:rPr>
            </w:pPr>
            <w:r>
              <w:rPr>
                <w:color w:val="FF0000"/>
                <w:kern w:val="0"/>
                <w:highlight w:val="yellow"/>
                <w:u w:val="single"/>
                <w:lang w:val="ru-RU" w:eastAsia="en-US" w:bidi="ar-SA"/>
              </w:rPr>
              <w:t>10.06.2026 г. до 00:00 ч.</w:t>
            </w:r>
            <w:r>
              <w:rPr>
                <w:color w:val="FF0000"/>
                <w:kern w:val="0"/>
                <w:u w:val="single"/>
                <w:lang w:val="ru-RU" w:eastAsia="en-US" w:bidi="ar-SA"/>
              </w:rPr>
              <w:t xml:space="preserve"> (по местному времени Заказчика)</w:t>
            </w:r>
          </w:p>
        </w:tc>
      </w:tr>
      <w:tr>
        <w:trPr/>
        <w:tc>
          <w:tcPr>
            <w:tcW w:w="765" w:type="dxa"/>
            <w:tcBorders/>
            <w:shd w:color="auto" w:fill="F2F2F2" w:val="clear"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2882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Дата и время окончания срока предоставления участникам закупки разъяснений положений извещения об осуществлении закупки</w:t>
            </w:r>
          </w:p>
        </w:tc>
        <w:tc>
          <w:tcPr>
            <w:tcW w:w="627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color w:val="FF0000"/>
                <w:u w:val="single"/>
                <w:lang w:eastAsia="en-US"/>
              </w:rPr>
            </w:pPr>
            <w:r>
              <w:rPr>
                <w:color w:val="FF0000"/>
                <w:kern w:val="0"/>
                <w:highlight w:val="yellow"/>
                <w:u w:val="single"/>
                <w:lang w:val="ru-RU" w:eastAsia="en-US" w:bidi="ar-SA"/>
              </w:rPr>
              <w:t>11.06. 2026 г. до 00:00 ч.</w:t>
            </w:r>
            <w:r>
              <w:rPr>
                <w:color w:val="FF0000"/>
                <w:kern w:val="0"/>
                <w:u w:val="single"/>
                <w:lang w:val="ru-RU" w:eastAsia="en-US" w:bidi="ar-SA"/>
              </w:rPr>
              <w:t xml:space="preserve"> (по местному времени Заказчика)</w:t>
            </w:r>
          </w:p>
          <w:p>
            <w:pPr>
              <w:pStyle w:val="Normal"/>
              <w:widowControl w:val="false"/>
              <w:suppressAutoHyphens w:val="false"/>
              <w:spacing w:before="60" w:after="60"/>
              <w:rPr>
                <w:highlight w:val="yellow"/>
                <w:lang w:eastAsia="en-US"/>
              </w:rPr>
            </w:pPr>
            <w:r>
              <w:rPr>
                <w:kern w:val="0"/>
                <w:highlight w:val="yellow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false"/>
              <w:spacing w:before="60" w:after="60"/>
              <w:rPr>
                <w:color w:val="FF0000"/>
                <w:highlight w:val="yellow"/>
                <w:lang w:eastAsia="en-US"/>
              </w:rPr>
            </w:pPr>
            <w:r>
              <w:rPr>
                <w:color w:val="FF0000"/>
                <w:kern w:val="0"/>
                <w:highlight w:val="yellow"/>
                <w:lang w:val="ru-RU" w:eastAsia="en-US" w:bidi="ar-SA"/>
              </w:rPr>
            </w:r>
          </w:p>
        </w:tc>
      </w:tr>
      <w:tr>
        <w:trPr/>
        <w:tc>
          <w:tcPr>
            <w:tcW w:w="765" w:type="dxa"/>
            <w:tcBorders/>
            <w:shd w:color="auto" w:fill="F2F2F2" w:val="clear"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2882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Формы, порядок предоставления участникам закупки разъяснений положений извещения об осуществлении закупки</w:t>
            </w:r>
          </w:p>
        </w:tc>
        <w:tc>
          <w:tcPr>
            <w:tcW w:w="627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Любой участник закупки вправе направить заказчику запрос о даче разъяснений положений извещения об осуществлении закупки.</w:t>
            </w:r>
          </w:p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</w:tr>
      <w:tr>
        <w:trPr/>
        <w:tc>
          <w:tcPr>
            <w:tcW w:w="765" w:type="dxa"/>
            <w:tcBorders/>
            <w:shd w:color="auto" w:fill="F2F2F2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before="60" w:after="60"/>
              <w:ind w:hanging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9153" w:type="dxa"/>
            <w:gridSpan w:val="3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 xml:space="preserve">Обеспечение заявки на участие в закупке </w:t>
            </w:r>
          </w:p>
        </w:tc>
      </w:tr>
      <w:tr>
        <w:trPr/>
        <w:tc>
          <w:tcPr>
            <w:tcW w:w="765" w:type="dxa"/>
            <w:tcBorders/>
            <w:shd w:color="auto" w:fill="F2F2F2" w:val="clear"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2882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Размер обеспечения заявки на участие в закупке</w:t>
            </w:r>
          </w:p>
        </w:tc>
        <w:tc>
          <w:tcPr>
            <w:tcW w:w="627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highlight w:val="yellow"/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Не установлено</w:t>
            </w:r>
          </w:p>
        </w:tc>
      </w:tr>
      <w:tr>
        <w:trPr/>
        <w:tc>
          <w:tcPr>
            <w:tcW w:w="765" w:type="dxa"/>
            <w:tcBorders/>
            <w:shd w:color="auto" w:fill="F2F2F2" w:val="clear"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2882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Способы обеспечения заявки на участие в закупке, срок и порядок предоставления обеспечения заявки</w:t>
            </w:r>
            <w:r>
              <w:rPr>
                <w:kern w:val="0"/>
                <w:lang w:val="ru-RU" w:eastAsia="ru-RU" w:bidi="ar-SA"/>
              </w:rPr>
              <w:t xml:space="preserve"> </w:t>
            </w:r>
            <w:r>
              <w:rPr>
                <w:kern w:val="0"/>
                <w:lang w:val="ru-RU" w:eastAsia="en-US" w:bidi="ar-SA"/>
              </w:rPr>
              <w:t>на участие в закупке</w:t>
            </w:r>
          </w:p>
        </w:tc>
        <w:tc>
          <w:tcPr>
            <w:tcW w:w="627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Не установлено</w:t>
            </w:r>
          </w:p>
        </w:tc>
      </w:tr>
      <w:tr>
        <w:trPr/>
        <w:tc>
          <w:tcPr>
            <w:tcW w:w="765" w:type="dxa"/>
            <w:tcBorders/>
            <w:shd w:color="auto" w:fill="F2F2F2" w:val="clear"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2882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Реквизиты для перечисления денежных средств в случае уклонения участника закупки от заключения договора</w:t>
            </w:r>
          </w:p>
        </w:tc>
        <w:tc>
          <w:tcPr>
            <w:tcW w:w="627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Не установлено</w:t>
            </w:r>
          </w:p>
        </w:tc>
      </w:tr>
      <w:tr>
        <w:trPr/>
        <w:tc>
          <w:tcPr>
            <w:tcW w:w="765" w:type="dxa"/>
            <w:tcBorders/>
            <w:shd w:color="auto" w:fill="F2F2F2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before="60" w:after="60"/>
              <w:ind w:hanging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9153" w:type="dxa"/>
            <w:gridSpan w:val="3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Обеспечение исполнения договора</w:t>
            </w:r>
          </w:p>
        </w:tc>
      </w:tr>
      <w:tr>
        <w:trPr/>
        <w:tc>
          <w:tcPr>
            <w:tcW w:w="765" w:type="dxa"/>
            <w:tcBorders/>
            <w:shd w:color="auto" w:fill="F2F2F2" w:val="clear"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2882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Размер обеспечения исполнения договора</w:t>
            </w:r>
          </w:p>
        </w:tc>
        <w:tc>
          <w:tcPr>
            <w:tcW w:w="627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kern w:val="0"/>
                <w:lang w:val="ru-RU" w:bidi="ar-SA"/>
              </w:rPr>
            </w:pPr>
            <w:r>
              <w:rPr>
                <w:kern w:val="0"/>
                <w:lang w:val="ru-RU" w:eastAsia="ru-RU" w:bidi="ar-SA"/>
              </w:rPr>
              <w:t xml:space="preserve">10 </w:t>
            </w:r>
            <w:bookmarkStart w:id="1" w:name="_Hlk120102983"/>
            <w:r>
              <w:rPr>
                <w:kern w:val="0"/>
                <w:lang w:val="ru-RU" w:eastAsia="ru-RU" w:bidi="ar-SA"/>
              </w:rPr>
              <w:t xml:space="preserve">% от начальной (максимальной) цены договора – </w:t>
            </w:r>
            <w:bookmarkEnd w:id="1"/>
            <w:r>
              <w:rPr>
                <w:kern w:val="0"/>
                <w:lang w:val="ru-RU" w:eastAsia="ru-RU" w:bidi="ar-SA"/>
              </w:rPr>
              <w:t xml:space="preserve">  14318,07   руб.</w:t>
            </w:r>
          </w:p>
          <w:p>
            <w:pPr>
              <w:pStyle w:val="Normal"/>
              <w:widowControl w:val="false"/>
              <w:suppressAutoHyphens w:val="false"/>
              <w:spacing w:before="60" w:after="60"/>
              <w:rPr>
                <w:kern w:val="0"/>
                <w:lang w:val="ru-RU" w:bidi="ar-SA"/>
              </w:rPr>
            </w:pPr>
            <w:r>
              <w:rPr>
                <w:kern w:val="0"/>
                <w:lang w:val="ru-RU" w:eastAsia="ru-RU" w:bidi="ar-SA"/>
              </w:rPr>
              <w:t>В случае если участником закупки предложена цена договора, которая на двадцать пять и более процентов ниже начальной (максимальной) цены договора (либо предложена сумма цен единиц Товара, которая на двадцать пять и более процентов ниже начальной суммы цен указанной единицы), участник закупки  предоставляет обеспечение исполнения договора в размере, превышающем в полтора раза размер обеспечения исполнения договора, указанный в извещении о закупке (ином документе в зависимости от способов определения участником закупки), в сумме 21477,10 руб.</w:t>
            </w:r>
          </w:p>
        </w:tc>
      </w:tr>
      <w:tr>
        <w:trPr/>
        <w:tc>
          <w:tcPr>
            <w:tcW w:w="765" w:type="dxa"/>
            <w:tcBorders/>
            <w:shd w:color="auto" w:fill="F2F2F2" w:val="clear"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2882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Способы обеспечения исполнения договора, срок и порядок предоставления обеспечения исполнения договора</w:t>
            </w:r>
          </w:p>
        </w:tc>
        <w:tc>
          <w:tcPr>
            <w:tcW w:w="627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kern w:val="0"/>
                <w:lang w:val="ru-RU" w:bidi="ar-SA"/>
              </w:rPr>
            </w:pPr>
            <w:r>
              <w:rPr>
                <w:kern w:val="0"/>
                <w:lang w:val="ru-RU" w:eastAsia="en-US" w:bidi="ar-SA"/>
              </w:rPr>
              <w:t>В соответствии с Положением о закупках</w:t>
            </w:r>
          </w:p>
        </w:tc>
      </w:tr>
      <w:tr>
        <w:trPr/>
        <w:tc>
          <w:tcPr>
            <w:tcW w:w="765" w:type="dxa"/>
            <w:tcBorders/>
            <w:shd w:color="auto" w:fill="F2F2F2" w:val="clear"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2882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Реквизиты для перечисления денежных средств</w:t>
            </w:r>
          </w:p>
        </w:tc>
        <w:tc>
          <w:tcPr>
            <w:tcW w:w="627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rPr>
                <w:bCs/>
                <w:lang w:eastAsia="ru-RU"/>
              </w:rPr>
            </w:pPr>
            <w:r>
              <w:rPr>
                <w:bCs/>
                <w:kern w:val="0"/>
                <w:lang w:val="ru-RU" w:eastAsia="ru-RU" w:bidi="ar-SA"/>
              </w:rPr>
              <w:t>Реквизиты счета для перечисления денежных средств, в качестве обеспечения исполнения договора: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kern w:val="0"/>
                <w:lang w:val="ru-RU" w:eastAsia="en-US" w:bidi="ar-SA"/>
              </w:rPr>
              <w:t>государственное автономное учреждение социального обслуживания Свердловской области «Социально-реабилитационный центр для несовершеннолетних города Нижняя Салда»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kern w:val="0"/>
                <w:lang w:val="ru-RU" w:eastAsia="en-US" w:bidi="ar-SA"/>
              </w:rPr>
              <w:t>ГАУ «СРЦН города Нижняя Салда»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kern w:val="0"/>
                <w:lang w:val="ru-RU" w:eastAsia="en-US" w:bidi="ar-SA"/>
              </w:rPr>
              <w:t>ИНН 6622002903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kern w:val="0"/>
                <w:lang w:val="ru-RU" w:eastAsia="en-US" w:bidi="ar-SA"/>
              </w:rPr>
              <w:t>КПП 662301001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kern w:val="0"/>
                <w:lang w:val="ru-RU" w:eastAsia="en-US" w:bidi="ar-SA"/>
              </w:rPr>
              <w:t>ОКТМО 62522000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kern w:val="0"/>
                <w:lang w:val="ru-RU" w:eastAsia="en-US" w:bidi="ar-SA"/>
              </w:rPr>
              <w:t xml:space="preserve">ОКПО 59261279 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kern w:val="0"/>
                <w:lang w:val="ru-RU" w:eastAsia="en-US" w:bidi="ar-SA"/>
              </w:rPr>
              <w:t xml:space="preserve">ОГРН  1026600784066 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kern w:val="0"/>
                <w:lang w:val="ru-RU" w:eastAsia="en-US" w:bidi="ar-SA"/>
              </w:rPr>
              <w:t>624740, Свердловская область, г. Нижняя Салда, ул.Советская, 56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kern w:val="0"/>
                <w:lang w:val="ru-RU" w:eastAsia="en-US" w:bidi="ar-SA"/>
              </w:rPr>
              <w:t>Министерство финансов Свердловской области (ГАУ «СРЦН города Нижняя Салда»)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cs="Liberation Serif;Times New Roma" w:ascii="Liberation Serif;Times New Roma" w:hAnsi="Liberation Serif;Times New Roma"/>
                <w:kern w:val="0"/>
                <w:lang w:val="ru-RU" w:eastAsia="en-US" w:bidi="ar-SA"/>
              </w:rPr>
              <w:t>ОКЦ № 1 УГУ Банка России//УФК по Свердловской области г. Екатеринбург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kern w:val="0"/>
                <w:lang w:val="ru-RU" w:eastAsia="en-US" w:bidi="ar-SA"/>
              </w:rPr>
              <w:t xml:space="preserve">БИК </w:t>
            </w:r>
            <w:r>
              <w:rPr>
                <w:rFonts w:cs="Liberation Serif;Times New Roma" w:ascii="Liberation Serif;Times New Roma" w:hAnsi="Liberation Serif;Times New Roma"/>
                <w:kern w:val="0"/>
                <w:lang w:val="ru-RU" w:eastAsia="en-US" w:bidi="ar-SA"/>
              </w:rPr>
              <w:t>016577551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kern w:val="0"/>
                <w:lang w:val="ru-RU" w:eastAsia="en-US" w:bidi="ar-SA"/>
              </w:rPr>
              <w:t xml:space="preserve">Казначейский счет: </w:t>
            </w:r>
            <w:r>
              <w:rPr>
                <w:rFonts w:cs="Liberation Serif;Times New Roma" w:ascii="Liberation Serif;Times New Roma" w:hAnsi="Liberation Serif;Times New Roma"/>
                <w:kern w:val="0"/>
                <w:lang w:val="ru-RU" w:eastAsia="en-US" w:bidi="ar-SA"/>
              </w:rPr>
              <w:t>03224643650000006200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kern w:val="0"/>
                <w:lang w:val="ru-RU" w:eastAsia="en-US" w:bidi="ar-SA"/>
              </w:rPr>
              <w:t xml:space="preserve">Единый казначейский счет: </w:t>
            </w:r>
            <w:r>
              <w:rPr>
                <w:rFonts w:cs="Liberation Serif;Times New Roma" w:ascii="Liberation Serif;Times New Roma" w:hAnsi="Liberation Serif;Times New Roma"/>
                <w:kern w:val="0"/>
                <w:lang w:val="ru-RU" w:eastAsia="en-US" w:bidi="ar-SA"/>
              </w:rPr>
              <w:t>40102810645370000054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rPr>
                <w:kern w:val="0"/>
                <w:lang w:val="ru-RU" w:bidi="ar-SA"/>
              </w:rPr>
            </w:pPr>
            <w:r>
              <w:rPr>
                <w:bCs/>
                <w:kern w:val="0"/>
                <w:lang w:val="ru-RU" w:eastAsia="en-US" w:bidi="ar-SA"/>
              </w:rPr>
              <w:t xml:space="preserve">Л.с.(лицевой счет) № </w:t>
            </w:r>
            <w:r>
              <w:rPr>
                <w:rStyle w:val="Bodytext2"/>
                <w:rFonts w:cs="Liberation Serif;Times New Roma" w:ascii="Liberation Serif;Times New Roma" w:hAnsi="Liberation Serif;Times New Roma"/>
                <w:bCs/>
                <w:kern w:val="0"/>
                <w:sz w:val="24"/>
                <w:szCs w:val="24"/>
              </w:rPr>
              <w:t>33015009940</w:t>
            </w:r>
          </w:p>
        </w:tc>
      </w:tr>
      <w:tr>
        <w:trPr/>
        <w:tc>
          <w:tcPr>
            <w:tcW w:w="765" w:type="dxa"/>
            <w:tcBorders/>
            <w:shd w:color="auto" w:fill="F2F2F2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before="60" w:after="60"/>
              <w:ind w:hanging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9153" w:type="dxa"/>
            <w:gridSpan w:val="3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Обеспечение гарантийных обязательств</w:t>
            </w:r>
          </w:p>
        </w:tc>
      </w:tr>
      <w:tr>
        <w:trPr/>
        <w:tc>
          <w:tcPr>
            <w:tcW w:w="765" w:type="dxa"/>
            <w:tcBorders/>
            <w:shd w:color="auto" w:fill="F2F2F2" w:val="clear"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2882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Размер обеспечения гарантийных обязательств</w:t>
            </w:r>
          </w:p>
        </w:tc>
        <w:tc>
          <w:tcPr>
            <w:tcW w:w="627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highlight w:val="yellow"/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Не установлено</w:t>
            </w:r>
          </w:p>
        </w:tc>
      </w:tr>
      <w:tr>
        <w:trPr/>
        <w:tc>
          <w:tcPr>
            <w:tcW w:w="765" w:type="dxa"/>
            <w:tcBorders/>
            <w:shd w:color="auto" w:fill="F2F2F2" w:val="clear"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2882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Способы обеспечения гарантийных обязательств, срок и порядок предоставления обеспечения гарантийных обязательств</w:t>
            </w:r>
          </w:p>
        </w:tc>
        <w:tc>
          <w:tcPr>
            <w:tcW w:w="627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highlight w:val="yellow"/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Не установлено</w:t>
            </w:r>
          </w:p>
        </w:tc>
      </w:tr>
      <w:tr>
        <w:trPr/>
        <w:tc>
          <w:tcPr>
            <w:tcW w:w="765" w:type="dxa"/>
            <w:tcBorders/>
            <w:shd w:color="auto" w:fill="F2F2F2" w:val="clear"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2882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Реквизиты для перечисления денежных средств</w:t>
            </w:r>
          </w:p>
        </w:tc>
        <w:tc>
          <w:tcPr>
            <w:tcW w:w="627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highlight w:val="yellow"/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Не установлено</w:t>
            </w:r>
          </w:p>
        </w:tc>
      </w:tr>
      <w:tr>
        <w:trPr/>
        <w:tc>
          <w:tcPr>
            <w:tcW w:w="765" w:type="dxa"/>
            <w:tcBorders/>
            <w:shd w:color="auto" w:fill="F2F2F2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before="60" w:after="60"/>
              <w:ind w:hanging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2882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Условия независимой гарантии</w:t>
            </w:r>
          </w:p>
        </w:tc>
        <w:tc>
          <w:tcPr>
            <w:tcW w:w="627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В соответствии с Положением о закупках</w:t>
            </w:r>
          </w:p>
        </w:tc>
      </w:tr>
      <w:tr>
        <w:trPr/>
        <w:tc>
          <w:tcPr>
            <w:tcW w:w="765" w:type="dxa"/>
            <w:tcBorders/>
            <w:shd w:color="auto" w:fill="F2F2F2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before="60" w:after="60"/>
              <w:ind w:hanging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2882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Внесение изменений в извещение об осуществлении закупки</w:t>
            </w:r>
          </w:p>
        </w:tc>
        <w:tc>
          <w:tcPr>
            <w:tcW w:w="627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Заказчик вправе принять решение о внесении изменений в извещение об осуществлении закупки до наступления даты и времени окончания срока подачи заявок на участие в закупке.</w:t>
            </w:r>
          </w:p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Изменение предмета закупки не допускается.</w:t>
            </w:r>
          </w:p>
        </w:tc>
      </w:tr>
      <w:tr>
        <w:trPr/>
        <w:tc>
          <w:tcPr>
            <w:tcW w:w="765" w:type="dxa"/>
            <w:tcBorders/>
            <w:shd w:color="auto" w:fill="F2F2F2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before="60" w:after="60"/>
              <w:ind w:hanging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2882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Отмена закупки</w:t>
            </w:r>
          </w:p>
        </w:tc>
        <w:tc>
          <w:tcPr>
            <w:tcW w:w="627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В соответствии с Положением о закупках</w:t>
            </w:r>
          </w:p>
        </w:tc>
      </w:tr>
      <w:tr>
        <w:trPr/>
        <w:tc>
          <w:tcPr>
            <w:tcW w:w="765" w:type="dxa"/>
            <w:tcBorders/>
            <w:shd w:color="auto" w:fill="F2F2F2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before="60" w:after="60"/>
              <w:ind w:hanging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2882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Определение победителя закупки</w:t>
            </w:r>
          </w:p>
        </w:tc>
        <w:tc>
          <w:tcPr>
            <w:tcW w:w="627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Победителем запроса котировок в электронной форме признается участник закупки, заявка которого соответствует требованиям, установленным извещением об осуществлении закупки, и содержит наиболее низкую цену договора (сумму цен единиц товара, работы, услуги).</w:t>
            </w:r>
          </w:p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 xml:space="preserve">Заявке на участие в запросе котировок в электронной форме, в которой содержится наименьшее ценовое предложение, присваивается первый номер. </w:t>
            </w:r>
          </w:p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В случае, если в нескольких таких заявках содержатся одинаковые ценовые предложения, меньший порядковый номер присваивается заявке, которая поступила ранее других таких заявок.</w:t>
            </w:r>
          </w:p>
        </w:tc>
      </w:tr>
      <w:tr>
        <w:trPr/>
        <w:tc>
          <w:tcPr>
            <w:tcW w:w="765" w:type="dxa"/>
            <w:tcBorders/>
            <w:shd w:color="auto" w:fill="F2F2F2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before="60" w:after="60"/>
              <w:ind w:hanging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2882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Последствия признания закупки несостоявшейся</w:t>
            </w:r>
          </w:p>
        </w:tc>
        <w:tc>
          <w:tcPr>
            <w:tcW w:w="627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В соответствии с Положением о закупках</w:t>
            </w:r>
          </w:p>
        </w:tc>
      </w:tr>
      <w:tr>
        <w:trPr/>
        <w:tc>
          <w:tcPr>
            <w:tcW w:w="765" w:type="dxa"/>
            <w:tcBorders/>
            <w:shd w:color="auto" w:fill="F2F2F2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before="60" w:after="60"/>
              <w:ind w:hanging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2882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Срок и порядок заключения договора</w:t>
            </w:r>
          </w:p>
        </w:tc>
        <w:tc>
          <w:tcPr>
            <w:tcW w:w="627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60" w:after="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В соответствии с Положением о закупках</w:t>
            </w:r>
          </w:p>
        </w:tc>
      </w:tr>
      <w:tr>
        <w:trPr>
          <w:trHeight w:val="85" w:hRule="atLeast"/>
        </w:trPr>
        <w:tc>
          <w:tcPr>
            <w:tcW w:w="765" w:type="dxa"/>
            <w:vMerge w:val="restart"/>
            <w:tcBorders/>
            <w:shd w:color="auto" w:fill="F2F2F2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before="60" w:after="60"/>
              <w:ind w:hanging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2882" w:type="dxa"/>
            <w:vMerge w:val="restart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 xml:space="preserve">Возможность изменения количества поставляемого товара, объема выполняемой работы или оказываемой услуги при заключении договора по результатам закупки </w:t>
            </w:r>
          </w:p>
        </w:tc>
        <w:tc>
          <w:tcPr>
            <w:tcW w:w="627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Не установлено</w:t>
            </w:r>
          </w:p>
        </w:tc>
      </w:tr>
      <w:tr>
        <w:trPr>
          <w:trHeight w:val="132" w:hRule="atLeast"/>
        </w:trPr>
        <w:tc>
          <w:tcPr>
            <w:tcW w:w="765" w:type="dxa"/>
            <w:vMerge w:val="continue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2882" w:type="dxa"/>
            <w:vMerge w:val="continue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627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</w:tr>
      <w:tr>
        <w:trPr/>
        <w:tc>
          <w:tcPr>
            <w:tcW w:w="765" w:type="dxa"/>
            <w:tcBorders/>
            <w:shd w:color="auto" w:fill="F2F2F2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before="60" w:after="60"/>
              <w:ind w:hanging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2882" w:type="dxa"/>
            <w:tcBorders/>
            <w:shd w:color="auto"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Последствия уклонения участника закупки от заключения договора</w:t>
            </w:r>
          </w:p>
        </w:tc>
        <w:tc>
          <w:tcPr>
            <w:tcW w:w="627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1. Победитель закупки считается уклонившимся от заключения договора при наступлении любого из следующих событий:</w:t>
            </w:r>
          </w:p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1) представление письменного отказа от заключения договора;</w:t>
            </w:r>
          </w:p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2) непредставление в срок, предусмотренный пунктом 21 настоящего извещения, подписанного со своей стороны проекта договора;</w:t>
            </w:r>
          </w:p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 xml:space="preserve">3) непредоставление обеспечения исполнения договора в соответствии </w:t>
              <w:br/>
              <w:t>с указанными в извещении об осуществлении конкурентной закупки требуемом размере и с соблюдением требуемого порядка, если данное требование установлено в извещении об осуществлении конкурентной закупки;</w:t>
            </w:r>
          </w:p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4) непредоставление информации, подтверждающей добросовестность участника закупки, в соответствии п. 14.2. настоящего извещения;</w:t>
            </w:r>
          </w:p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 xml:space="preserve">5) отказ от заключения договора хотя бы одного участника закупки, входящего </w:t>
            </w:r>
            <w:r>
              <w:rPr>
                <w:bCs/>
                <w:kern w:val="0"/>
                <w:lang w:val="ru-RU" w:eastAsia="en-US" w:bidi="ar-SA"/>
              </w:rPr>
              <w:t>в состав коллективного участника,</w:t>
            </w:r>
            <w:r>
              <w:rPr>
                <w:kern w:val="0"/>
                <w:lang w:val="ru-RU" w:eastAsia="en-US" w:bidi="ar-SA"/>
              </w:rPr>
              <w:t xml:space="preserve"> после признания коллективного участника закупки победителем закупки.</w:t>
            </w:r>
          </w:p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2. В случае если победитель закупки признан уклонившимся от заключения договора, заказчик вправе обратиться в суд с иском о понуждении победителя заключить договор, а также о возмещении убытков, причиненных уклонением от заключения договора, либо заключить договор с участником закупки, заявке на участие в закупке которого присвоен второй порядковый номер или третий порядковый номер. Такой участник признается победителем закупки и в проект договора, прилагаемый к извещению об осуществлении конкурентной закупки, заказчиком включаются условия исполнения данного договора, предложенные таким участником закупки.</w:t>
            </w:r>
          </w:p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 xml:space="preserve">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договора. Отказ второго участника закупки не влечет за собой признание его уклонившимся от заключения договора. </w:t>
            </w:r>
          </w:p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В случае отказа второго участника закупки от заключения договора, заказчик вправе заключить договор с участником закупки, заявке на участие в закупке которого присвоен третий порядковый номер. Такой участник признается победителем закупки, и в проект договора, прилагаемый к извещению об осуществлении конкурентной закупки, заказчиком включаются условия исполнения данного договора, предложенные таким участником.</w:t>
            </w:r>
          </w:p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Принятие заказчиком решения о заключении договора с третьим участником закупки не накладывает на такого участника закупки обязанности заключения договора. Отказ третьего участника закупки не влечет за собой признание его уклонившимся от заключения договора.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footnotePr>
        <w:numFmt w:val="decimal"/>
      </w:footnote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PT Astra Serif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widowControl w:val="false"/>
        <w:rPr/>
      </w:pPr>
      <w:r>
        <w:rPr>
          <w:rStyle w:val="Style15"/>
        </w:rPr>
        <w:footnoteRef/>
      </w:r>
      <w:r>
        <w:rPr/>
        <w:t xml:space="preserve"> </w:t>
      </w:r>
      <w:r>
        <w:rPr/>
        <w:t>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данному заявлению на дату рассмотрения заявки на участие в закупке не принято.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327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6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6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7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7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38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1440"/>
      </w:pPr>
      <w:rPr/>
    </w:lvl>
  </w:abstractNum>
  <w:abstractNum w:abstractNumId="2">
    <w:lvl w:ilvl="0">
      <w:start w:val="1"/>
      <w:numFmt w:val="bullet"/>
      <w:suff w:val="space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b20a4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ar-SA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сноски Знак"/>
    <w:basedOn w:val="DefaultParagraphFont"/>
    <w:qFormat/>
    <w:rsid w:val="003b20a4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Style15" w:customStyle="1">
    <w:name w:val="Символ сноски"/>
    <w:uiPriority w:val="99"/>
    <w:unhideWhenUsed/>
    <w:qFormat/>
    <w:rsid w:val="003b20a4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c3041d"/>
    <w:rPr>
      <w:rFonts w:ascii="Segoe UI" w:hAnsi="Segoe UI" w:eastAsia="Times New Roman" w:cs="Segoe UI"/>
      <w:sz w:val="18"/>
      <w:szCs w:val="18"/>
      <w:lang w:eastAsia="ar-SA"/>
    </w:rPr>
  </w:style>
  <w:style w:type="character" w:styleId="InternetLink">
    <w:name w:val="Internet Link"/>
    <w:qFormat/>
    <w:rPr>
      <w:color w:val="000080"/>
      <w:u w:val="single"/>
    </w:rPr>
  </w:style>
  <w:style w:type="character" w:styleId="Style17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Bodytext2" w:customStyle="1">
    <w:name w:val="Body text (2)"/>
    <w:qFormat/>
    <w:rPr>
      <w:rFonts w:ascii="Times New Roman" w:hAnsi="Times New Roman" w:eastAsia="Times New Roman" w:cs="Times New Roman"/>
      <w:color w:val="000000"/>
      <w:spacing w:val="0"/>
      <w:w w:val="100"/>
      <w:sz w:val="22"/>
      <w:szCs w:val="22"/>
      <w:u w:val="none"/>
      <w:lang w:val="ru-RU" w:bidi="ru-RU"/>
    </w:rPr>
  </w:style>
  <w:style w:type="character" w:styleId="Hyperlink">
    <w:name w:val="Hyperlink"/>
    <w:rPr>
      <w:color w:val="000080"/>
      <w:u w:val="single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FootnoteText">
    <w:name w:val="Footnote Text"/>
    <w:basedOn w:val="Normal"/>
    <w:link w:val="Style14"/>
    <w:rsid w:val="003b20a4"/>
    <w:pPr>
      <w:jc w:val="left"/>
    </w:pPr>
    <w:rPr>
      <w:sz w:val="20"/>
      <w:szCs w:val="20"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c3041d"/>
    <w:pPr/>
    <w:rPr>
      <w:rFonts w:ascii="Segoe UI" w:hAnsi="Segoe UI" w:cs="Segoe UI"/>
      <w:sz w:val="18"/>
      <w:szCs w:val="18"/>
    </w:rPr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59"/>
    <w:rsid w:val="003b20a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f1">
    <w:name w:val="Table Grid"/>
    <w:basedOn w:val="a1"/>
    <w:uiPriority w:val="39"/>
    <w:rsid w:val="003b20a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zakupki.gov.ru/" TargetMode="External"/><Relationship Id="rId3" Type="http://schemas.openxmlformats.org/officeDocument/2006/relationships/hyperlink" Target="https://etp-region.ru/" TargetMode="External"/><Relationship Id="rId4" Type="http://schemas.openxmlformats.org/officeDocument/2006/relationships/hyperlink" Target="https://etp-region.ru/" TargetMode="Externa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E9A11-C69E-44F1-BFAC-A0DC2DDF1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Application>LibreOffice/24.2.4.2$Windows_X86_64 LibreOffice_project/51a6219feb6075d9a4c46691dcfe0cd9c4fff3c2</Application>
  <AppVersion>15.0000</AppVersion>
  <Pages>14</Pages>
  <Words>3069</Words>
  <Characters>22413</Characters>
  <CharactersWithSpaces>25205</CharactersWithSpaces>
  <Paragraphs>320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2025-04-10T08:34:00Z</dcterms:created>
  <dc:creator>user</dc:creator>
  <dc:description/>
  <dc:language>ru-RU</dc:language>
  <cp:lastModifiedBy/>
  <cp:lastPrinted>2025-10-30T09:47:00Z</cp:lastPrinted>
  <dcterms:modified xsi:type="dcterms:W3CDTF">2026-06-08T16:04:36Z</dcterms:modified>
  <cp:revision>64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