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EC10" w14:textId="26A943F8" w:rsidR="002B2439" w:rsidRDefault="00435124">
      <w:pPr>
        <w:widowControl w:val="0"/>
        <w:jc w:val="center"/>
        <w:rPr>
          <w:b/>
          <w:sz w:val="22"/>
          <w:szCs w:val="22"/>
          <w:lang w:val="de-DE" w:eastAsia="ja-JP" w:bidi="fa-IR"/>
        </w:rPr>
      </w:pPr>
      <w:proofErr w:type="spellStart"/>
      <w:r>
        <w:rPr>
          <w:b/>
          <w:sz w:val="22"/>
          <w:szCs w:val="22"/>
          <w:lang w:val="de-DE" w:eastAsia="ja-JP" w:bidi="fa-IR"/>
        </w:rPr>
        <w:t>Те</w:t>
      </w:r>
      <w:proofErr w:type="spellEnd"/>
      <w:r>
        <w:rPr>
          <w:b/>
          <w:sz w:val="22"/>
          <w:szCs w:val="22"/>
          <w:lang w:val="de-DE" w:eastAsia="ja-JP" w:bidi="fa-IR"/>
        </w:rPr>
        <w:t>​​‍​​⁠​​⁠‌​‍﻿‌﻿‍﻿‌​​⁠⁠‌⁠​‍﻿﻿​‍﻿⁠﻿⁠﻿‌‌﻿​﻿​​‍‍</w:t>
      </w:r>
      <w:proofErr w:type="spellStart"/>
      <w:r>
        <w:rPr>
          <w:b/>
          <w:sz w:val="22"/>
          <w:szCs w:val="22"/>
          <w:lang w:val="de-DE" w:eastAsia="ja-JP" w:bidi="fa-IR"/>
        </w:rPr>
        <w:t>хническое</w:t>
      </w:r>
      <w:proofErr w:type="spellEnd"/>
      <w:r>
        <w:rPr>
          <w:b/>
          <w:sz w:val="22"/>
          <w:szCs w:val="22"/>
          <w:lang w:eastAsia="ja-JP" w:bidi="fa-IR"/>
        </w:rPr>
        <w:t xml:space="preserve"> </w:t>
      </w:r>
      <w:proofErr w:type="spellStart"/>
      <w:r>
        <w:rPr>
          <w:b/>
          <w:sz w:val="22"/>
          <w:szCs w:val="22"/>
          <w:lang w:val="de-DE" w:eastAsia="ja-JP" w:bidi="fa-IR"/>
        </w:rPr>
        <w:t>зад⁠ание</w:t>
      </w:r>
      <w:proofErr w:type="spellEnd"/>
    </w:p>
    <w:p w14:paraId="164D2AC9" w14:textId="0DE1E64A" w:rsidR="002B2439" w:rsidRDefault="00435124">
      <w:pPr>
        <w:widowControl w:val="0"/>
        <w:jc w:val="center"/>
        <w:rPr>
          <w:b/>
          <w:sz w:val="22"/>
          <w:szCs w:val="22"/>
          <w:lang w:eastAsia="ja-JP" w:bidi="fa-IR"/>
        </w:rPr>
      </w:pPr>
      <w:r>
        <w:rPr>
          <w:b/>
          <w:sz w:val="22"/>
          <w:szCs w:val="22"/>
          <w:lang w:eastAsia="ja-JP" w:bidi="fa-IR"/>
        </w:rPr>
        <w:t xml:space="preserve">на поставку шин </w:t>
      </w:r>
    </w:p>
    <w:p w14:paraId="296F15FF" w14:textId="77777777" w:rsidR="002B2439" w:rsidRDefault="002B2439">
      <w:pPr>
        <w:widowControl w:val="0"/>
        <w:jc w:val="center"/>
        <w:rPr>
          <w:b/>
          <w:sz w:val="22"/>
          <w:szCs w:val="22"/>
          <w:lang w:eastAsia="ja-JP" w:bidi="fa-IR"/>
        </w:rPr>
      </w:pPr>
    </w:p>
    <w:p w14:paraId="25AB9B39" w14:textId="2B885AE2" w:rsidR="002B2439" w:rsidRDefault="00435124">
      <w:pPr>
        <w:pStyle w:val="afa"/>
        <w:widowControl w:val="0"/>
        <w:numPr>
          <w:ilvl w:val="0"/>
          <w:numId w:val="1"/>
        </w:numPr>
        <w:spacing w:after="0" w:line="240" w:lineRule="auto"/>
        <w:ind w:left="0" w:right="-284" w:firstLine="0"/>
        <w:jc w:val="both"/>
        <w:rPr>
          <w:b/>
          <w:sz w:val="22"/>
          <w:szCs w:val="22"/>
          <w:lang w:eastAsia="en-US"/>
        </w:rPr>
      </w:pPr>
      <w:r>
        <w:rPr>
          <w:b/>
          <w:sz w:val="22"/>
          <w:szCs w:val="22"/>
          <w:lang w:eastAsia="en-US"/>
        </w:rPr>
        <w:t>Объект закупки:</w:t>
      </w:r>
    </w:p>
    <w:tbl>
      <w:tblPr>
        <w:tblStyle w:val="ab"/>
        <w:tblW w:w="9934" w:type="dxa"/>
        <w:tblLook w:val="04A0" w:firstRow="1" w:lastRow="0" w:firstColumn="1" w:lastColumn="0" w:noHBand="0" w:noVBand="1"/>
      </w:tblPr>
      <w:tblGrid>
        <w:gridCol w:w="655"/>
        <w:gridCol w:w="1475"/>
        <w:gridCol w:w="1826"/>
        <w:gridCol w:w="2418"/>
        <w:gridCol w:w="1693"/>
        <w:gridCol w:w="1859"/>
        <w:gridCol w:w="8"/>
      </w:tblGrid>
      <w:tr w:rsidR="00C5695A" w:rsidRPr="00C5695A" w14:paraId="6791D1D5" w14:textId="77777777" w:rsidTr="002465EE">
        <w:trPr>
          <w:trHeight w:val="345"/>
        </w:trPr>
        <w:tc>
          <w:tcPr>
            <w:tcW w:w="655" w:type="dxa"/>
            <w:vMerge w:val="restart"/>
            <w:hideMark/>
          </w:tcPr>
          <w:p w14:paraId="7EC002CA" w14:textId="26869577" w:rsidR="00C5695A" w:rsidRPr="00C5695A" w:rsidRDefault="00C5695A" w:rsidP="00C5695A">
            <w:pPr>
              <w:widowControl w:val="0"/>
              <w:jc w:val="both"/>
              <w:rPr>
                <w:b/>
                <w:bCs/>
                <w:sz w:val="22"/>
                <w:szCs w:val="22"/>
                <w:lang w:eastAsia="en-US"/>
              </w:rPr>
            </w:pPr>
            <w:r>
              <w:rPr>
                <w:b/>
                <w:bCs/>
                <w:sz w:val="22"/>
                <w:szCs w:val="22"/>
                <w:lang w:eastAsia="en-US"/>
              </w:rPr>
              <w:t>№ п/п</w:t>
            </w:r>
          </w:p>
        </w:tc>
        <w:tc>
          <w:tcPr>
            <w:tcW w:w="1475" w:type="dxa"/>
            <w:vMerge w:val="restart"/>
            <w:hideMark/>
          </w:tcPr>
          <w:p w14:paraId="27380AD4" w14:textId="77777777" w:rsidR="00C5695A" w:rsidRPr="00C5695A" w:rsidRDefault="00C5695A" w:rsidP="00C5695A">
            <w:pPr>
              <w:widowControl w:val="0"/>
              <w:jc w:val="both"/>
              <w:rPr>
                <w:b/>
                <w:bCs/>
                <w:sz w:val="22"/>
                <w:szCs w:val="22"/>
                <w:lang w:eastAsia="en-US"/>
              </w:rPr>
            </w:pPr>
            <w:r w:rsidRPr="00C5695A">
              <w:rPr>
                <w:b/>
                <w:bCs/>
                <w:sz w:val="22"/>
                <w:szCs w:val="22"/>
                <w:lang w:eastAsia="en-US"/>
              </w:rPr>
              <w:t>Код</w:t>
            </w:r>
          </w:p>
        </w:tc>
        <w:tc>
          <w:tcPr>
            <w:tcW w:w="1826" w:type="dxa"/>
            <w:vMerge w:val="restart"/>
            <w:hideMark/>
          </w:tcPr>
          <w:p w14:paraId="2C041BD7" w14:textId="77777777" w:rsidR="00C5695A" w:rsidRPr="00C5695A" w:rsidRDefault="00C5695A" w:rsidP="00C5695A">
            <w:pPr>
              <w:widowControl w:val="0"/>
              <w:jc w:val="both"/>
              <w:rPr>
                <w:b/>
                <w:bCs/>
                <w:sz w:val="22"/>
                <w:szCs w:val="22"/>
                <w:lang w:eastAsia="en-US"/>
              </w:rPr>
            </w:pPr>
            <w:r w:rsidRPr="00C5695A">
              <w:rPr>
                <w:b/>
                <w:bCs/>
                <w:sz w:val="22"/>
                <w:szCs w:val="22"/>
                <w:lang w:eastAsia="en-US"/>
              </w:rPr>
              <w:t>Наименование</w:t>
            </w:r>
          </w:p>
        </w:tc>
        <w:tc>
          <w:tcPr>
            <w:tcW w:w="5978" w:type="dxa"/>
            <w:gridSpan w:val="4"/>
            <w:hideMark/>
          </w:tcPr>
          <w:p w14:paraId="34ACE31E" w14:textId="77777777" w:rsidR="00C5695A" w:rsidRPr="00C5695A" w:rsidRDefault="00C5695A" w:rsidP="00C5695A">
            <w:pPr>
              <w:widowControl w:val="0"/>
              <w:jc w:val="both"/>
              <w:rPr>
                <w:b/>
                <w:bCs/>
                <w:sz w:val="22"/>
                <w:szCs w:val="22"/>
                <w:lang w:eastAsia="en-US"/>
              </w:rPr>
            </w:pPr>
            <w:r w:rsidRPr="00C5695A">
              <w:rPr>
                <w:b/>
                <w:bCs/>
                <w:sz w:val="22"/>
                <w:szCs w:val="22"/>
                <w:lang w:eastAsia="en-US"/>
              </w:rPr>
              <w:t>Национальный режим</w:t>
            </w:r>
          </w:p>
        </w:tc>
      </w:tr>
      <w:tr w:rsidR="00C5695A" w:rsidRPr="00C5695A" w14:paraId="313874D5" w14:textId="77777777" w:rsidTr="002465EE">
        <w:trPr>
          <w:gridAfter w:val="1"/>
          <w:wAfter w:w="8" w:type="dxa"/>
          <w:trHeight w:val="345"/>
        </w:trPr>
        <w:tc>
          <w:tcPr>
            <w:tcW w:w="655" w:type="dxa"/>
            <w:vMerge/>
            <w:hideMark/>
          </w:tcPr>
          <w:p w14:paraId="602BD3B6" w14:textId="77777777" w:rsidR="00C5695A" w:rsidRPr="00C5695A" w:rsidRDefault="00C5695A" w:rsidP="00C5695A">
            <w:pPr>
              <w:widowControl w:val="0"/>
              <w:jc w:val="both"/>
              <w:rPr>
                <w:b/>
                <w:bCs/>
                <w:sz w:val="22"/>
                <w:szCs w:val="22"/>
                <w:lang w:eastAsia="en-US"/>
              </w:rPr>
            </w:pPr>
          </w:p>
        </w:tc>
        <w:tc>
          <w:tcPr>
            <w:tcW w:w="1475" w:type="dxa"/>
            <w:vMerge/>
            <w:hideMark/>
          </w:tcPr>
          <w:p w14:paraId="0C65C636" w14:textId="77777777" w:rsidR="00C5695A" w:rsidRPr="00C5695A" w:rsidRDefault="00C5695A" w:rsidP="00C5695A">
            <w:pPr>
              <w:widowControl w:val="0"/>
              <w:jc w:val="both"/>
              <w:rPr>
                <w:b/>
                <w:bCs/>
                <w:sz w:val="22"/>
                <w:szCs w:val="22"/>
                <w:lang w:eastAsia="en-US"/>
              </w:rPr>
            </w:pPr>
          </w:p>
        </w:tc>
        <w:tc>
          <w:tcPr>
            <w:tcW w:w="1826" w:type="dxa"/>
            <w:vMerge/>
            <w:hideMark/>
          </w:tcPr>
          <w:p w14:paraId="3771B7F8" w14:textId="77777777" w:rsidR="00C5695A" w:rsidRPr="00C5695A" w:rsidRDefault="00C5695A" w:rsidP="00C5695A">
            <w:pPr>
              <w:widowControl w:val="0"/>
              <w:jc w:val="both"/>
              <w:rPr>
                <w:b/>
                <w:bCs/>
                <w:sz w:val="22"/>
                <w:szCs w:val="22"/>
                <w:lang w:eastAsia="en-US"/>
              </w:rPr>
            </w:pPr>
          </w:p>
        </w:tc>
        <w:tc>
          <w:tcPr>
            <w:tcW w:w="2418" w:type="dxa"/>
            <w:hideMark/>
          </w:tcPr>
          <w:p w14:paraId="20AB8155" w14:textId="77777777" w:rsidR="00C5695A" w:rsidRPr="00C5695A" w:rsidRDefault="00C5695A" w:rsidP="00C5695A">
            <w:pPr>
              <w:widowControl w:val="0"/>
              <w:jc w:val="both"/>
              <w:rPr>
                <w:b/>
                <w:bCs/>
                <w:sz w:val="22"/>
                <w:szCs w:val="22"/>
                <w:lang w:eastAsia="en-US"/>
              </w:rPr>
            </w:pPr>
            <w:r w:rsidRPr="00C5695A">
              <w:rPr>
                <w:b/>
                <w:bCs/>
                <w:sz w:val="22"/>
                <w:szCs w:val="22"/>
                <w:lang w:eastAsia="en-US"/>
              </w:rPr>
              <w:t>1875 (Запрет)</w:t>
            </w:r>
          </w:p>
        </w:tc>
        <w:tc>
          <w:tcPr>
            <w:tcW w:w="1693" w:type="dxa"/>
            <w:hideMark/>
          </w:tcPr>
          <w:p w14:paraId="6E8D645B" w14:textId="77777777" w:rsidR="00C5695A" w:rsidRPr="00C5695A" w:rsidRDefault="00C5695A" w:rsidP="00C5695A">
            <w:pPr>
              <w:widowControl w:val="0"/>
              <w:jc w:val="both"/>
              <w:rPr>
                <w:b/>
                <w:bCs/>
                <w:sz w:val="22"/>
                <w:szCs w:val="22"/>
                <w:lang w:eastAsia="en-US"/>
              </w:rPr>
            </w:pPr>
            <w:r w:rsidRPr="00C5695A">
              <w:rPr>
                <w:b/>
                <w:bCs/>
                <w:sz w:val="22"/>
                <w:szCs w:val="22"/>
                <w:lang w:eastAsia="en-US"/>
              </w:rPr>
              <w:t>1875 (Ограничение)</w:t>
            </w:r>
          </w:p>
        </w:tc>
        <w:tc>
          <w:tcPr>
            <w:tcW w:w="1859" w:type="dxa"/>
            <w:hideMark/>
          </w:tcPr>
          <w:p w14:paraId="414FE607" w14:textId="77777777" w:rsidR="00C5695A" w:rsidRPr="00C5695A" w:rsidRDefault="00C5695A" w:rsidP="00C5695A">
            <w:pPr>
              <w:widowControl w:val="0"/>
              <w:jc w:val="both"/>
              <w:rPr>
                <w:b/>
                <w:bCs/>
                <w:sz w:val="22"/>
                <w:szCs w:val="22"/>
                <w:lang w:eastAsia="en-US"/>
              </w:rPr>
            </w:pPr>
            <w:r w:rsidRPr="00C5695A">
              <w:rPr>
                <w:b/>
                <w:bCs/>
                <w:sz w:val="22"/>
                <w:szCs w:val="22"/>
                <w:lang w:eastAsia="en-US"/>
              </w:rPr>
              <w:t>1875 (Преимущество)</w:t>
            </w:r>
          </w:p>
        </w:tc>
      </w:tr>
      <w:tr w:rsidR="00C5695A" w:rsidRPr="00C5695A" w14:paraId="69B90F47" w14:textId="77777777" w:rsidTr="002465EE">
        <w:trPr>
          <w:gridAfter w:val="1"/>
          <w:wAfter w:w="8" w:type="dxa"/>
          <w:trHeight w:val="315"/>
        </w:trPr>
        <w:tc>
          <w:tcPr>
            <w:tcW w:w="655" w:type="dxa"/>
            <w:hideMark/>
          </w:tcPr>
          <w:p w14:paraId="5DE6E47F" w14:textId="77777777" w:rsidR="00C5695A" w:rsidRPr="00C5695A" w:rsidRDefault="00C5695A" w:rsidP="00C5695A">
            <w:pPr>
              <w:widowControl w:val="0"/>
              <w:jc w:val="both"/>
              <w:rPr>
                <w:bCs/>
                <w:sz w:val="22"/>
                <w:szCs w:val="22"/>
                <w:lang w:eastAsia="en-US"/>
              </w:rPr>
            </w:pPr>
            <w:r w:rsidRPr="00C5695A">
              <w:rPr>
                <w:bCs/>
                <w:sz w:val="22"/>
                <w:szCs w:val="22"/>
                <w:lang w:eastAsia="en-US"/>
              </w:rPr>
              <w:t>1</w:t>
            </w:r>
          </w:p>
        </w:tc>
        <w:tc>
          <w:tcPr>
            <w:tcW w:w="1475" w:type="dxa"/>
            <w:hideMark/>
          </w:tcPr>
          <w:p w14:paraId="7DD8C329" w14:textId="77777777" w:rsidR="00C5695A" w:rsidRPr="00C5695A" w:rsidRDefault="00C5695A" w:rsidP="00C5695A">
            <w:pPr>
              <w:widowControl w:val="0"/>
              <w:jc w:val="both"/>
              <w:rPr>
                <w:bCs/>
                <w:sz w:val="22"/>
                <w:szCs w:val="22"/>
                <w:lang w:eastAsia="en-US"/>
              </w:rPr>
            </w:pPr>
            <w:r w:rsidRPr="00C5695A">
              <w:rPr>
                <w:bCs/>
                <w:sz w:val="22"/>
                <w:szCs w:val="22"/>
                <w:lang w:eastAsia="en-US"/>
              </w:rPr>
              <w:t>22.11.13.110</w:t>
            </w:r>
          </w:p>
        </w:tc>
        <w:tc>
          <w:tcPr>
            <w:tcW w:w="1826" w:type="dxa"/>
            <w:hideMark/>
          </w:tcPr>
          <w:p w14:paraId="7FC3F2BA" w14:textId="77777777" w:rsidR="00C5695A" w:rsidRPr="00C5695A" w:rsidRDefault="00C5695A" w:rsidP="00C5695A">
            <w:pPr>
              <w:widowControl w:val="0"/>
              <w:jc w:val="both"/>
              <w:rPr>
                <w:bCs/>
                <w:sz w:val="22"/>
                <w:szCs w:val="22"/>
                <w:lang w:eastAsia="en-US"/>
              </w:rPr>
            </w:pPr>
            <w:r w:rsidRPr="00C5695A">
              <w:rPr>
                <w:bCs/>
                <w:sz w:val="22"/>
                <w:szCs w:val="22"/>
                <w:lang w:eastAsia="en-US"/>
              </w:rPr>
              <w:t>Автошина</w:t>
            </w:r>
          </w:p>
        </w:tc>
        <w:tc>
          <w:tcPr>
            <w:tcW w:w="2418" w:type="dxa"/>
            <w:hideMark/>
          </w:tcPr>
          <w:p w14:paraId="1B43CD12" w14:textId="385756DA" w:rsidR="00C5695A" w:rsidRPr="00C5695A" w:rsidRDefault="00C5695A" w:rsidP="00C5695A">
            <w:pPr>
              <w:widowControl w:val="0"/>
              <w:jc w:val="both"/>
              <w:rPr>
                <w:bCs/>
                <w:sz w:val="22"/>
                <w:szCs w:val="22"/>
                <w:lang w:eastAsia="en-US"/>
              </w:rPr>
            </w:pPr>
            <w:r>
              <w:rPr>
                <w:bCs/>
                <w:sz w:val="22"/>
                <w:szCs w:val="22"/>
                <w:lang w:eastAsia="en-US"/>
              </w:rPr>
              <w:t>Не применяется согласно подп. "и" п. 5</w:t>
            </w:r>
          </w:p>
        </w:tc>
        <w:tc>
          <w:tcPr>
            <w:tcW w:w="1693" w:type="dxa"/>
            <w:hideMark/>
          </w:tcPr>
          <w:p w14:paraId="131EFCFD" w14:textId="77777777" w:rsidR="00C5695A" w:rsidRPr="00C5695A" w:rsidRDefault="00C5695A" w:rsidP="00C5695A">
            <w:pPr>
              <w:widowControl w:val="0"/>
              <w:jc w:val="both"/>
              <w:rPr>
                <w:bCs/>
                <w:sz w:val="22"/>
                <w:szCs w:val="22"/>
                <w:lang w:eastAsia="en-US"/>
              </w:rPr>
            </w:pPr>
          </w:p>
        </w:tc>
        <w:tc>
          <w:tcPr>
            <w:tcW w:w="1859" w:type="dxa"/>
            <w:hideMark/>
          </w:tcPr>
          <w:p w14:paraId="26DC3A65" w14:textId="77777777" w:rsidR="00C5695A" w:rsidRPr="00C5695A" w:rsidRDefault="00C5695A" w:rsidP="00C5695A">
            <w:pPr>
              <w:widowControl w:val="0"/>
              <w:jc w:val="both"/>
              <w:rPr>
                <w:bCs/>
                <w:sz w:val="22"/>
                <w:szCs w:val="22"/>
                <w:lang w:eastAsia="en-US"/>
              </w:rPr>
            </w:pPr>
          </w:p>
        </w:tc>
      </w:tr>
    </w:tbl>
    <w:p w14:paraId="29135CD4" w14:textId="210EC6A5" w:rsidR="00C5695A" w:rsidRDefault="00C5695A" w:rsidP="00C5695A">
      <w:pPr>
        <w:widowControl w:val="0"/>
        <w:ind w:right="-284"/>
        <w:jc w:val="both"/>
        <w:rPr>
          <w:b/>
          <w:sz w:val="22"/>
          <w:szCs w:val="22"/>
          <w:lang w:eastAsia="en-US"/>
        </w:rPr>
      </w:pPr>
    </w:p>
    <w:p w14:paraId="08FB5B7D" w14:textId="77777777" w:rsidR="00A747D0" w:rsidRPr="00A747D0" w:rsidRDefault="00A747D0" w:rsidP="00A747D0">
      <w:pPr>
        <w:jc w:val="both"/>
        <w:rPr>
          <w:bCs/>
          <w:i/>
          <w:iCs/>
          <w:sz w:val="22"/>
          <w:szCs w:val="22"/>
          <w:lang w:val="ba-RU"/>
        </w:rPr>
      </w:pPr>
      <w:bookmarkStart w:id="0" w:name="_Hlk181802425"/>
      <w:bookmarkStart w:id="1" w:name="_Hlk221888732"/>
      <w:r w:rsidRPr="00A747D0">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239BBD4" w14:textId="77777777" w:rsidR="00A747D0" w:rsidRDefault="00A747D0">
      <w:pPr>
        <w:widowControl w:val="0"/>
        <w:ind w:right="-284"/>
        <w:jc w:val="both"/>
        <w:rPr>
          <w:b/>
          <w:sz w:val="22"/>
          <w:szCs w:val="22"/>
          <w:lang w:eastAsia="en-US"/>
        </w:rPr>
      </w:pPr>
    </w:p>
    <w:tbl>
      <w:tblPr>
        <w:tblW w:w="5100" w:type="pct"/>
        <w:tblInd w:w="-147" w:type="dxa"/>
        <w:tblCellMar>
          <w:left w:w="10" w:type="dxa"/>
          <w:right w:w="10" w:type="dxa"/>
        </w:tblCellMar>
        <w:tblLook w:val="04A0" w:firstRow="1" w:lastRow="0" w:firstColumn="1" w:lastColumn="0" w:noHBand="0" w:noVBand="1"/>
      </w:tblPr>
      <w:tblGrid>
        <w:gridCol w:w="534"/>
        <w:gridCol w:w="1690"/>
        <w:gridCol w:w="4155"/>
        <w:gridCol w:w="2821"/>
        <w:gridCol w:w="910"/>
      </w:tblGrid>
      <w:tr w:rsidR="002B2439" w:rsidRPr="00C5695A" w14:paraId="6BA42A5A" w14:textId="77777777">
        <w:trPr>
          <w:trHeight w:val="20"/>
        </w:trPr>
        <w:tc>
          <w:tcPr>
            <w:tcW w:w="26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6A7E48" w14:textId="77777777" w:rsidR="002B2439" w:rsidRPr="00C5695A" w:rsidRDefault="00435124">
            <w:pPr>
              <w:widowControl w:val="0"/>
              <w:jc w:val="center"/>
              <w:rPr>
                <w:b/>
                <w:bCs/>
                <w:sz w:val="22"/>
                <w:szCs w:val="22"/>
                <w:lang w:eastAsia="ja-JP" w:bidi="fa-IR"/>
              </w:rPr>
            </w:pPr>
            <w:r w:rsidRPr="00C5695A">
              <w:rPr>
                <w:b/>
                <w:bCs/>
                <w:sz w:val="22"/>
                <w:szCs w:val="22"/>
                <w:lang w:eastAsia="ja-JP" w:bidi="fa-IR"/>
              </w:rPr>
              <w:t>№ п/п</w:t>
            </w:r>
          </w:p>
        </w:tc>
        <w:tc>
          <w:tcPr>
            <w:tcW w:w="83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B4E45" w14:textId="77777777" w:rsidR="002B2439" w:rsidRPr="00C5695A" w:rsidRDefault="00435124">
            <w:pPr>
              <w:widowControl w:val="0"/>
              <w:jc w:val="center"/>
              <w:rPr>
                <w:b/>
                <w:bCs/>
                <w:sz w:val="22"/>
                <w:szCs w:val="22"/>
                <w:lang w:eastAsia="ja-JP" w:bidi="fa-IR"/>
              </w:rPr>
            </w:pPr>
            <w:r w:rsidRPr="00C5695A">
              <w:rPr>
                <w:b/>
                <w:bCs/>
                <w:sz w:val="22"/>
                <w:szCs w:val="22"/>
                <w:lang w:eastAsia="ja-JP" w:bidi="fa-IR"/>
              </w:rPr>
              <w:t>Наименование товара</w:t>
            </w:r>
          </w:p>
        </w:tc>
        <w:tc>
          <w:tcPr>
            <w:tcW w:w="20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69D29" w14:textId="77777777" w:rsidR="002B2439" w:rsidRPr="00C5695A" w:rsidRDefault="00435124">
            <w:pPr>
              <w:widowControl w:val="0"/>
              <w:jc w:val="center"/>
              <w:rPr>
                <w:b/>
                <w:bCs/>
                <w:sz w:val="22"/>
                <w:szCs w:val="22"/>
                <w:lang w:eastAsia="ja-JP" w:bidi="fa-IR"/>
              </w:rPr>
            </w:pPr>
            <w:r w:rsidRPr="00C5695A">
              <w:rPr>
                <w:b/>
                <w:bCs/>
                <w:sz w:val="22"/>
                <w:szCs w:val="22"/>
                <w:lang w:eastAsia="ja-JP" w:bidi="fa-IR"/>
              </w:rPr>
              <w:t>Наименование показателей товара и их значения</w:t>
            </w:r>
          </w:p>
        </w:tc>
        <w:tc>
          <w:tcPr>
            <w:tcW w:w="139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7FD8B" w14:textId="77777777" w:rsidR="002B2439" w:rsidRPr="00C5695A" w:rsidRDefault="00435124">
            <w:pPr>
              <w:widowControl w:val="0"/>
              <w:jc w:val="center"/>
              <w:rPr>
                <w:b/>
                <w:bCs/>
                <w:sz w:val="22"/>
                <w:szCs w:val="22"/>
                <w:lang w:eastAsia="ja-JP" w:bidi="fa-IR"/>
              </w:rPr>
            </w:pPr>
            <w:r w:rsidRPr="00C5695A">
              <w:rPr>
                <w:b/>
                <w:bCs/>
                <w:sz w:val="22"/>
                <w:szCs w:val="22"/>
                <w:lang w:eastAsia="ja-JP" w:bidi="fa-IR"/>
              </w:rPr>
              <w:t>Нормативная документация, которой должен соответствовать товар (при наличии)</w:t>
            </w:r>
          </w:p>
        </w:tc>
        <w:tc>
          <w:tcPr>
            <w:tcW w:w="450" w:type="pct"/>
            <w:tcBorders>
              <w:top w:val="single" w:sz="4" w:space="0" w:color="00000A"/>
              <w:left w:val="single" w:sz="4" w:space="0" w:color="00000A"/>
              <w:bottom w:val="single" w:sz="4" w:space="0" w:color="00000A"/>
              <w:right w:val="single" w:sz="4" w:space="0" w:color="00000A"/>
            </w:tcBorders>
          </w:tcPr>
          <w:p w14:paraId="6C469A8E" w14:textId="77777777" w:rsidR="002B2439" w:rsidRPr="00C5695A" w:rsidRDefault="00435124">
            <w:pPr>
              <w:widowControl w:val="0"/>
              <w:jc w:val="center"/>
              <w:rPr>
                <w:b/>
                <w:bCs/>
                <w:sz w:val="22"/>
                <w:szCs w:val="22"/>
                <w:lang w:eastAsia="ja-JP" w:bidi="fa-IR"/>
              </w:rPr>
            </w:pPr>
            <w:r w:rsidRPr="00C5695A">
              <w:rPr>
                <w:b/>
                <w:bCs/>
                <w:sz w:val="22"/>
                <w:szCs w:val="22"/>
                <w:lang w:eastAsia="ja-JP" w:bidi="fa-IR"/>
              </w:rPr>
              <w:t>Кол-во</w:t>
            </w:r>
          </w:p>
        </w:tc>
      </w:tr>
      <w:tr w:rsidR="00C5695A" w:rsidRPr="00C5695A" w14:paraId="6017476E" w14:textId="77777777" w:rsidTr="00E92F4D">
        <w:trPr>
          <w:trHeight w:val="20"/>
        </w:trPr>
        <w:tc>
          <w:tcPr>
            <w:tcW w:w="264"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3F9A6C6" w14:textId="77777777" w:rsidR="00C5695A" w:rsidRPr="00C5695A" w:rsidRDefault="00C5695A">
            <w:pPr>
              <w:pStyle w:val="afa"/>
              <w:widowControl w:val="0"/>
              <w:numPr>
                <w:ilvl w:val="0"/>
                <w:numId w:val="2"/>
              </w:numPr>
              <w:spacing w:after="0" w:line="240" w:lineRule="auto"/>
              <w:ind w:left="0" w:firstLine="0"/>
              <w:jc w:val="center"/>
              <w:rPr>
                <w:sz w:val="22"/>
                <w:szCs w:val="22"/>
                <w:lang w:eastAsia="ja-JP" w:bidi="fa-IR"/>
              </w:rPr>
            </w:pPr>
          </w:p>
        </w:tc>
        <w:tc>
          <w:tcPr>
            <w:tcW w:w="8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7FB8F1" w14:textId="77777777" w:rsidR="00C5695A" w:rsidRPr="00C5695A" w:rsidRDefault="00C5695A">
            <w:pPr>
              <w:widowControl w:val="0"/>
              <w:rPr>
                <w:sz w:val="22"/>
                <w:szCs w:val="22"/>
                <w:lang w:eastAsia="ja-JP" w:bidi="fa-IR"/>
              </w:rPr>
            </w:pPr>
            <w:r w:rsidRPr="00C5695A">
              <w:rPr>
                <w:sz w:val="22"/>
                <w:szCs w:val="22"/>
                <w:lang w:eastAsia="ja-JP" w:bidi="fa-IR"/>
              </w:rPr>
              <w:t xml:space="preserve">Автошина Марки </w:t>
            </w:r>
            <w:r w:rsidRPr="00C5695A">
              <w:rPr>
                <w:sz w:val="22"/>
                <w:szCs w:val="22"/>
                <w:lang w:val="en-US" w:eastAsia="ja-JP" w:bidi="fa-IR"/>
              </w:rPr>
              <w:t>Kama</w:t>
            </w:r>
            <w:r w:rsidRPr="00C5695A">
              <w:rPr>
                <w:sz w:val="22"/>
                <w:szCs w:val="22"/>
                <w:lang w:eastAsia="ja-JP" w:bidi="fa-IR"/>
              </w:rPr>
              <w:t xml:space="preserve"> Модель </w:t>
            </w:r>
            <w:r w:rsidRPr="00C5695A">
              <w:rPr>
                <w:sz w:val="22"/>
                <w:szCs w:val="22"/>
              </w:rPr>
              <w:t>NU 901</w:t>
            </w:r>
          </w:p>
        </w:tc>
        <w:tc>
          <w:tcPr>
            <w:tcW w:w="2055"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FF029FB" w14:textId="306097E7" w:rsidR="00C5695A" w:rsidRPr="00C5695A" w:rsidRDefault="00C5695A" w:rsidP="00A747D0">
            <w:pPr>
              <w:shd w:val="clear" w:color="auto" w:fill="FFFFFF"/>
              <w:rPr>
                <w:sz w:val="22"/>
                <w:szCs w:val="22"/>
              </w:rPr>
            </w:pPr>
            <w:r w:rsidRPr="00C5695A">
              <w:rPr>
                <w:sz w:val="22"/>
                <w:szCs w:val="22"/>
              </w:rPr>
              <w:t>Ширина профиля: 8.25</w:t>
            </w:r>
          </w:p>
          <w:p w14:paraId="34B1F0F3" w14:textId="3BA1CDE3" w:rsidR="00C5695A" w:rsidRPr="00C5695A" w:rsidRDefault="00C5695A" w:rsidP="00A747D0">
            <w:pPr>
              <w:shd w:val="clear" w:color="auto" w:fill="FFFFFF"/>
              <w:rPr>
                <w:sz w:val="22"/>
                <w:szCs w:val="22"/>
              </w:rPr>
            </w:pPr>
            <w:r w:rsidRPr="00C5695A">
              <w:rPr>
                <w:sz w:val="22"/>
                <w:szCs w:val="22"/>
              </w:rPr>
              <w:t>Посадочный диаметр: 20</w:t>
            </w:r>
          </w:p>
          <w:p w14:paraId="1F2D5A5F" w14:textId="376EE4CD" w:rsidR="00C5695A" w:rsidRPr="00C5695A" w:rsidRDefault="00C5695A" w:rsidP="00A747D0">
            <w:pPr>
              <w:shd w:val="clear" w:color="auto" w:fill="FFFFFF"/>
              <w:rPr>
                <w:sz w:val="22"/>
                <w:szCs w:val="22"/>
              </w:rPr>
            </w:pPr>
            <w:r w:rsidRPr="00C5695A">
              <w:rPr>
                <w:sz w:val="22"/>
                <w:szCs w:val="22"/>
              </w:rPr>
              <w:t>Индекс нагрузки: не менее 133/131</w:t>
            </w:r>
          </w:p>
          <w:p w14:paraId="496462C5" w14:textId="1BF74715" w:rsidR="00C5695A" w:rsidRPr="00C5695A" w:rsidRDefault="00C5695A" w:rsidP="00A747D0">
            <w:pPr>
              <w:shd w:val="clear" w:color="auto" w:fill="FFFFFF"/>
              <w:rPr>
                <w:sz w:val="22"/>
                <w:szCs w:val="22"/>
              </w:rPr>
            </w:pPr>
            <w:r w:rsidRPr="00C5695A">
              <w:rPr>
                <w:sz w:val="22"/>
                <w:szCs w:val="22"/>
              </w:rPr>
              <w:t>Индекс категории скорости: не ниже K</w:t>
            </w:r>
          </w:p>
          <w:p w14:paraId="786EBC01" w14:textId="72431887" w:rsidR="00C5695A" w:rsidRPr="00C5695A" w:rsidRDefault="00C5695A" w:rsidP="00A747D0">
            <w:pPr>
              <w:shd w:val="clear" w:color="auto" w:fill="FFFFFF"/>
              <w:rPr>
                <w:sz w:val="22"/>
                <w:szCs w:val="22"/>
              </w:rPr>
            </w:pPr>
            <w:r w:rsidRPr="00C5695A">
              <w:rPr>
                <w:sz w:val="22"/>
                <w:szCs w:val="22"/>
              </w:rPr>
              <w:t>Тип конструкции: Радиальная</w:t>
            </w:r>
          </w:p>
          <w:p w14:paraId="476A44EE" w14:textId="77777777" w:rsidR="00E92F4D" w:rsidRDefault="00C5695A" w:rsidP="00E92F4D">
            <w:pPr>
              <w:shd w:val="clear" w:color="auto" w:fill="FFFFFF"/>
              <w:rPr>
                <w:sz w:val="22"/>
                <w:szCs w:val="22"/>
              </w:rPr>
            </w:pPr>
            <w:r w:rsidRPr="00C5695A">
              <w:rPr>
                <w:sz w:val="22"/>
                <w:szCs w:val="22"/>
              </w:rPr>
              <w:t>Дополнительная маркировка</w:t>
            </w:r>
            <w:r w:rsidR="00E92F4D">
              <w:rPr>
                <w:sz w:val="22"/>
                <w:szCs w:val="22"/>
              </w:rPr>
              <w:t xml:space="preserve">: </w:t>
            </w:r>
            <w:r w:rsidRPr="00C5695A">
              <w:rPr>
                <w:sz w:val="22"/>
                <w:szCs w:val="22"/>
              </w:rPr>
              <w:t>M+S</w:t>
            </w:r>
          </w:p>
          <w:p w14:paraId="48BB9C58" w14:textId="64E50F8C" w:rsidR="00C5695A" w:rsidRDefault="00E92F4D" w:rsidP="00E92F4D">
            <w:pPr>
              <w:shd w:val="clear" w:color="auto" w:fill="FFFFFF"/>
              <w:rPr>
                <w:sz w:val="22"/>
                <w:szCs w:val="22"/>
              </w:rPr>
            </w:pPr>
            <w:r w:rsidRPr="00E92F4D">
              <w:rPr>
                <w:sz w:val="22"/>
                <w:szCs w:val="22"/>
              </w:rPr>
              <w:t>Исполнение</w:t>
            </w:r>
            <w:r>
              <w:rPr>
                <w:sz w:val="22"/>
                <w:szCs w:val="22"/>
              </w:rPr>
              <w:t xml:space="preserve">: </w:t>
            </w:r>
            <w:r w:rsidRPr="00E92F4D">
              <w:rPr>
                <w:sz w:val="22"/>
                <w:szCs w:val="22"/>
              </w:rPr>
              <w:t>Камерное</w:t>
            </w:r>
            <w:r w:rsidR="00C5695A" w:rsidRPr="00C5695A">
              <w:rPr>
                <w:sz w:val="22"/>
                <w:szCs w:val="22"/>
              </w:rPr>
              <w:t xml:space="preserve"> </w:t>
            </w:r>
          </w:p>
          <w:p w14:paraId="42926D76" w14:textId="761E6312" w:rsidR="00E92F4D" w:rsidRDefault="00E92F4D" w:rsidP="00E92F4D">
            <w:pPr>
              <w:shd w:val="clear" w:color="auto" w:fill="FFFFFF"/>
              <w:rPr>
                <w:sz w:val="22"/>
                <w:szCs w:val="22"/>
              </w:rPr>
            </w:pPr>
            <w:r w:rsidRPr="00C5695A">
              <w:rPr>
                <w:sz w:val="22"/>
                <w:szCs w:val="22"/>
              </w:rPr>
              <w:t>Применяемость шин: Камера</w:t>
            </w:r>
          </w:p>
          <w:p w14:paraId="1DE6EC8A" w14:textId="06CB9A3C" w:rsidR="00E92F4D" w:rsidRPr="00C5695A" w:rsidRDefault="00E92F4D" w:rsidP="00E92F4D">
            <w:pPr>
              <w:shd w:val="clear" w:color="auto" w:fill="FFFFFF"/>
              <w:rPr>
                <w:sz w:val="22"/>
                <w:szCs w:val="22"/>
              </w:rPr>
            </w:pPr>
            <w:r w:rsidRPr="00C5695A">
              <w:rPr>
                <w:sz w:val="22"/>
                <w:szCs w:val="22"/>
              </w:rPr>
              <w:t>Тип вентиля: ГК-115 длинный вентиль</w:t>
            </w:r>
          </w:p>
        </w:tc>
        <w:tc>
          <w:tcPr>
            <w:tcW w:w="1395" w:type="pct"/>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F0D2EB1" w14:textId="77777777" w:rsidR="00C5695A" w:rsidRPr="00C5695A" w:rsidRDefault="00C5695A">
            <w:pPr>
              <w:widowControl w:val="0"/>
              <w:jc w:val="center"/>
              <w:rPr>
                <w:color w:val="000000"/>
                <w:sz w:val="22"/>
                <w:szCs w:val="22"/>
                <w:lang w:eastAsia="ja-JP" w:bidi="fa-IR"/>
              </w:rPr>
            </w:pPr>
            <w:r w:rsidRPr="00C5695A">
              <w:rPr>
                <w:color w:val="000000"/>
                <w:sz w:val="22"/>
                <w:szCs w:val="22"/>
                <w:lang w:eastAsia="ja-JP" w:bidi="fa-IR"/>
              </w:rPr>
              <w:t>Технический регламент Таможенного союза ТР ТС 018/2011 «О безопасности колесных транспортных средств (утвержденный Решением Комиссии Таможенного союза от 09.12.2011г. № 877)».</w:t>
            </w:r>
          </w:p>
        </w:tc>
        <w:tc>
          <w:tcPr>
            <w:tcW w:w="450" w:type="pct"/>
            <w:tcBorders>
              <w:top w:val="single" w:sz="4" w:space="0" w:color="auto"/>
              <w:left w:val="single" w:sz="4" w:space="0" w:color="auto"/>
              <w:bottom w:val="single" w:sz="4" w:space="0" w:color="auto"/>
              <w:right w:val="single" w:sz="4" w:space="0" w:color="auto"/>
            </w:tcBorders>
            <w:shd w:val="clear" w:color="000000" w:fill="FFFFFF"/>
          </w:tcPr>
          <w:p w14:paraId="77C51DDB" w14:textId="77777777" w:rsidR="00C5695A" w:rsidRPr="00C5695A" w:rsidRDefault="00C5695A">
            <w:pPr>
              <w:widowControl w:val="0"/>
              <w:jc w:val="center"/>
              <w:rPr>
                <w:sz w:val="22"/>
                <w:szCs w:val="22"/>
                <w:lang w:eastAsia="ja-JP" w:bidi="fa-IR"/>
              </w:rPr>
            </w:pPr>
            <w:r w:rsidRPr="00C5695A">
              <w:rPr>
                <w:sz w:val="22"/>
                <w:szCs w:val="22"/>
                <w:lang w:bidi="fa-IR"/>
              </w:rPr>
              <w:t>6</w:t>
            </w:r>
          </w:p>
        </w:tc>
      </w:tr>
    </w:tbl>
    <w:p w14:paraId="781C1DF3" w14:textId="643CA022" w:rsidR="002B2439" w:rsidRDefault="002B2439">
      <w:pPr>
        <w:tabs>
          <w:tab w:val="left" w:pos="426"/>
        </w:tabs>
        <w:jc w:val="both"/>
        <w:rPr>
          <w:b/>
          <w:sz w:val="22"/>
          <w:szCs w:val="22"/>
          <w:shd w:val="clear" w:color="auto" w:fill="F9FAFB"/>
          <w:lang w:eastAsia="en-US"/>
        </w:rPr>
      </w:pPr>
    </w:p>
    <w:tbl>
      <w:tblPr>
        <w:tblStyle w:val="ab"/>
        <w:tblW w:w="0" w:type="auto"/>
        <w:tblInd w:w="-147" w:type="dxa"/>
        <w:tblLook w:val="04A0" w:firstRow="1" w:lastRow="0" w:firstColumn="1" w:lastColumn="0" w:noHBand="0" w:noVBand="1"/>
      </w:tblPr>
      <w:tblGrid>
        <w:gridCol w:w="409"/>
        <w:gridCol w:w="1022"/>
        <w:gridCol w:w="4523"/>
        <w:gridCol w:w="4105"/>
      </w:tblGrid>
      <w:tr w:rsidR="00CD65B6" w:rsidRPr="000D0BBF" w14:paraId="3DBBE444" w14:textId="77777777" w:rsidTr="00C54FBB">
        <w:tc>
          <w:tcPr>
            <w:tcW w:w="409" w:type="dxa"/>
          </w:tcPr>
          <w:p w14:paraId="4DF6E1F3" w14:textId="77777777" w:rsidR="00CD65B6" w:rsidRPr="000D0BBF" w:rsidRDefault="00CD65B6" w:rsidP="00C54FBB">
            <w:pPr>
              <w:tabs>
                <w:tab w:val="left" w:pos="426"/>
              </w:tabs>
              <w:jc w:val="both"/>
              <w:rPr>
                <w:bCs/>
                <w:sz w:val="22"/>
                <w:szCs w:val="22"/>
                <w:shd w:val="clear" w:color="auto" w:fill="F9FAFB"/>
                <w:lang w:eastAsia="en-US"/>
              </w:rPr>
            </w:pPr>
            <w:r w:rsidRPr="000D0BBF">
              <w:rPr>
                <w:bCs/>
                <w:sz w:val="22"/>
                <w:szCs w:val="22"/>
                <w:shd w:val="clear" w:color="auto" w:fill="F9FAFB"/>
                <w:lang w:eastAsia="en-US"/>
              </w:rPr>
              <w:t>1.</w:t>
            </w:r>
          </w:p>
        </w:tc>
        <w:tc>
          <w:tcPr>
            <w:tcW w:w="1022" w:type="dxa"/>
          </w:tcPr>
          <w:p w14:paraId="13470E15" w14:textId="77777777" w:rsidR="00CD65B6" w:rsidRPr="000D0BBF" w:rsidRDefault="00CD65B6" w:rsidP="00C54FBB">
            <w:pPr>
              <w:tabs>
                <w:tab w:val="left" w:pos="426"/>
              </w:tabs>
              <w:jc w:val="both"/>
              <w:rPr>
                <w:bCs/>
                <w:sz w:val="22"/>
                <w:szCs w:val="22"/>
                <w:shd w:val="clear" w:color="auto" w:fill="F9FAFB"/>
                <w:lang w:eastAsia="en-US"/>
              </w:rPr>
            </w:pPr>
            <w:r w:rsidRPr="000D0BBF">
              <w:rPr>
                <w:bCs/>
                <w:sz w:val="22"/>
                <w:szCs w:val="22"/>
                <w:shd w:val="clear" w:color="auto" w:fill="F9FAFB"/>
                <w:lang w:eastAsia="en-US"/>
              </w:rPr>
              <w:t>Фото</w:t>
            </w:r>
          </w:p>
        </w:tc>
        <w:tc>
          <w:tcPr>
            <w:tcW w:w="4523" w:type="dxa"/>
          </w:tcPr>
          <w:p w14:paraId="27F3F733" w14:textId="77777777" w:rsidR="00CD65B6" w:rsidRPr="000D0BBF" w:rsidRDefault="00CD65B6" w:rsidP="00C54FBB">
            <w:pPr>
              <w:tabs>
                <w:tab w:val="left" w:pos="426"/>
              </w:tabs>
              <w:jc w:val="both"/>
              <w:rPr>
                <w:bCs/>
                <w:sz w:val="22"/>
                <w:szCs w:val="22"/>
                <w:shd w:val="clear" w:color="auto" w:fill="F9FAFB"/>
                <w:lang w:eastAsia="en-US"/>
              </w:rPr>
            </w:pPr>
            <w:r>
              <w:rPr>
                <w:bCs/>
                <w:noProof/>
                <w:sz w:val="22"/>
                <w:szCs w:val="22"/>
                <w:shd w:val="clear" w:color="auto" w:fill="F9FAFB"/>
                <w:lang w:eastAsia="en-US"/>
              </w:rPr>
              <w:drawing>
                <wp:inline distT="0" distB="0" distL="0" distR="0" wp14:anchorId="6C30D506" wp14:editId="28693C98">
                  <wp:extent cx="1585595" cy="2315183"/>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182" cy="2327721"/>
                          </a:xfrm>
                          <a:prstGeom prst="rect">
                            <a:avLst/>
                          </a:prstGeom>
                          <a:noFill/>
                        </pic:spPr>
                      </pic:pic>
                    </a:graphicData>
                  </a:graphic>
                </wp:inline>
              </w:drawing>
            </w:r>
          </w:p>
        </w:tc>
        <w:tc>
          <w:tcPr>
            <w:tcW w:w="4105" w:type="dxa"/>
          </w:tcPr>
          <w:p w14:paraId="555F2283" w14:textId="77777777" w:rsidR="00CD65B6" w:rsidRPr="000D0BBF" w:rsidRDefault="00CD65B6" w:rsidP="00C54FBB">
            <w:pPr>
              <w:jc w:val="both"/>
              <w:rPr>
                <w:sz w:val="22"/>
                <w:szCs w:val="22"/>
              </w:rPr>
            </w:pPr>
            <w:r w:rsidRPr="000D0BBF">
              <w:rPr>
                <w:sz w:val="22"/>
                <w:szCs w:val="22"/>
              </w:rPr>
              <w:t> Фото предоставлено для уточнения требований к товару, а не для ограничения конкуренции. </w:t>
            </w:r>
          </w:p>
        </w:tc>
      </w:tr>
    </w:tbl>
    <w:p w14:paraId="04D82B12" w14:textId="77777777" w:rsidR="00CD65B6" w:rsidRDefault="00CD65B6">
      <w:pPr>
        <w:tabs>
          <w:tab w:val="left" w:pos="426"/>
        </w:tabs>
        <w:jc w:val="both"/>
        <w:rPr>
          <w:b/>
          <w:sz w:val="22"/>
          <w:szCs w:val="22"/>
          <w:shd w:val="clear" w:color="auto" w:fill="F9FAFB"/>
          <w:lang w:eastAsia="en-US"/>
        </w:rPr>
      </w:pPr>
    </w:p>
    <w:p w14:paraId="69B5EF0F" w14:textId="77777777" w:rsidR="002B2439" w:rsidRDefault="00435124">
      <w:pPr>
        <w:tabs>
          <w:tab w:val="left" w:pos="426"/>
        </w:tabs>
        <w:jc w:val="both"/>
        <w:rPr>
          <w:sz w:val="22"/>
          <w:szCs w:val="22"/>
        </w:rPr>
      </w:pPr>
      <w:r>
        <w:rPr>
          <w:b/>
          <w:sz w:val="22"/>
          <w:szCs w:val="22"/>
          <w:shd w:val="clear" w:color="auto" w:fill="F9FAFB"/>
          <w:lang w:eastAsia="en-US"/>
        </w:rPr>
        <w:t xml:space="preserve">2. </w:t>
      </w:r>
      <w:r>
        <w:rPr>
          <w:b/>
          <w:sz w:val="22"/>
          <w:szCs w:val="22"/>
        </w:rPr>
        <w:t>Место поставки Товара по адресу:</w:t>
      </w:r>
      <w:r>
        <w:rPr>
          <w:sz w:val="22"/>
          <w:szCs w:val="22"/>
        </w:rPr>
        <w:t xml:space="preserve"> 628250, Ханты-Мансийский Автономный округ - Югра АО, Советский район г. Советский.</w:t>
      </w:r>
    </w:p>
    <w:p w14:paraId="03A0EEFD" w14:textId="77777777" w:rsidR="002B2439" w:rsidRDefault="00435124">
      <w:pPr>
        <w:jc w:val="both"/>
        <w:rPr>
          <w:sz w:val="22"/>
          <w:szCs w:val="22"/>
        </w:rPr>
      </w:pPr>
      <w:r>
        <w:rPr>
          <w:b/>
          <w:sz w:val="22"/>
          <w:szCs w:val="22"/>
          <w:shd w:val="clear" w:color="auto" w:fill="F9FAFB"/>
          <w:lang w:eastAsia="en-US"/>
        </w:rPr>
        <w:t xml:space="preserve">3. Срок поставки </w:t>
      </w:r>
      <w:r>
        <w:rPr>
          <w:b/>
          <w:sz w:val="22"/>
          <w:szCs w:val="22"/>
        </w:rPr>
        <w:t>Товара</w:t>
      </w:r>
      <w:r>
        <w:rPr>
          <w:b/>
          <w:sz w:val="22"/>
          <w:szCs w:val="22"/>
          <w:shd w:val="clear" w:color="auto" w:fill="F9FAFB"/>
          <w:lang w:eastAsia="en-US"/>
        </w:rPr>
        <w:t xml:space="preserve">: в течение 10 календарных дней </w:t>
      </w:r>
      <w:r>
        <w:rPr>
          <w:bCs/>
          <w:sz w:val="22"/>
          <w:szCs w:val="22"/>
          <w:shd w:val="clear" w:color="auto" w:fill="F9FAFB"/>
          <w:lang w:eastAsia="en-US"/>
        </w:rPr>
        <w:t>с момента заключения договора.</w:t>
      </w:r>
    </w:p>
    <w:p w14:paraId="4FFD1FE6" w14:textId="77777777" w:rsidR="002B2439" w:rsidRDefault="00435124">
      <w:pPr>
        <w:jc w:val="both"/>
        <w:rPr>
          <w:sz w:val="22"/>
          <w:szCs w:val="22"/>
        </w:rPr>
      </w:pPr>
      <w:r>
        <w:rPr>
          <w:sz w:val="22"/>
          <w:szCs w:val="22"/>
        </w:rPr>
        <w:t>3.1. Доставка транспортом Поставщика, погрузочно-разгрузочные работы производятся за счет Поставщика.</w:t>
      </w:r>
    </w:p>
    <w:p w14:paraId="3CBD990A" w14:textId="77777777" w:rsidR="002B2439" w:rsidRDefault="00435124">
      <w:pPr>
        <w:jc w:val="both"/>
        <w:rPr>
          <w:rFonts w:eastAsia="Calibri"/>
          <w:b/>
          <w:sz w:val="22"/>
          <w:szCs w:val="22"/>
          <w:lang w:eastAsia="en-US"/>
        </w:rPr>
      </w:pPr>
      <w:r>
        <w:rPr>
          <w:rFonts w:eastAsia="Calibri"/>
          <w:b/>
          <w:sz w:val="22"/>
          <w:szCs w:val="22"/>
          <w:lang w:eastAsia="en-US"/>
        </w:rPr>
        <w:t>4. Требования к качеству, безопасности поставляемого товара:</w:t>
      </w:r>
    </w:p>
    <w:p w14:paraId="50A4F058" w14:textId="77777777" w:rsidR="002B2439" w:rsidRDefault="00435124">
      <w:pPr>
        <w:jc w:val="both"/>
        <w:rPr>
          <w:rFonts w:eastAsia="Calibri"/>
          <w:sz w:val="22"/>
          <w:szCs w:val="22"/>
          <w:lang w:eastAsia="en-US"/>
        </w:rPr>
      </w:pPr>
      <w:r>
        <w:rPr>
          <w:rFonts w:eastAsia="Calibri"/>
          <w:sz w:val="22"/>
          <w:szCs w:val="22"/>
          <w:lang w:eastAsia="en-US"/>
        </w:rPr>
        <w:lastRenderedPageBreak/>
        <w:t>4.1. Поставляемый товар должен соответствовать заданным функциональным и качественным характеристикам;</w:t>
      </w:r>
    </w:p>
    <w:p w14:paraId="62A54665" w14:textId="77777777" w:rsidR="002B2439" w:rsidRDefault="00435124">
      <w:pPr>
        <w:jc w:val="both"/>
        <w:rPr>
          <w:rFonts w:eastAsia="Calibri"/>
          <w:sz w:val="22"/>
          <w:szCs w:val="22"/>
          <w:lang w:eastAsia="en-US"/>
        </w:rPr>
      </w:pPr>
      <w:r>
        <w:rPr>
          <w:rFonts w:eastAsia="Calibri"/>
          <w:sz w:val="22"/>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98A7624" w14:textId="77777777" w:rsidR="002B2439" w:rsidRDefault="00435124">
      <w:pPr>
        <w:jc w:val="both"/>
        <w:rPr>
          <w:rFonts w:eastAsia="Calibri"/>
          <w:sz w:val="22"/>
          <w:szCs w:val="22"/>
          <w:lang w:eastAsia="en-US"/>
        </w:rPr>
      </w:pPr>
      <w:r>
        <w:rPr>
          <w:rFonts w:eastAsia="Calibri"/>
          <w:sz w:val="22"/>
          <w:szCs w:val="22"/>
          <w:lang w:eastAsia="en-US"/>
        </w:rPr>
        <w:t>4.3. Поставляемый Товар должен являться новым, ранее не использованным, не должен иметь дефектов;</w:t>
      </w:r>
    </w:p>
    <w:p w14:paraId="4FE34108" w14:textId="77777777" w:rsidR="002B2439" w:rsidRDefault="00435124">
      <w:pPr>
        <w:jc w:val="both"/>
        <w:rPr>
          <w:rFonts w:eastAsia="Calibri"/>
          <w:sz w:val="22"/>
          <w:szCs w:val="22"/>
          <w:lang w:eastAsia="en-US"/>
        </w:rPr>
      </w:pPr>
      <w:r>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C42B6C8" w14:textId="71D46E2D" w:rsidR="002B2439" w:rsidRDefault="00435124">
      <w:pPr>
        <w:jc w:val="both"/>
        <w:rPr>
          <w:rFonts w:eastAsia="Calibri"/>
          <w:sz w:val="22"/>
          <w:szCs w:val="22"/>
          <w:lang w:eastAsia="en-US"/>
        </w:rPr>
      </w:pPr>
      <w:r>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D93A1E4" w14:textId="153E642B" w:rsidR="00CD65B6" w:rsidRDefault="00CD65B6">
      <w:pPr>
        <w:jc w:val="both"/>
        <w:rPr>
          <w:rFonts w:eastAsia="Calibri"/>
          <w:sz w:val="22"/>
          <w:szCs w:val="22"/>
          <w:lang w:eastAsia="en-US"/>
        </w:rPr>
      </w:pPr>
      <w:r>
        <w:rPr>
          <w:rFonts w:eastAsia="Calibri"/>
          <w:sz w:val="22"/>
          <w:szCs w:val="22"/>
          <w:lang w:eastAsia="en-US"/>
        </w:rPr>
        <w:t xml:space="preserve">4.6. Товар приобретается Заказчиком с целью </w:t>
      </w:r>
      <w:proofErr w:type="spellStart"/>
      <w:r>
        <w:rPr>
          <w:rFonts w:eastAsia="Calibri"/>
          <w:sz w:val="22"/>
          <w:szCs w:val="22"/>
          <w:lang w:eastAsia="en-US"/>
        </w:rPr>
        <w:t>докомплектации</w:t>
      </w:r>
      <w:proofErr w:type="spellEnd"/>
      <w:r>
        <w:rPr>
          <w:rFonts w:eastAsia="Calibri"/>
          <w:sz w:val="22"/>
          <w:szCs w:val="22"/>
          <w:lang w:eastAsia="en-US"/>
        </w:rPr>
        <w:t xml:space="preserve"> автошинами необходимой модели школьных автобусов.</w:t>
      </w:r>
    </w:p>
    <w:p w14:paraId="066AFF8F" w14:textId="77777777" w:rsidR="002B2439" w:rsidRDefault="00435124">
      <w:pPr>
        <w:jc w:val="both"/>
        <w:rPr>
          <w:rFonts w:eastAsia="Calibri"/>
          <w:b/>
          <w:sz w:val="22"/>
          <w:szCs w:val="22"/>
          <w:lang w:eastAsia="en-US"/>
        </w:rPr>
      </w:pPr>
      <w:r>
        <w:rPr>
          <w:rFonts w:eastAsia="Calibri"/>
          <w:b/>
          <w:sz w:val="22"/>
          <w:szCs w:val="22"/>
          <w:lang w:eastAsia="en-US"/>
        </w:rPr>
        <w:t>5. Требования к упаковке и маркировке поставляемого товара:</w:t>
      </w:r>
    </w:p>
    <w:p w14:paraId="51DACFD0" w14:textId="77777777" w:rsidR="002B2439" w:rsidRDefault="00435124">
      <w:pPr>
        <w:jc w:val="both"/>
        <w:rPr>
          <w:rFonts w:eastAsia="Calibri"/>
          <w:sz w:val="22"/>
          <w:szCs w:val="22"/>
          <w:lang w:eastAsia="en-US"/>
        </w:rPr>
      </w:pPr>
      <w:r>
        <w:rPr>
          <w:rFonts w:eastAsia="Calibri"/>
          <w:sz w:val="22"/>
          <w:szCs w:val="22"/>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63479C" w14:textId="77777777" w:rsidR="002B2439" w:rsidRDefault="00435124">
      <w:pPr>
        <w:jc w:val="both"/>
        <w:rPr>
          <w:rFonts w:eastAsia="Calibri"/>
          <w:sz w:val="22"/>
          <w:szCs w:val="22"/>
          <w:lang w:eastAsia="en-US"/>
        </w:rPr>
      </w:pPr>
      <w:r>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5BF1ED6" w14:textId="77777777" w:rsidR="002B2439" w:rsidRDefault="00435124">
      <w:pPr>
        <w:jc w:val="both"/>
        <w:rPr>
          <w:rFonts w:eastAsia="Calibri"/>
          <w:sz w:val="22"/>
          <w:szCs w:val="22"/>
          <w:lang w:eastAsia="en-US"/>
        </w:rPr>
      </w:pPr>
      <w:r>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00ED88D" w14:textId="77777777" w:rsidR="002B2439" w:rsidRDefault="00435124">
      <w:pPr>
        <w:jc w:val="both"/>
        <w:rPr>
          <w:rFonts w:eastAsia="Calibri"/>
          <w:sz w:val="22"/>
          <w:szCs w:val="22"/>
          <w:lang w:eastAsia="en-US"/>
        </w:rPr>
      </w:pPr>
      <w:r>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49666C6" w14:textId="77777777" w:rsidR="002B2439" w:rsidRDefault="00435124">
      <w:pPr>
        <w:jc w:val="both"/>
        <w:rPr>
          <w:rFonts w:eastAsia="Calibri"/>
          <w:b/>
          <w:sz w:val="22"/>
          <w:szCs w:val="22"/>
          <w:lang w:eastAsia="en-US"/>
        </w:rPr>
      </w:pPr>
      <w:r>
        <w:rPr>
          <w:rFonts w:eastAsia="Calibri"/>
          <w:b/>
          <w:sz w:val="22"/>
          <w:szCs w:val="22"/>
          <w:lang w:eastAsia="en-US"/>
        </w:rPr>
        <w:t>6. Требования к гарантийному сроку товара и (или) объему предоставления гарантий качества товара:</w:t>
      </w:r>
    </w:p>
    <w:p w14:paraId="78F193B1" w14:textId="77777777" w:rsidR="002B2439" w:rsidRDefault="00435124">
      <w:pPr>
        <w:jc w:val="both"/>
        <w:rPr>
          <w:rFonts w:eastAsia="Calibri"/>
          <w:sz w:val="22"/>
          <w:szCs w:val="22"/>
          <w:lang w:eastAsia="en-US"/>
        </w:rPr>
      </w:pPr>
      <w:r>
        <w:rPr>
          <w:rFonts w:eastAsia="Calibri"/>
          <w:sz w:val="22"/>
          <w:szCs w:val="22"/>
          <w:lang w:eastAsia="en-US"/>
        </w:rPr>
        <w:t>6.1. Гарантия качества товара - в соответствии с гарантийным сроком, установленным производителем.</w:t>
      </w:r>
    </w:p>
    <w:p w14:paraId="66BBDE5E" w14:textId="77777777" w:rsidR="002B2439" w:rsidRDefault="00435124">
      <w:pPr>
        <w:jc w:val="both"/>
        <w:rPr>
          <w:rFonts w:eastAsia="Calibri"/>
          <w:sz w:val="22"/>
          <w:szCs w:val="22"/>
          <w:lang w:eastAsia="en-US"/>
        </w:rPr>
      </w:pPr>
      <w:r>
        <w:rPr>
          <w:rFonts w:eastAsia="Calibri"/>
          <w:sz w:val="22"/>
          <w:szCs w:val="22"/>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504E99BC" w14:textId="77777777" w:rsidR="002B2439" w:rsidRDefault="00435124">
      <w:pPr>
        <w:jc w:val="both"/>
        <w:rPr>
          <w:rFonts w:eastAsia="Calibri"/>
          <w:sz w:val="22"/>
          <w:szCs w:val="22"/>
          <w:lang w:eastAsia="en-US"/>
        </w:rPr>
      </w:pPr>
      <w:r>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26C961D" w14:textId="77777777" w:rsidR="002B2439" w:rsidRDefault="002B2439">
      <w:pPr>
        <w:widowControl w:val="0"/>
        <w:jc w:val="both"/>
        <w:rPr>
          <w:b/>
          <w:sz w:val="22"/>
          <w:szCs w:val="22"/>
          <w:shd w:val="clear" w:color="auto" w:fill="F9FAFB"/>
          <w:lang w:eastAsia="en-US"/>
        </w:rPr>
      </w:pPr>
    </w:p>
    <w:sectPr w:rsidR="002B243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ED2D" w14:textId="77777777" w:rsidR="00C149E8" w:rsidRDefault="00C149E8">
      <w:r>
        <w:separator/>
      </w:r>
    </w:p>
  </w:endnote>
  <w:endnote w:type="continuationSeparator" w:id="0">
    <w:p w14:paraId="333BD2E3" w14:textId="77777777" w:rsidR="00C149E8" w:rsidRDefault="00C1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B45B" w14:textId="77777777" w:rsidR="00C149E8" w:rsidRDefault="00C149E8">
      <w:r>
        <w:separator/>
      </w:r>
    </w:p>
  </w:footnote>
  <w:footnote w:type="continuationSeparator" w:id="0">
    <w:p w14:paraId="326113E8" w14:textId="77777777" w:rsidR="00C149E8" w:rsidRDefault="00C1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E5C03"/>
    <w:multiLevelType w:val="hybridMultilevel"/>
    <w:tmpl w:val="589EFAEA"/>
    <w:lvl w:ilvl="0" w:tplc="91CCE232">
      <w:start w:val="1"/>
      <w:numFmt w:val="decimal"/>
      <w:lvlText w:val="%1."/>
      <w:lvlJc w:val="left"/>
      <w:pPr>
        <w:ind w:left="720" w:hanging="360"/>
      </w:pPr>
      <w:rPr>
        <w:rFonts w:hint="default"/>
      </w:rPr>
    </w:lvl>
    <w:lvl w:ilvl="1" w:tplc="36A271AA">
      <w:start w:val="1"/>
      <w:numFmt w:val="lowerLetter"/>
      <w:lvlText w:val="%2."/>
      <w:lvlJc w:val="left"/>
      <w:pPr>
        <w:ind w:left="1440" w:hanging="360"/>
      </w:pPr>
    </w:lvl>
    <w:lvl w:ilvl="2" w:tplc="1A2C7526">
      <w:start w:val="1"/>
      <w:numFmt w:val="lowerRoman"/>
      <w:lvlText w:val="%3."/>
      <w:lvlJc w:val="right"/>
      <w:pPr>
        <w:ind w:left="2160" w:hanging="180"/>
      </w:pPr>
    </w:lvl>
    <w:lvl w:ilvl="3" w:tplc="A2E8289C">
      <w:start w:val="1"/>
      <w:numFmt w:val="decimal"/>
      <w:lvlText w:val="%4."/>
      <w:lvlJc w:val="left"/>
      <w:pPr>
        <w:ind w:left="2880" w:hanging="360"/>
      </w:pPr>
    </w:lvl>
    <w:lvl w:ilvl="4" w:tplc="361650A4">
      <w:start w:val="1"/>
      <w:numFmt w:val="lowerLetter"/>
      <w:lvlText w:val="%5."/>
      <w:lvlJc w:val="left"/>
      <w:pPr>
        <w:ind w:left="3600" w:hanging="360"/>
      </w:pPr>
    </w:lvl>
    <w:lvl w:ilvl="5" w:tplc="3B8CB8FE">
      <w:start w:val="1"/>
      <w:numFmt w:val="lowerRoman"/>
      <w:lvlText w:val="%6."/>
      <w:lvlJc w:val="right"/>
      <w:pPr>
        <w:ind w:left="4320" w:hanging="180"/>
      </w:pPr>
    </w:lvl>
    <w:lvl w:ilvl="6" w:tplc="88582586">
      <w:start w:val="1"/>
      <w:numFmt w:val="decimal"/>
      <w:lvlText w:val="%7."/>
      <w:lvlJc w:val="left"/>
      <w:pPr>
        <w:ind w:left="5040" w:hanging="360"/>
      </w:pPr>
    </w:lvl>
    <w:lvl w:ilvl="7" w:tplc="FE86E2DA">
      <w:start w:val="1"/>
      <w:numFmt w:val="lowerLetter"/>
      <w:lvlText w:val="%8."/>
      <w:lvlJc w:val="left"/>
      <w:pPr>
        <w:ind w:left="5760" w:hanging="360"/>
      </w:pPr>
    </w:lvl>
    <w:lvl w:ilvl="8" w:tplc="4538EE22">
      <w:start w:val="1"/>
      <w:numFmt w:val="lowerRoman"/>
      <w:lvlText w:val="%9."/>
      <w:lvlJc w:val="right"/>
      <w:pPr>
        <w:ind w:left="6480" w:hanging="180"/>
      </w:pPr>
    </w:lvl>
  </w:abstractNum>
  <w:abstractNum w:abstractNumId="1" w15:restartNumberingAfterBreak="0">
    <w:nsid w:val="5015751A"/>
    <w:multiLevelType w:val="hybridMultilevel"/>
    <w:tmpl w:val="8376CBF0"/>
    <w:lvl w:ilvl="0" w:tplc="6C985AF6">
      <w:start w:val="1"/>
      <w:numFmt w:val="decimal"/>
      <w:lvlText w:val="%1."/>
      <w:lvlJc w:val="left"/>
      <w:pPr>
        <w:ind w:left="720" w:hanging="360"/>
      </w:pPr>
    </w:lvl>
    <w:lvl w:ilvl="1" w:tplc="E8C0B1CE">
      <w:start w:val="1"/>
      <w:numFmt w:val="lowerLetter"/>
      <w:lvlText w:val="%2."/>
      <w:lvlJc w:val="left"/>
      <w:pPr>
        <w:ind w:left="1440" w:hanging="360"/>
      </w:pPr>
    </w:lvl>
    <w:lvl w:ilvl="2" w:tplc="A87AC906">
      <w:start w:val="1"/>
      <w:numFmt w:val="lowerRoman"/>
      <w:lvlText w:val="%3."/>
      <w:lvlJc w:val="right"/>
      <w:pPr>
        <w:ind w:left="2160" w:hanging="180"/>
      </w:pPr>
    </w:lvl>
    <w:lvl w:ilvl="3" w:tplc="75E2F324">
      <w:start w:val="1"/>
      <w:numFmt w:val="decimal"/>
      <w:lvlText w:val="%4."/>
      <w:lvlJc w:val="left"/>
      <w:pPr>
        <w:ind w:left="2880" w:hanging="360"/>
      </w:pPr>
    </w:lvl>
    <w:lvl w:ilvl="4" w:tplc="512211B2">
      <w:start w:val="1"/>
      <w:numFmt w:val="lowerLetter"/>
      <w:lvlText w:val="%5."/>
      <w:lvlJc w:val="left"/>
      <w:pPr>
        <w:ind w:left="3600" w:hanging="360"/>
      </w:pPr>
    </w:lvl>
    <w:lvl w:ilvl="5" w:tplc="3CD87A62">
      <w:start w:val="1"/>
      <w:numFmt w:val="lowerRoman"/>
      <w:lvlText w:val="%6."/>
      <w:lvlJc w:val="right"/>
      <w:pPr>
        <w:ind w:left="4320" w:hanging="180"/>
      </w:pPr>
    </w:lvl>
    <w:lvl w:ilvl="6" w:tplc="6AA80DA6">
      <w:start w:val="1"/>
      <w:numFmt w:val="decimal"/>
      <w:lvlText w:val="%7."/>
      <w:lvlJc w:val="left"/>
      <w:pPr>
        <w:ind w:left="5040" w:hanging="360"/>
      </w:pPr>
    </w:lvl>
    <w:lvl w:ilvl="7" w:tplc="D9C2602E">
      <w:start w:val="1"/>
      <w:numFmt w:val="lowerLetter"/>
      <w:lvlText w:val="%8."/>
      <w:lvlJc w:val="left"/>
      <w:pPr>
        <w:ind w:left="5760" w:hanging="360"/>
      </w:pPr>
    </w:lvl>
    <w:lvl w:ilvl="8" w:tplc="5E38E81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39"/>
    <w:rsid w:val="002465EE"/>
    <w:rsid w:val="002B2439"/>
    <w:rsid w:val="002B7436"/>
    <w:rsid w:val="00435124"/>
    <w:rsid w:val="00A747D0"/>
    <w:rsid w:val="00C149E8"/>
    <w:rsid w:val="00C5695A"/>
    <w:rsid w:val="00CD65B6"/>
    <w:rsid w:val="00E92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9DD9"/>
  <w15:docId w15:val="{62EE4460-E791-4C5C-A37E-FB475F6A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line="276" w:lineRule="auto"/>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line="276" w:lineRule="auto"/>
      <w:outlineLvl w:val="1"/>
    </w:pPr>
    <w:rPr>
      <w:rFonts w:ascii="Arial" w:eastAsia="Arial" w:hAnsi="Arial" w:cs="Arial"/>
      <w:sz w:val="34"/>
      <w:szCs w:val="20"/>
    </w:rPr>
  </w:style>
  <w:style w:type="paragraph" w:styleId="3">
    <w:name w:val="heading 3"/>
    <w:basedOn w:val="a"/>
    <w:next w:val="a"/>
    <w:link w:val="30"/>
    <w:uiPriority w:val="9"/>
    <w:unhideWhenUsed/>
    <w:qFormat/>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line="276" w:lineRule="auto"/>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line="276" w:lineRule="auto"/>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line="276" w:lineRule="auto"/>
    </w:p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spacing w:after="200" w:line="276" w:lineRule="auto"/>
      <w:ind w:left="720" w:right="720"/>
    </w:pPr>
    <w:rPr>
      <w:i/>
      <w:szCs w:val="20"/>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i/>
      <w:szCs w:val="20"/>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szCs w:val="20"/>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line="276" w:lineRule="auto"/>
    </w:pPr>
    <w:rPr>
      <w:szCs w:val="20"/>
    </w:rPr>
  </w:style>
  <w:style w:type="paragraph" w:styleId="24">
    <w:name w:val="toc 2"/>
    <w:basedOn w:val="a"/>
    <w:next w:val="a"/>
    <w:uiPriority w:val="39"/>
    <w:unhideWhenUsed/>
    <w:pPr>
      <w:spacing w:after="57" w:line="276" w:lineRule="auto"/>
      <w:ind w:left="283"/>
    </w:pPr>
    <w:rPr>
      <w:szCs w:val="20"/>
    </w:rPr>
  </w:style>
  <w:style w:type="paragraph" w:styleId="32">
    <w:name w:val="toc 3"/>
    <w:basedOn w:val="a"/>
    <w:next w:val="a"/>
    <w:uiPriority w:val="39"/>
    <w:unhideWhenUsed/>
    <w:pPr>
      <w:spacing w:after="57" w:line="276" w:lineRule="auto"/>
      <w:ind w:left="567"/>
    </w:pPr>
    <w:rPr>
      <w:szCs w:val="20"/>
    </w:rPr>
  </w:style>
  <w:style w:type="paragraph" w:styleId="42">
    <w:name w:val="toc 4"/>
    <w:basedOn w:val="a"/>
    <w:next w:val="a"/>
    <w:uiPriority w:val="39"/>
    <w:unhideWhenUsed/>
    <w:pPr>
      <w:spacing w:after="57" w:line="276" w:lineRule="auto"/>
      <w:ind w:left="850"/>
    </w:pPr>
    <w:rPr>
      <w:szCs w:val="20"/>
    </w:rPr>
  </w:style>
  <w:style w:type="paragraph" w:styleId="52">
    <w:name w:val="toc 5"/>
    <w:basedOn w:val="a"/>
    <w:next w:val="a"/>
    <w:uiPriority w:val="39"/>
    <w:unhideWhenUsed/>
    <w:pPr>
      <w:spacing w:after="57" w:line="276" w:lineRule="auto"/>
      <w:ind w:left="1134"/>
    </w:pPr>
    <w:rPr>
      <w:szCs w:val="20"/>
    </w:rPr>
  </w:style>
  <w:style w:type="paragraph" w:styleId="61">
    <w:name w:val="toc 6"/>
    <w:basedOn w:val="a"/>
    <w:next w:val="a"/>
    <w:uiPriority w:val="39"/>
    <w:unhideWhenUsed/>
    <w:pPr>
      <w:spacing w:after="57" w:line="276" w:lineRule="auto"/>
      <w:ind w:left="1417"/>
    </w:pPr>
    <w:rPr>
      <w:szCs w:val="20"/>
    </w:rPr>
  </w:style>
  <w:style w:type="paragraph" w:styleId="71">
    <w:name w:val="toc 7"/>
    <w:basedOn w:val="a"/>
    <w:next w:val="a"/>
    <w:uiPriority w:val="39"/>
    <w:unhideWhenUsed/>
    <w:pPr>
      <w:spacing w:after="57" w:line="276" w:lineRule="auto"/>
      <w:ind w:left="1701"/>
    </w:pPr>
    <w:rPr>
      <w:szCs w:val="20"/>
    </w:rPr>
  </w:style>
  <w:style w:type="paragraph" w:styleId="81">
    <w:name w:val="toc 8"/>
    <w:basedOn w:val="a"/>
    <w:next w:val="a"/>
    <w:uiPriority w:val="39"/>
    <w:unhideWhenUsed/>
    <w:pPr>
      <w:spacing w:after="57" w:line="276" w:lineRule="auto"/>
      <w:ind w:left="1984"/>
    </w:pPr>
    <w:rPr>
      <w:szCs w:val="20"/>
    </w:rPr>
  </w:style>
  <w:style w:type="paragraph" w:styleId="91">
    <w:name w:val="toc 9"/>
    <w:basedOn w:val="a"/>
    <w:next w:val="a"/>
    <w:uiPriority w:val="39"/>
    <w:unhideWhenUsed/>
    <w:pPr>
      <w:spacing w:after="57" w:line="276" w:lineRule="auto"/>
      <w:ind w:left="2268"/>
    </w:pPr>
    <w:rPr>
      <w:szCs w:val="20"/>
    </w:rPr>
  </w:style>
  <w:style w:type="paragraph" w:styleId="af2">
    <w:name w:val="TOC Heading"/>
    <w:uiPriority w:val="39"/>
    <w:unhideWhenUsed/>
  </w:style>
  <w:style w:type="paragraph" w:styleId="af3">
    <w:name w:val="table of figures"/>
    <w:basedOn w:val="a"/>
    <w:next w:val="a"/>
    <w:uiPriority w:val="99"/>
    <w:unhideWhenUsed/>
    <w:pPr>
      <w:spacing w:line="276" w:lineRule="auto"/>
    </w:pPr>
    <w:rPr>
      <w:szCs w:val="20"/>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eastAsia="Times New Roman" w:hAnsi="Tahoma" w:cs="Tahoma"/>
      <w:sz w:val="16"/>
      <w:szCs w:val="16"/>
      <w:lang w:eastAsia="ru-RU"/>
    </w:rPr>
  </w:style>
  <w:style w:type="paragraph" w:styleId="af6">
    <w:name w:val="header"/>
    <w:basedOn w:val="a"/>
    <w:link w:val="af7"/>
    <w:uiPriority w:val="99"/>
    <w:unhideWhenUsed/>
    <w:pPr>
      <w:tabs>
        <w:tab w:val="center" w:pos="4677"/>
        <w:tab w:val="right" w:pos="9355"/>
      </w:tabs>
    </w:pPr>
    <w:rPr>
      <w:szCs w:val="20"/>
    </w:r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0"/>
      <w:lang w:eastAsia="ru-RU"/>
    </w:rPr>
  </w:style>
  <w:style w:type="paragraph" w:styleId="af8">
    <w:name w:val="footer"/>
    <w:basedOn w:val="a"/>
    <w:link w:val="af9"/>
    <w:uiPriority w:val="99"/>
    <w:unhideWhenUsed/>
    <w:pPr>
      <w:tabs>
        <w:tab w:val="center" w:pos="4677"/>
        <w:tab w:val="right" w:pos="9355"/>
      </w:tabs>
    </w:pPr>
    <w:rPr>
      <w:szCs w:val="20"/>
    </w:rPr>
  </w:style>
  <w:style w:type="character" w:customStyle="1" w:styleId="af9">
    <w:name w:val="Нижний колонтитул Знак"/>
    <w:basedOn w:val="a0"/>
    <w:link w:val="af8"/>
    <w:uiPriority w:val="99"/>
    <w:rPr>
      <w:rFonts w:ascii="Times New Roman" w:eastAsia="Times New Roman" w:hAnsi="Times New Roman" w:cs="Times New Roman"/>
      <w:sz w:val="24"/>
      <w:szCs w:val="20"/>
      <w:lang w:eastAsia="ru-RU"/>
    </w:rPr>
  </w:style>
  <w:style w:type="paragraph" w:customStyle="1" w:styleId="docdata">
    <w:name w:val="docdata"/>
    <w:basedOn w:val="a"/>
    <w:pPr>
      <w:spacing w:before="100" w:beforeAutospacing="1" w:after="100" w:afterAutospacing="1"/>
    </w:pPr>
  </w:style>
  <w:style w:type="paragraph" w:customStyle="1" w:styleId="ConsNormal">
    <w:name w:val="ConsNormal"/>
    <w:pPr>
      <w:spacing w:after="0" w:line="240" w:lineRule="auto"/>
      <w:jc w:val="both"/>
    </w:pPr>
    <w:rPr>
      <w:rFonts w:ascii="Courier New" w:eastAsia="Times New Roman" w:hAnsi="Courier New" w:cs="Courier New"/>
      <w:sz w:val="20"/>
      <w:szCs w:val="20"/>
      <w:lang w:eastAsia="ru-RU"/>
    </w:rPr>
  </w:style>
  <w:style w:type="paragraph" w:styleId="afa">
    <w:name w:val="List Paragraph"/>
    <w:basedOn w:val="a"/>
    <w:link w:val="afb"/>
    <w:uiPriority w:val="99"/>
    <w:qFormat/>
    <w:pPr>
      <w:spacing w:after="200" w:line="276" w:lineRule="auto"/>
      <w:ind w:left="720"/>
      <w:contextualSpacing/>
    </w:pPr>
    <w:rPr>
      <w:szCs w:val="20"/>
    </w:rPr>
  </w:style>
  <w:style w:type="character" w:styleId="afc">
    <w:name w:val="Hyperlink"/>
    <w:basedOn w:val="a0"/>
    <w:uiPriority w:val="99"/>
    <w:semiHidden/>
    <w:unhideWhenUsed/>
    <w:rPr>
      <w:color w:val="0000FF"/>
      <w:u w:val="single"/>
    </w:rPr>
  </w:style>
  <w:style w:type="character" w:customStyle="1" w:styleId="afb">
    <w:name w:val="Абзац списка Знак"/>
    <w:link w:val="afa"/>
    <w:uiPriority w:val="9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1623">
      <w:bodyDiv w:val="1"/>
      <w:marLeft w:val="0"/>
      <w:marRight w:val="0"/>
      <w:marTop w:val="0"/>
      <w:marBottom w:val="0"/>
      <w:divBdr>
        <w:top w:val="none" w:sz="0" w:space="0" w:color="auto"/>
        <w:left w:val="none" w:sz="0" w:space="0" w:color="auto"/>
        <w:bottom w:val="none" w:sz="0" w:space="0" w:color="auto"/>
        <w:right w:val="none" w:sz="0" w:space="0" w:color="auto"/>
      </w:divBdr>
    </w:div>
    <w:div w:id="619265699">
      <w:bodyDiv w:val="1"/>
      <w:marLeft w:val="0"/>
      <w:marRight w:val="0"/>
      <w:marTop w:val="0"/>
      <w:marBottom w:val="0"/>
      <w:divBdr>
        <w:top w:val="none" w:sz="0" w:space="0" w:color="auto"/>
        <w:left w:val="none" w:sz="0" w:space="0" w:color="auto"/>
        <w:bottom w:val="none" w:sz="0" w:space="0" w:color="auto"/>
        <w:right w:val="none" w:sz="0" w:space="0" w:color="auto"/>
      </w:divBdr>
    </w:div>
    <w:div w:id="787240562">
      <w:bodyDiv w:val="1"/>
      <w:marLeft w:val="0"/>
      <w:marRight w:val="0"/>
      <w:marTop w:val="0"/>
      <w:marBottom w:val="0"/>
      <w:divBdr>
        <w:top w:val="none" w:sz="0" w:space="0" w:color="auto"/>
        <w:left w:val="none" w:sz="0" w:space="0" w:color="auto"/>
        <w:bottom w:val="none" w:sz="0" w:space="0" w:color="auto"/>
        <w:right w:val="none" w:sz="0" w:space="0" w:color="auto"/>
      </w:divBdr>
    </w:div>
    <w:div w:id="946354393">
      <w:bodyDiv w:val="1"/>
      <w:marLeft w:val="0"/>
      <w:marRight w:val="0"/>
      <w:marTop w:val="0"/>
      <w:marBottom w:val="0"/>
      <w:divBdr>
        <w:top w:val="none" w:sz="0" w:space="0" w:color="auto"/>
        <w:left w:val="none" w:sz="0" w:space="0" w:color="auto"/>
        <w:bottom w:val="none" w:sz="0" w:space="0" w:color="auto"/>
        <w:right w:val="none" w:sz="0" w:space="0" w:color="auto"/>
      </w:divBdr>
    </w:div>
    <w:div w:id="20904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5B4F-1E2E-4A2D-BA58-C7AC362F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756</Words>
  <Characters>4312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DOC-MARKER-ZW5UcudydZ86pNp44dAJPw</dc:description>
  <cp:lastModifiedBy>User</cp:lastModifiedBy>
  <cp:revision>4</cp:revision>
  <dcterms:created xsi:type="dcterms:W3CDTF">2026-06-08T10:59:00Z</dcterms:created>
  <dcterms:modified xsi:type="dcterms:W3CDTF">2026-06-08T11:13:00Z</dcterms:modified>
</cp:coreProperties>
</file>