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CB" w:rsidRDefault="00E47BD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задание</w:t>
      </w:r>
    </w:p>
    <w:p w:rsidR="004F5ECB" w:rsidRDefault="00E47BD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поставку автошин для нужд  </w:t>
      </w:r>
    </w:p>
    <w:p w:rsidR="004F5ECB" w:rsidRDefault="00E47BDE">
      <w:pPr>
        <w:shd w:val="clear" w:color="auto" w:fill="FFFFFF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АО «МИС»</w:t>
      </w:r>
    </w:p>
    <w:p w:rsidR="004F5ECB" w:rsidRDefault="004F5ECB">
      <w:pPr>
        <w:shd w:val="clear" w:color="auto" w:fill="FFFFFF"/>
        <w:jc w:val="center"/>
        <w:rPr>
          <w:i/>
          <w:iCs/>
          <w:sz w:val="22"/>
          <w:szCs w:val="22"/>
        </w:rPr>
      </w:pPr>
    </w:p>
    <w:p w:rsidR="004F5ECB" w:rsidRDefault="00E47BDE">
      <w:pPr>
        <w:shd w:val="clear" w:color="auto" w:fill="FFFFFF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В случае, если в документации (в каком-либо документе, входящем в состав документации, прикрепленном отдельным файлом к документации) имеются указания на знаки обслуживания, фирменные и торговые</w:t>
      </w:r>
      <w:r>
        <w:rPr>
          <w:i/>
          <w:iCs/>
          <w:sz w:val="22"/>
          <w:szCs w:val="22"/>
        </w:rPr>
        <w:t xml:space="preserve"> наименования, патенты, полезные модели, промышленные образцы, указания на товарный знак, наименование места происхождения товара или наименование производителя, то такие указания следует читать «знаки обслуживания или эквивалент», «фирменные наименования </w:t>
      </w:r>
      <w:r>
        <w:rPr>
          <w:i/>
          <w:iCs/>
          <w:sz w:val="22"/>
          <w:szCs w:val="22"/>
        </w:rPr>
        <w:t>или эквивалент», «торговые наименования или эквивалент», «патенты или эквивалент», «полезные модели или эквивалент», «промышленные образцы или эквивалент», «товарный знак или эквивалент», «наименование места происхождения товара или эквивалент», «наименова</w:t>
      </w:r>
      <w:r>
        <w:rPr>
          <w:i/>
          <w:iCs/>
          <w:sz w:val="22"/>
          <w:szCs w:val="22"/>
        </w:rPr>
        <w:t>ние производителя или эквивалент».</w:t>
      </w:r>
    </w:p>
    <w:p w:rsidR="004F5ECB" w:rsidRDefault="004F5ECB">
      <w:pPr>
        <w:rPr>
          <w:sz w:val="22"/>
          <w:szCs w:val="22"/>
        </w:rPr>
      </w:pPr>
    </w:p>
    <w:p w:rsidR="004F5ECB" w:rsidRDefault="00E47BDE">
      <w:pPr>
        <w:pStyle w:val="affe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Описание закупки:</w:t>
      </w:r>
    </w:p>
    <w:tbl>
      <w:tblPr>
        <w:tblpPr w:leftFromText="180" w:rightFromText="180" w:vertAnchor="text" w:tblpX="55" w:tblpY="1"/>
        <w:tblW w:w="499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4"/>
        <w:gridCol w:w="2159"/>
        <w:gridCol w:w="1462"/>
        <w:gridCol w:w="4817"/>
        <w:gridCol w:w="703"/>
        <w:gridCol w:w="546"/>
      </w:tblGrid>
      <w:tr w:rsidR="004F5ECB">
        <w:trPr>
          <w:trHeight w:val="553"/>
        </w:trPr>
        <w:tc>
          <w:tcPr>
            <w:tcW w:w="302" w:type="pct"/>
            <w:vAlign w:val="center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047" w:type="pct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товара, услуги, работы/</w:t>
            </w:r>
          </w:p>
        </w:tc>
        <w:tc>
          <w:tcPr>
            <w:tcW w:w="709" w:type="pct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</w:t>
            </w:r>
          </w:p>
        </w:tc>
        <w:tc>
          <w:tcPr>
            <w:tcW w:w="2336" w:type="pct"/>
            <w:vAlign w:val="center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Минимальные характеристики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Ед.изм.</w:t>
            </w:r>
          </w:p>
        </w:tc>
        <w:tc>
          <w:tcPr>
            <w:tcW w:w="265" w:type="pct"/>
          </w:tcPr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rPr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4F5EC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Для малых грузолегковых машин</w:t>
            </w:r>
          </w:p>
        </w:tc>
        <w:tc>
          <w:tcPr>
            <w:tcW w:w="341" w:type="pct"/>
          </w:tcPr>
          <w:p w:rsidR="004F5ECB" w:rsidRDefault="004F5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22.11.11.000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185/75R16C,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</w:t>
            </w:r>
            <w:r>
              <w:rPr>
                <w:color w:val="000000"/>
                <w:sz w:val="22"/>
                <w:szCs w:val="22"/>
              </w:rPr>
              <w:t>не менее 104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 -  не ниже Q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легкогрузовая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Усиление – не ниже С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4F5ECB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Для грузовых машин</w:t>
            </w:r>
          </w:p>
        </w:tc>
        <w:tc>
          <w:tcPr>
            <w:tcW w:w="341" w:type="pct"/>
          </w:tcPr>
          <w:p w:rsidR="004F5ECB" w:rsidRDefault="004F5ECB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215/75R 17,5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</w:t>
            </w:r>
            <w:r>
              <w:rPr>
                <w:color w:val="000000"/>
                <w:sz w:val="22"/>
                <w:szCs w:val="22"/>
              </w:rPr>
              <w:t>сесезонная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рисунок/ось-для ведущей оси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нагрузки- не менее 126/124 ,не менее 1700/1600кг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скорости.км-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М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22.11.14.190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8,25-20 (240-508)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норма слойности -не ниже </w:t>
            </w:r>
            <w:r>
              <w:rPr>
                <w:color w:val="000000"/>
                <w:sz w:val="22"/>
                <w:szCs w:val="22"/>
              </w:rPr>
              <w:t>PR-12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 шины У-2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 не менее 130/128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скорости, км/ч -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Тип-грузовая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 профиля камеры не менее  8,25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Посадочный диаметр- не менее 20,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Вентиль ГК-115-наличие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 9,00R-20  (260-508)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140/137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(шина+камера)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 ИН-142Б-1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норма слойности не ниже PR-14,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-универсальный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Размер:10,00R-20  (280-508)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146/143 (3250/3000)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(шина+камера)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тип рисунка -универсальный,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J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И-281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норма слойности не ниже </w:t>
            </w:r>
            <w:r>
              <w:rPr>
                <w:color w:val="000000"/>
                <w:sz w:val="22"/>
                <w:szCs w:val="22"/>
              </w:rPr>
              <w:t>16PR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-универсальный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Размер:12,00R-20 (320R508)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154/150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 (шина+камера.с об/лентой)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F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С-МАХ189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норма слойности не ниже 18PR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ведущий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12,00-20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Ободная лента  -не менее 7,7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Размер:12,00R-20 (320R508)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154/150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  <w:r>
              <w:rPr>
                <w:color w:val="000000"/>
                <w:sz w:val="22"/>
                <w:szCs w:val="22"/>
              </w:rPr>
              <w:t>(шина+камера),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F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ИД-304 (У-4)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норма слойности не ниже 18PR 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-универсальный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12,00-20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  <w:p w:rsidR="004F5ECB" w:rsidRDefault="00E47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11.00R20 (300R508)И68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150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камерное(шина+камера),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И-68А,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норма слойности не ниже 16PR 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-универсальный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вентиля УБ-соответствие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 ЦМК 11R22,5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148/145 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All Steel NF701,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дорожный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каркаса и брекера ЦМК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ось  назначения рулевая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315/80-22,5,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154/150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К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  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NF201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вентиля УБ-соответствие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протектора- дорожный,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каркаса и брекера-ЦМК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245/70R-19,5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Индекс нагрузки,  кг -  не менее 136/134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J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протектора- универсальный,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модель-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NF201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4F5ECB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Для легковых</w:t>
            </w:r>
          </w:p>
        </w:tc>
        <w:tc>
          <w:tcPr>
            <w:tcW w:w="341" w:type="pct"/>
          </w:tcPr>
          <w:p w:rsidR="004F5ECB" w:rsidRDefault="004F5ECB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22.11.11.000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205/70R-15,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96 (710 кг)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 </w:t>
            </w:r>
            <w:r>
              <w:rPr>
                <w:sz w:val="22"/>
                <w:szCs w:val="22"/>
              </w:rPr>
              <w:t xml:space="preserve"> Т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–легковая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протектора- универсальный,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модель- 365 SUV (HK-242),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22.11.11.000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 215/65R16 102Q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>102 (не менее 850кг на одну шину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зимние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Q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–легковая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симметрический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направленные-соответствие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модель- 515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автошины шипованный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Автошина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22.11.11.000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215/70R-15,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97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  Q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–легковая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рисунка протектора-  симметрический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Winrun WR16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>195/75R16C,195R16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нагрузки,  кг -  не менее 107/105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Исполнение – бескамерное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Сезонность – летние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sz w:val="22"/>
                <w:szCs w:val="22"/>
              </w:rPr>
              <w:t>не ниже  R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–Легкогрузовые шины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CB" w:rsidRDefault="004F5ECB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5ECB" w:rsidRDefault="00E47BDE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Для колонны тракторов, погрузчиков</w:t>
            </w:r>
          </w:p>
        </w:tc>
        <w:tc>
          <w:tcPr>
            <w:tcW w:w="341" w:type="pct"/>
          </w:tcPr>
          <w:p w:rsidR="004F5ECB" w:rsidRDefault="004F5ECB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4F5E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Сельхозшина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>11.2-20 (290-508)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нагрузки,  кг -  не менее 114 (1180кг),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Исполнение – камерное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 Сельхозшина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модель-   F35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-диагональная,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Назначение-передние колеса трактора МТЗ-82.1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вентиля ТК,ГК-50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</w:t>
            </w:r>
            <w:r>
              <w:rPr>
                <w:color w:val="000000"/>
                <w:sz w:val="22"/>
                <w:szCs w:val="22"/>
              </w:rPr>
              <w:t>ра не менее 11.2-20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8 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 А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Сельхозшина 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15,5-38 (400R965)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134 (2120 кг), Исполнение –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Тип – Сельхозшина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</w:t>
            </w:r>
            <w:r>
              <w:rPr>
                <w:color w:val="000000"/>
                <w:sz w:val="22"/>
                <w:szCs w:val="22"/>
              </w:rPr>
              <w:t xml:space="preserve">дель-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Ф-2А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радиальная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Назначение-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задние колеса трактора МТЗ-82.1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вентиля ТК,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13,6-38 (15.5-38)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8 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А8 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Сельхозшина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16,9R-38 (420/85R38)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141 (2575кг),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Сельхозшина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модель-    Ф-52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 радиальная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16.9-38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8 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А8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Назначение-Шина по</w:t>
            </w:r>
            <w:r>
              <w:rPr>
                <w:color w:val="000000"/>
                <w:sz w:val="22"/>
                <w:szCs w:val="22"/>
              </w:rPr>
              <w:t xml:space="preserve">дходит на автомобили и автогрейдеры ДЗ-122,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задние колеса трактора МТЗ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Шина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22.11.13.110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14.00R-20 (370-508)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146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– Грузовые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модель-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ОИ-25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 диагональная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 вентиля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РК-5а-145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 14,00-20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14 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G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Назначение-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Шина подходит на автомобили и автогрейдеры ДЗ-122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22.11.14.191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 10,0-0/75-15,3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123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 (шина+камера),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 диагональная 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 вентиля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ЛК-35-16,5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не менее  10,0/75-15,3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10PR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 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Назначение- 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подходит  для мини погрузчика МКСМ-1000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21,3-24 (530-610),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нагрузки,  кг -  не менее 140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 (шина+камера),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Сезонность – всесезонные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конструкция шины - 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диагональная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 вентиля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ГК-105</w:t>
            </w:r>
          </w:p>
          <w:p w:rsidR="004F5ECB" w:rsidRDefault="00E47BDE">
            <w:r>
              <w:rPr>
                <w:color w:val="000000"/>
                <w:sz w:val="22"/>
                <w:szCs w:val="22"/>
              </w:rPr>
              <w:t>камера не менее  21,3-24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 не ниже 12</w:t>
            </w:r>
            <w:r>
              <w:rPr>
                <w:color w:val="000000"/>
                <w:sz w:val="22"/>
                <w:szCs w:val="22"/>
              </w:rPr>
              <w:t>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ниже А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модель- ИЯВ-79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Назначение-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Подходит к погрузчикам Амкодор 333; трактор Т-150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5C1B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22.11.14.199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16-6,50-8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82(475)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Сезонность – всесезонная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  диагональная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 не ниже 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-не ниже 16х6,50-8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Применяемость-сельхозшины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Сельхозшина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22.11.14.110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none" w:sz="255" w:space="0" w:color="FFFFFF"/>
              <w:right w:val="single" w:sz="4" w:space="0" w:color="000000"/>
            </w:tcBorders>
            <w:vAlign w:val="center"/>
          </w:tcPr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9,00-16 (250/95-16) 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121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– ТТ камерное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</w:t>
            </w:r>
            <w:r>
              <w:rPr>
                <w:color w:val="000000"/>
                <w:sz w:val="22"/>
                <w:szCs w:val="22"/>
              </w:rPr>
              <w:t>всесезонная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конструкция шины -  диагональная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Слойность -не менее 10PR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индекс скорости не ниже А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вентиля ГК-95 ГК-105 ГК 115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Камера -не ниже 9,00-16</w:t>
            </w:r>
          </w:p>
          <w:p w:rsidR="004F5ECB" w:rsidRDefault="00E47BD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Модель-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Я-324А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Применяемость-сельхозшины для тракторных прицепов</w:t>
            </w:r>
          </w:p>
        </w:tc>
        <w:tc>
          <w:tcPr>
            <w:tcW w:w="341" w:type="pct"/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Шина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22.11.14.191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</w:t>
            </w:r>
            <w:r>
              <w:rPr>
                <w:sz w:val="22"/>
                <w:szCs w:val="22"/>
              </w:rPr>
              <w:t>12,5/80-18 (320/80-18)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нагрузки,  кг -  не менее  129/142 (1850/2650кг),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 – бескамерное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Сезонность – всесезонная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шины -  диагональная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Слойность -не менее 12PR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sz w:val="22"/>
                <w:szCs w:val="22"/>
              </w:rPr>
              <w:t>не ниже А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 шины АТ-603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Применяемость- для </w:t>
            </w:r>
            <w:r>
              <w:rPr>
                <w:sz w:val="22"/>
                <w:szCs w:val="22"/>
              </w:rPr>
              <w:t>экскаватора погрузчика JCB 3CX,4CX,передние шины</w:t>
            </w:r>
          </w:p>
        </w:tc>
        <w:tc>
          <w:tcPr>
            <w:tcW w:w="341" w:type="pct"/>
            <w:tcBorders>
              <w:bottom w:val="single" w:sz="4" w:space="0" w:color="000000"/>
            </w:tcBorders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F5ECB">
        <w:tc>
          <w:tcPr>
            <w:tcW w:w="302" w:type="pct"/>
          </w:tcPr>
          <w:p w:rsidR="004F5ECB" w:rsidRDefault="004F5ECB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Камера </w:t>
            </w:r>
          </w:p>
          <w:p w:rsidR="004F5ECB" w:rsidRDefault="004F5E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22.11.15.110</w:t>
            </w:r>
          </w:p>
        </w:tc>
        <w:tc>
          <w:tcPr>
            <w:tcW w:w="2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Размер:  12,5/80-18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Вентиль TR-218A под размер шины 12,5/80-18-сооответствие</w:t>
            </w:r>
          </w:p>
          <w:p w:rsidR="004F5ECB" w:rsidRDefault="00E47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Применяемость- камера для экскаватора погрузчика JCB  3CX,4CX (передние колеса),</w:t>
            </w:r>
          </w:p>
        </w:tc>
        <w:tc>
          <w:tcPr>
            <w:tcW w:w="341" w:type="pct"/>
            <w:tcBorders>
              <w:top w:val="single" w:sz="4" w:space="0" w:color="000000"/>
              <w:bottom w:val="single" w:sz="4" w:space="0" w:color="000000"/>
            </w:tcBorders>
          </w:tcPr>
          <w:p w:rsidR="004F5ECB" w:rsidRDefault="00E47BD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ECB" w:rsidRDefault="00E47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F5ECB" w:rsidRDefault="004F5ECB">
      <w:pPr>
        <w:rPr>
          <w:sz w:val="22"/>
          <w:szCs w:val="22"/>
        </w:rPr>
      </w:pPr>
    </w:p>
    <w:p w:rsidR="004F5ECB" w:rsidRDefault="004F5ECB">
      <w:pPr>
        <w:jc w:val="both"/>
        <w:rPr>
          <w:b/>
          <w:sz w:val="22"/>
          <w:szCs w:val="22"/>
        </w:rPr>
      </w:pPr>
    </w:p>
    <w:p w:rsidR="004F5ECB" w:rsidRDefault="00E47BDE">
      <w:pPr>
        <w:jc w:val="both"/>
        <w:rPr>
          <w:color w:val="151515"/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>2. Место пос</w:t>
      </w:r>
      <w:r>
        <w:rPr>
          <w:b/>
          <w:sz w:val="22"/>
          <w:szCs w:val="22"/>
        </w:rPr>
        <w:t xml:space="preserve">тавки: </w:t>
      </w:r>
      <w:r>
        <w:rPr>
          <w:color w:val="151515"/>
          <w:sz w:val="22"/>
          <w:szCs w:val="22"/>
          <w:shd w:val="clear" w:color="auto" w:fill="FFFFFF"/>
        </w:rPr>
        <w:t>455017, Челябинская область, г. Магнитогорск, ул. Бестужева 58</w:t>
      </w:r>
    </w:p>
    <w:p w:rsidR="004F5ECB" w:rsidRDefault="00E47BDE">
      <w:pPr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</w:rPr>
        <w:t>3.Срок поставки Товара</w:t>
      </w:r>
      <w:r>
        <w:rPr>
          <w:sz w:val="22"/>
          <w:szCs w:val="22"/>
          <w:lang w:eastAsia="ar-SA"/>
        </w:rPr>
        <w:t xml:space="preserve">: в течение 14 календарных дней с момента подписания договора </w:t>
      </w:r>
    </w:p>
    <w:p w:rsidR="004F5ECB" w:rsidRDefault="00E47BDE">
      <w:pPr>
        <w:jc w:val="both"/>
        <w:rPr>
          <w:sz w:val="22"/>
          <w:szCs w:val="22"/>
        </w:rPr>
      </w:pPr>
      <w:r>
        <w:rPr>
          <w:sz w:val="22"/>
          <w:szCs w:val="22"/>
        </w:rPr>
        <w:t>3.1. Доставка, погрузочно-разгрузочные работы производятся за счет Поставщика.</w:t>
      </w:r>
    </w:p>
    <w:p w:rsidR="004F5ECB" w:rsidRDefault="00E47BDE">
      <w:pPr>
        <w:tabs>
          <w:tab w:val="left" w:pos="7920"/>
        </w:tabs>
        <w:jc w:val="both"/>
        <w:rPr>
          <w:rFonts w:eastAsia="Calibri"/>
          <w:b/>
          <w:sz w:val="22"/>
          <w:szCs w:val="22"/>
        </w:rPr>
      </w:pPr>
      <w:r>
        <w:rPr>
          <w:b/>
          <w:sz w:val="22"/>
          <w:szCs w:val="22"/>
        </w:rPr>
        <w:t>4. Требования к качест</w:t>
      </w:r>
      <w:r>
        <w:rPr>
          <w:b/>
          <w:sz w:val="22"/>
          <w:szCs w:val="22"/>
        </w:rPr>
        <w:t>ву, безопасности поставляемого товара: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4.1. Поставляемый товар должен соответствовать заданным функциональным и качественным характеристикам; 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4.2. Поставляемый товар должен быть разрешен к использованию на территории Российской Федерации, иметь торговую м</w:t>
      </w:r>
      <w:r>
        <w:rPr>
          <w:bCs/>
          <w:sz w:val="22"/>
          <w:szCs w:val="22"/>
        </w:rPr>
        <w:t>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</w:t>
      </w:r>
      <w:r>
        <w:rPr>
          <w:bCs/>
          <w:sz w:val="22"/>
          <w:szCs w:val="22"/>
        </w:rPr>
        <w:t>ругим документам, подтверждающим качество товара) если таковые требуются;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4.3. Поставляемый товар должен быть новым, не должен иметь дефектов, связанных с конструкцией, материалами и/или работой по их изготовлению, либо проявляющихся в результате действия </w:t>
      </w:r>
      <w:r>
        <w:rPr>
          <w:bCs/>
          <w:sz w:val="22"/>
          <w:szCs w:val="22"/>
        </w:rPr>
        <w:t xml:space="preserve">или упущения производителя и/или Поставщика, при соблюдении Заказчиком правил хранения и/или использования поставляемых товаров. 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Поставщик передает: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сертификат соответствия (для продукции, включенной в перечень продукции, подлежащей обязательной сертифи</w:t>
      </w:r>
      <w:r>
        <w:rPr>
          <w:bCs/>
          <w:sz w:val="22"/>
          <w:szCs w:val="22"/>
        </w:rPr>
        <w:t>кации);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декларацию о соответствии (для продукции, включенной в перечень продукции, подтверждение соответствия которой осуществляется в форме принятия декларации о соответствии); 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оригиналы документов, относящихся к товару 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оригиналы документов, подтв</w:t>
      </w:r>
      <w:r>
        <w:rPr>
          <w:bCs/>
          <w:sz w:val="22"/>
          <w:szCs w:val="22"/>
        </w:rPr>
        <w:t>ерждающих гарантийные обязательства Поставщика и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производителя (завода-изготовителя) товара (гарантийный талон производителя (завода-изготовителя) или формуляр, или сервисная книжка);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4.4. Товар должен быть безопасным и отвечать требованиям законодательств</w:t>
      </w:r>
      <w:r>
        <w:rPr>
          <w:bCs/>
          <w:sz w:val="22"/>
          <w:szCs w:val="22"/>
        </w:rPr>
        <w:t>а Российской Федерации, требованиям безопасности, ГОСТ, нормам и правилам безопасности его эксплуатации и другой нормативно-технической документации, в том числе: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Технический регламент Таможенного союза ТР ТС 018/2011 «О безопасности колесных транспортны</w:t>
      </w:r>
      <w:r>
        <w:rPr>
          <w:bCs/>
          <w:sz w:val="22"/>
          <w:szCs w:val="22"/>
        </w:rPr>
        <w:t>х средств (утвержденный Решением Комиссии Таможенного союза от 09.12.2011г. № 877)».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</w:t>
      </w:r>
      <w:r>
        <w:rPr>
          <w:bCs/>
          <w:sz w:val="22"/>
          <w:szCs w:val="22"/>
        </w:rPr>
        <w:t>ния, транспортировки и утилизации.</w:t>
      </w:r>
    </w:p>
    <w:p w:rsidR="004F5ECB" w:rsidRDefault="00E47BDE">
      <w:pPr>
        <w:tabs>
          <w:tab w:val="left" w:pos="79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Требования к упаковке и маркировке поставляемого товара: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5.1. Товар должен поставляться в упаковке, обеспечивающей защиту от повреждения или порчи товара, утраты товарного вида при перевозке его морским, железнодорожны</w:t>
      </w:r>
      <w:r>
        <w:rPr>
          <w:bCs/>
          <w:sz w:val="22"/>
          <w:szCs w:val="22"/>
        </w:rPr>
        <w:t>м, автомобильным и авиатранспортом с учетом возможных перегрузок в пути и длительного хранения. Тара (упаковка) является одноразовой, возврату Поставщику не подлежит. Стоимость тары (упаковки) товара входит в его цену и отдельно не оплачивается. Товар долж</w:t>
      </w:r>
      <w:r>
        <w:rPr>
          <w:bCs/>
          <w:sz w:val="22"/>
          <w:szCs w:val="22"/>
        </w:rPr>
        <w:t>ен быть пригоден для целей, для которых товары такого рода обычно используются.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</w:t>
      </w:r>
      <w:r>
        <w:rPr>
          <w:bCs/>
          <w:sz w:val="22"/>
          <w:szCs w:val="22"/>
        </w:rPr>
        <w:t>а должны быть прочными, сухими, без нарушения целостности со специальной маркировкой;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5.4. Упаковка и маркировка товар</w:t>
      </w:r>
      <w:r>
        <w:rPr>
          <w:bCs/>
          <w:sz w:val="22"/>
          <w:szCs w:val="22"/>
        </w:rPr>
        <w:t>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</w:t>
      </w:r>
      <w:r>
        <w:rPr>
          <w:bCs/>
          <w:sz w:val="22"/>
          <w:szCs w:val="22"/>
        </w:rPr>
        <w:t>на строго соответствовать маркировке товара (если требуется).</w:t>
      </w:r>
    </w:p>
    <w:p w:rsidR="004F5ECB" w:rsidRDefault="00E47BDE">
      <w:pPr>
        <w:tabs>
          <w:tab w:val="left" w:pos="79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Требования к гарантийному сроку товара и (или) объему предоставления гарантий качества товара: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6.1. Срок гарантии качества на товар должен быть не менее срока, установленного производителем (</w:t>
      </w:r>
      <w:r>
        <w:rPr>
          <w:bCs/>
          <w:sz w:val="22"/>
          <w:szCs w:val="22"/>
        </w:rPr>
        <w:t>заводом-изготовителем товара), определенного в руководстве (инструкции) по эксплуатации товара или в соответствии с гарантийным талоном производителя (завода-изготовителя) или формуляром, или сервисной книжкой. В случае если производитель (завод-изготовите</w:t>
      </w:r>
      <w:r>
        <w:rPr>
          <w:bCs/>
          <w:sz w:val="22"/>
          <w:szCs w:val="22"/>
        </w:rPr>
        <w:t>ль) не установил срок гарантии качества товара, то Поставщик предоставляет свои гарантийные обязательства сроком не менее 1 (одного) года с момента подписания уполномоченными представителями Сторон электронного структурированного Документа о приемке.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Гаран</w:t>
      </w:r>
      <w:r>
        <w:rPr>
          <w:bCs/>
          <w:sz w:val="22"/>
          <w:szCs w:val="22"/>
        </w:rPr>
        <w:t>тия качества товара подтверждается Поставщиком проставлением записи в сервисной книжке (руководстве или инструкции по эксплуатации) или выдачей гарантийного талона (сертификата) производителя (завода-изготовителя) или формуляра.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6.2. Гарантийные обязательс</w:t>
      </w:r>
      <w:r>
        <w:rPr>
          <w:bCs/>
          <w:sz w:val="22"/>
          <w:szCs w:val="22"/>
        </w:rPr>
        <w:t>тва должны распространяться на каждую единицу товара с момента приемки товара Заказчиком.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</w:t>
      </w:r>
      <w:r>
        <w:rPr>
          <w:bCs/>
          <w:sz w:val="22"/>
          <w:szCs w:val="22"/>
        </w:rPr>
        <w:t>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 договором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6.4. В период гарантийного срока товара все необходимые процедуры и </w:t>
      </w:r>
      <w:r>
        <w:rPr>
          <w:bCs/>
          <w:sz w:val="22"/>
          <w:szCs w:val="22"/>
        </w:rPr>
        <w:t>оформление документов для предъявления рекламаций производителю (заводу-изготовителю) товара выполняет Поставщик.</w:t>
      </w:r>
    </w:p>
    <w:p w:rsidR="004F5ECB" w:rsidRDefault="00E47BDE">
      <w:pPr>
        <w:tabs>
          <w:tab w:val="left" w:pos="792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Поставщик приступает к ремонту и устранению недостатков, выявленных в гарантийный период эксплуатации товара, в течение 24 часов с момента пос</w:t>
      </w:r>
      <w:r>
        <w:rPr>
          <w:bCs/>
          <w:sz w:val="22"/>
          <w:szCs w:val="22"/>
        </w:rPr>
        <w:t>тупления заявки от Заказчика в порядке, установленном настоящим Техническим заданием. В случае если ремонт и устранение недостатков товара требуют его остановки более чем на один день Поставщик обязан за свой счет предоставить Заказчику другой Товар с анал</w:t>
      </w:r>
      <w:r>
        <w:rPr>
          <w:bCs/>
          <w:sz w:val="22"/>
          <w:szCs w:val="22"/>
        </w:rPr>
        <w:t>огичными характеристиками или характеристиками, улучшенными по отношению к требованиям технической документации. Расходы на доставку товара к месту проведения ремонта и обратно производятся за счет Поставщика.</w:t>
      </w:r>
    </w:p>
    <w:bookmarkEnd w:id="0"/>
    <w:p w:rsidR="004F5ECB" w:rsidRDefault="004F5ECB">
      <w:pPr>
        <w:tabs>
          <w:tab w:val="left" w:pos="7920"/>
        </w:tabs>
        <w:jc w:val="both"/>
        <w:rPr>
          <w:bCs/>
          <w:sz w:val="22"/>
          <w:szCs w:val="22"/>
        </w:rPr>
      </w:pPr>
    </w:p>
    <w:p w:rsidR="004F5ECB" w:rsidRDefault="004F5ECB">
      <w:pPr>
        <w:tabs>
          <w:tab w:val="left" w:pos="7920"/>
        </w:tabs>
        <w:jc w:val="both"/>
        <w:rPr>
          <w:bCs/>
          <w:sz w:val="22"/>
          <w:szCs w:val="22"/>
        </w:rPr>
      </w:pPr>
    </w:p>
    <w:sectPr w:rsidR="004F5ECB">
      <w:pgSz w:w="11906" w:h="16838"/>
      <w:pgMar w:top="850" w:right="567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BDE" w:rsidRDefault="00E47BDE">
      <w:r>
        <w:separator/>
      </w:r>
    </w:p>
  </w:endnote>
  <w:endnote w:type="continuationSeparator" w:id="0">
    <w:p w:rsidR="00E47BDE" w:rsidRDefault="00E4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auto"/>
    <w:pitch w:val="default"/>
  </w:font>
  <w:font w:name="MS Mincho">
    <w:altName w:val="Yu Gothic UI"/>
    <w:panose1 w:val="02020609040205080304"/>
    <w:charset w:val="00"/>
    <w:family w:val="auto"/>
    <w:pitch w:val="default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Noto Sans Devanagari">
    <w:altName w:val="Arial"/>
    <w:charset w:val="00"/>
    <w:family w:val="auto"/>
    <w:pitch w:val="default"/>
  </w:font>
  <w:font w:name="Star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BDE" w:rsidRDefault="00E47BDE">
      <w:r>
        <w:separator/>
      </w:r>
    </w:p>
  </w:footnote>
  <w:footnote w:type="continuationSeparator" w:id="0">
    <w:p w:rsidR="00E47BDE" w:rsidRDefault="00E47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736D"/>
    <w:multiLevelType w:val="hybridMultilevel"/>
    <w:tmpl w:val="F9FCE280"/>
    <w:lvl w:ilvl="0" w:tplc="E91681DA">
      <w:start w:val="1"/>
      <w:numFmt w:val="decimal"/>
      <w:lvlText w:val="%1."/>
      <w:lvlJc w:val="left"/>
      <w:pPr>
        <w:ind w:left="720" w:hanging="360"/>
      </w:pPr>
    </w:lvl>
    <w:lvl w:ilvl="1" w:tplc="31C6F25E">
      <w:start w:val="1"/>
      <w:numFmt w:val="lowerLetter"/>
      <w:lvlText w:val="%2."/>
      <w:lvlJc w:val="left"/>
      <w:pPr>
        <w:ind w:left="1440" w:hanging="360"/>
      </w:pPr>
    </w:lvl>
    <w:lvl w:ilvl="2" w:tplc="A2840DA8">
      <w:start w:val="1"/>
      <w:numFmt w:val="lowerRoman"/>
      <w:lvlText w:val="%3."/>
      <w:lvlJc w:val="right"/>
      <w:pPr>
        <w:ind w:left="2160" w:hanging="180"/>
      </w:pPr>
    </w:lvl>
    <w:lvl w:ilvl="3" w:tplc="476A36DE">
      <w:start w:val="1"/>
      <w:numFmt w:val="decimal"/>
      <w:lvlText w:val="%4."/>
      <w:lvlJc w:val="left"/>
      <w:pPr>
        <w:ind w:left="2880" w:hanging="360"/>
      </w:pPr>
    </w:lvl>
    <w:lvl w:ilvl="4" w:tplc="5A06F1C0">
      <w:start w:val="1"/>
      <w:numFmt w:val="lowerLetter"/>
      <w:lvlText w:val="%5."/>
      <w:lvlJc w:val="left"/>
      <w:pPr>
        <w:ind w:left="3600" w:hanging="360"/>
      </w:pPr>
    </w:lvl>
    <w:lvl w:ilvl="5" w:tplc="D57EBB9C">
      <w:start w:val="1"/>
      <w:numFmt w:val="lowerRoman"/>
      <w:lvlText w:val="%6."/>
      <w:lvlJc w:val="right"/>
      <w:pPr>
        <w:ind w:left="4320" w:hanging="180"/>
      </w:pPr>
    </w:lvl>
    <w:lvl w:ilvl="6" w:tplc="09F68D30">
      <w:start w:val="1"/>
      <w:numFmt w:val="decimal"/>
      <w:lvlText w:val="%7."/>
      <w:lvlJc w:val="left"/>
      <w:pPr>
        <w:ind w:left="5040" w:hanging="360"/>
      </w:pPr>
    </w:lvl>
    <w:lvl w:ilvl="7" w:tplc="D7161952">
      <w:start w:val="1"/>
      <w:numFmt w:val="lowerLetter"/>
      <w:lvlText w:val="%8."/>
      <w:lvlJc w:val="left"/>
      <w:pPr>
        <w:ind w:left="5760" w:hanging="360"/>
      </w:pPr>
    </w:lvl>
    <w:lvl w:ilvl="8" w:tplc="D1CC10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F7152"/>
    <w:multiLevelType w:val="hybridMultilevel"/>
    <w:tmpl w:val="3706354E"/>
    <w:lvl w:ilvl="0" w:tplc="58EA8BCE">
      <w:start w:val="1"/>
      <w:numFmt w:val="decimal"/>
      <w:lvlText w:val="%1."/>
      <w:lvlJc w:val="left"/>
      <w:pPr>
        <w:ind w:left="720" w:hanging="360"/>
      </w:pPr>
    </w:lvl>
    <w:lvl w:ilvl="1" w:tplc="F672207C">
      <w:start w:val="1"/>
      <w:numFmt w:val="lowerLetter"/>
      <w:lvlText w:val="%2."/>
      <w:lvlJc w:val="left"/>
      <w:pPr>
        <w:ind w:left="1440" w:hanging="360"/>
      </w:pPr>
    </w:lvl>
    <w:lvl w:ilvl="2" w:tplc="A3A8DE0A">
      <w:start w:val="1"/>
      <w:numFmt w:val="lowerRoman"/>
      <w:lvlText w:val="%3."/>
      <w:lvlJc w:val="right"/>
      <w:pPr>
        <w:ind w:left="2160" w:hanging="180"/>
      </w:pPr>
    </w:lvl>
    <w:lvl w:ilvl="3" w:tplc="CBD2AFC0">
      <w:start w:val="1"/>
      <w:numFmt w:val="decimal"/>
      <w:lvlText w:val="%4."/>
      <w:lvlJc w:val="left"/>
      <w:pPr>
        <w:ind w:left="2880" w:hanging="360"/>
      </w:pPr>
    </w:lvl>
    <w:lvl w:ilvl="4" w:tplc="031ED6FA">
      <w:start w:val="1"/>
      <w:numFmt w:val="lowerLetter"/>
      <w:lvlText w:val="%5."/>
      <w:lvlJc w:val="left"/>
      <w:pPr>
        <w:ind w:left="3600" w:hanging="360"/>
      </w:pPr>
    </w:lvl>
    <w:lvl w:ilvl="5" w:tplc="DC58C80C">
      <w:start w:val="1"/>
      <w:numFmt w:val="lowerRoman"/>
      <w:lvlText w:val="%6."/>
      <w:lvlJc w:val="right"/>
      <w:pPr>
        <w:ind w:left="4320" w:hanging="180"/>
      </w:pPr>
    </w:lvl>
    <w:lvl w:ilvl="6" w:tplc="0112650E">
      <w:start w:val="1"/>
      <w:numFmt w:val="decimal"/>
      <w:lvlText w:val="%7."/>
      <w:lvlJc w:val="left"/>
      <w:pPr>
        <w:ind w:left="5040" w:hanging="360"/>
      </w:pPr>
    </w:lvl>
    <w:lvl w:ilvl="7" w:tplc="4E988C9C">
      <w:start w:val="1"/>
      <w:numFmt w:val="lowerLetter"/>
      <w:lvlText w:val="%8."/>
      <w:lvlJc w:val="left"/>
      <w:pPr>
        <w:ind w:left="5760" w:hanging="360"/>
      </w:pPr>
    </w:lvl>
    <w:lvl w:ilvl="8" w:tplc="E824516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511D2"/>
    <w:multiLevelType w:val="hybridMultilevel"/>
    <w:tmpl w:val="A1F2467E"/>
    <w:lvl w:ilvl="0" w:tplc="CBD405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1EC41D0">
      <w:start w:val="1"/>
      <w:numFmt w:val="lowerLetter"/>
      <w:lvlText w:val="%2."/>
      <w:lvlJc w:val="left"/>
      <w:pPr>
        <w:ind w:left="1440" w:hanging="360"/>
      </w:pPr>
    </w:lvl>
    <w:lvl w:ilvl="2" w:tplc="4B5A287E">
      <w:start w:val="1"/>
      <w:numFmt w:val="lowerRoman"/>
      <w:lvlText w:val="%3."/>
      <w:lvlJc w:val="right"/>
      <w:pPr>
        <w:ind w:left="2160" w:hanging="180"/>
      </w:pPr>
    </w:lvl>
    <w:lvl w:ilvl="3" w:tplc="B400010C">
      <w:start w:val="1"/>
      <w:numFmt w:val="decimal"/>
      <w:lvlText w:val="%4."/>
      <w:lvlJc w:val="left"/>
      <w:pPr>
        <w:ind w:left="2880" w:hanging="360"/>
      </w:pPr>
    </w:lvl>
    <w:lvl w:ilvl="4" w:tplc="69AC4D26">
      <w:start w:val="1"/>
      <w:numFmt w:val="lowerLetter"/>
      <w:lvlText w:val="%5."/>
      <w:lvlJc w:val="left"/>
      <w:pPr>
        <w:ind w:left="3600" w:hanging="360"/>
      </w:pPr>
    </w:lvl>
    <w:lvl w:ilvl="5" w:tplc="07CCA08A">
      <w:start w:val="1"/>
      <w:numFmt w:val="lowerRoman"/>
      <w:lvlText w:val="%6."/>
      <w:lvlJc w:val="right"/>
      <w:pPr>
        <w:ind w:left="4320" w:hanging="180"/>
      </w:pPr>
    </w:lvl>
    <w:lvl w:ilvl="6" w:tplc="387C5AA2">
      <w:start w:val="1"/>
      <w:numFmt w:val="decimal"/>
      <w:lvlText w:val="%7."/>
      <w:lvlJc w:val="left"/>
      <w:pPr>
        <w:ind w:left="5040" w:hanging="360"/>
      </w:pPr>
    </w:lvl>
    <w:lvl w:ilvl="7" w:tplc="796A4A86">
      <w:start w:val="1"/>
      <w:numFmt w:val="lowerLetter"/>
      <w:lvlText w:val="%8."/>
      <w:lvlJc w:val="left"/>
      <w:pPr>
        <w:ind w:left="5760" w:hanging="360"/>
      </w:pPr>
    </w:lvl>
    <w:lvl w:ilvl="8" w:tplc="68B45B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00BBB"/>
    <w:multiLevelType w:val="hybridMultilevel"/>
    <w:tmpl w:val="840068A2"/>
    <w:lvl w:ilvl="0" w:tplc="90D01E34">
      <w:start w:val="1"/>
      <w:numFmt w:val="decimal"/>
      <w:lvlText w:val="%1."/>
      <w:lvlJc w:val="left"/>
      <w:pPr>
        <w:ind w:left="720" w:hanging="360"/>
      </w:pPr>
    </w:lvl>
    <w:lvl w:ilvl="1" w:tplc="FAAE6B40">
      <w:start w:val="1"/>
      <w:numFmt w:val="lowerLetter"/>
      <w:lvlText w:val="%2."/>
      <w:lvlJc w:val="left"/>
      <w:pPr>
        <w:ind w:left="1440" w:hanging="360"/>
      </w:pPr>
    </w:lvl>
    <w:lvl w:ilvl="2" w:tplc="D708DBBC">
      <w:start w:val="1"/>
      <w:numFmt w:val="lowerRoman"/>
      <w:lvlText w:val="%3."/>
      <w:lvlJc w:val="right"/>
      <w:pPr>
        <w:ind w:left="2160" w:hanging="180"/>
      </w:pPr>
    </w:lvl>
    <w:lvl w:ilvl="3" w:tplc="668A1110">
      <w:start w:val="1"/>
      <w:numFmt w:val="decimal"/>
      <w:lvlText w:val="%4."/>
      <w:lvlJc w:val="left"/>
      <w:pPr>
        <w:ind w:left="2880" w:hanging="360"/>
      </w:pPr>
    </w:lvl>
    <w:lvl w:ilvl="4" w:tplc="09CE76C0">
      <w:start w:val="1"/>
      <w:numFmt w:val="lowerLetter"/>
      <w:lvlText w:val="%5."/>
      <w:lvlJc w:val="left"/>
      <w:pPr>
        <w:ind w:left="3600" w:hanging="360"/>
      </w:pPr>
    </w:lvl>
    <w:lvl w:ilvl="5" w:tplc="FE1AB422">
      <w:start w:val="1"/>
      <w:numFmt w:val="lowerRoman"/>
      <w:lvlText w:val="%6."/>
      <w:lvlJc w:val="right"/>
      <w:pPr>
        <w:ind w:left="4320" w:hanging="180"/>
      </w:pPr>
    </w:lvl>
    <w:lvl w:ilvl="6" w:tplc="266C80A6">
      <w:start w:val="1"/>
      <w:numFmt w:val="decimal"/>
      <w:lvlText w:val="%7."/>
      <w:lvlJc w:val="left"/>
      <w:pPr>
        <w:ind w:left="5040" w:hanging="360"/>
      </w:pPr>
    </w:lvl>
    <w:lvl w:ilvl="7" w:tplc="F264A04A">
      <w:start w:val="1"/>
      <w:numFmt w:val="lowerLetter"/>
      <w:lvlText w:val="%8."/>
      <w:lvlJc w:val="left"/>
      <w:pPr>
        <w:ind w:left="5760" w:hanging="360"/>
      </w:pPr>
    </w:lvl>
    <w:lvl w:ilvl="8" w:tplc="E22E81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47A69"/>
    <w:multiLevelType w:val="hybridMultilevel"/>
    <w:tmpl w:val="B88EB370"/>
    <w:lvl w:ilvl="0" w:tplc="424CAB54">
      <w:start w:val="1"/>
      <w:numFmt w:val="decimal"/>
      <w:lvlText w:val="%1."/>
      <w:lvlJc w:val="left"/>
      <w:pPr>
        <w:ind w:left="720" w:hanging="360"/>
      </w:pPr>
    </w:lvl>
    <w:lvl w:ilvl="1" w:tplc="2E92271E">
      <w:start w:val="1"/>
      <w:numFmt w:val="lowerLetter"/>
      <w:lvlText w:val="%2."/>
      <w:lvlJc w:val="left"/>
      <w:pPr>
        <w:ind w:left="1440" w:hanging="360"/>
      </w:pPr>
    </w:lvl>
    <w:lvl w:ilvl="2" w:tplc="EE1A0532">
      <w:start w:val="1"/>
      <w:numFmt w:val="lowerRoman"/>
      <w:lvlText w:val="%3."/>
      <w:lvlJc w:val="right"/>
      <w:pPr>
        <w:ind w:left="2160" w:hanging="180"/>
      </w:pPr>
    </w:lvl>
    <w:lvl w:ilvl="3" w:tplc="BC165222">
      <w:start w:val="1"/>
      <w:numFmt w:val="decimal"/>
      <w:lvlText w:val="%4."/>
      <w:lvlJc w:val="left"/>
      <w:pPr>
        <w:ind w:left="2880" w:hanging="360"/>
      </w:pPr>
    </w:lvl>
    <w:lvl w:ilvl="4" w:tplc="6B900280">
      <w:start w:val="1"/>
      <w:numFmt w:val="lowerLetter"/>
      <w:lvlText w:val="%5."/>
      <w:lvlJc w:val="left"/>
      <w:pPr>
        <w:ind w:left="3600" w:hanging="360"/>
      </w:pPr>
    </w:lvl>
    <w:lvl w:ilvl="5" w:tplc="4C4C4D84">
      <w:start w:val="1"/>
      <w:numFmt w:val="lowerRoman"/>
      <w:lvlText w:val="%6."/>
      <w:lvlJc w:val="right"/>
      <w:pPr>
        <w:ind w:left="4320" w:hanging="180"/>
      </w:pPr>
    </w:lvl>
    <w:lvl w:ilvl="6" w:tplc="2586E27E">
      <w:start w:val="1"/>
      <w:numFmt w:val="decimal"/>
      <w:lvlText w:val="%7."/>
      <w:lvlJc w:val="left"/>
      <w:pPr>
        <w:ind w:left="5040" w:hanging="360"/>
      </w:pPr>
    </w:lvl>
    <w:lvl w:ilvl="7" w:tplc="A1D2A626">
      <w:start w:val="1"/>
      <w:numFmt w:val="lowerLetter"/>
      <w:lvlText w:val="%8."/>
      <w:lvlJc w:val="left"/>
      <w:pPr>
        <w:ind w:left="5760" w:hanging="360"/>
      </w:pPr>
    </w:lvl>
    <w:lvl w:ilvl="8" w:tplc="95F4523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7346D"/>
    <w:multiLevelType w:val="hybridMultilevel"/>
    <w:tmpl w:val="DAF8FDA8"/>
    <w:lvl w:ilvl="0" w:tplc="B12EACD4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ED08F66E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69F07D2E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D438DEDC">
      <w:start w:val="1"/>
      <w:numFmt w:val="decimal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4E626446">
      <w:start w:val="1"/>
      <w:numFmt w:val="decimal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6A444C6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45C995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886870E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4E32655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2424670"/>
    <w:multiLevelType w:val="hybridMultilevel"/>
    <w:tmpl w:val="F86A876A"/>
    <w:lvl w:ilvl="0" w:tplc="67D0ECDA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E6249C20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283E31E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77CEBA6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F230C2C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C602EEF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AEA0D60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D4B4A58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91A6143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EDB271E"/>
    <w:multiLevelType w:val="hybridMultilevel"/>
    <w:tmpl w:val="A6BE5042"/>
    <w:lvl w:ilvl="0" w:tplc="6CAA32BA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6E82EEB8">
      <w:start w:val="1"/>
      <w:numFmt w:val="lowerLetter"/>
      <w:lvlText w:val="%2."/>
      <w:lvlJc w:val="left"/>
      <w:pPr>
        <w:ind w:left="1440" w:hanging="360"/>
      </w:pPr>
    </w:lvl>
    <w:lvl w:ilvl="2" w:tplc="BEAA136A">
      <w:start w:val="1"/>
      <w:numFmt w:val="lowerRoman"/>
      <w:lvlText w:val="%3."/>
      <w:lvlJc w:val="right"/>
      <w:pPr>
        <w:ind w:left="2160" w:hanging="180"/>
      </w:pPr>
    </w:lvl>
    <w:lvl w:ilvl="3" w:tplc="3452A7A4">
      <w:start w:val="1"/>
      <w:numFmt w:val="decimal"/>
      <w:lvlText w:val="%4."/>
      <w:lvlJc w:val="left"/>
      <w:pPr>
        <w:ind w:left="2880" w:hanging="360"/>
      </w:pPr>
    </w:lvl>
    <w:lvl w:ilvl="4" w:tplc="A85450DC">
      <w:start w:val="1"/>
      <w:numFmt w:val="lowerLetter"/>
      <w:lvlText w:val="%5."/>
      <w:lvlJc w:val="left"/>
      <w:pPr>
        <w:ind w:left="3600" w:hanging="360"/>
      </w:pPr>
    </w:lvl>
    <w:lvl w:ilvl="5" w:tplc="8222EE42">
      <w:start w:val="1"/>
      <w:numFmt w:val="lowerRoman"/>
      <w:lvlText w:val="%6."/>
      <w:lvlJc w:val="right"/>
      <w:pPr>
        <w:ind w:left="4320" w:hanging="180"/>
      </w:pPr>
    </w:lvl>
    <w:lvl w:ilvl="6" w:tplc="00E46AE8">
      <w:start w:val="1"/>
      <w:numFmt w:val="decimal"/>
      <w:lvlText w:val="%7."/>
      <w:lvlJc w:val="left"/>
      <w:pPr>
        <w:ind w:left="5040" w:hanging="360"/>
      </w:pPr>
    </w:lvl>
    <w:lvl w:ilvl="7" w:tplc="D3F4E468">
      <w:start w:val="1"/>
      <w:numFmt w:val="lowerLetter"/>
      <w:lvlText w:val="%8."/>
      <w:lvlJc w:val="left"/>
      <w:pPr>
        <w:ind w:left="5760" w:hanging="360"/>
      </w:pPr>
    </w:lvl>
    <w:lvl w:ilvl="8" w:tplc="E75A0FE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946B8"/>
    <w:multiLevelType w:val="hybridMultilevel"/>
    <w:tmpl w:val="897CC3E6"/>
    <w:lvl w:ilvl="0" w:tplc="E1E835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9243B6">
      <w:start w:val="1"/>
      <w:numFmt w:val="lowerLetter"/>
      <w:lvlText w:val="%2."/>
      <w:lvlJc w:val="left"/>
      <w:pPr>
        <w:ind w:left="1440" w:hanging="360"/>
      </w:pPr>
    </w:lvl>
    <w:lvl w:ilvl="2" w:tplc="07302B60">
      <w:start w:val="1"/>
      <w:numFmt w:val="lowerRoman"/>
      <w:lvlText w:val="%3."/>
      <w:lvlJc w:val="right"/>
      <w:pPr>
        <w:ind w:left="2160" w:hanging="180"/>
      </w:pPr>
    </w:lvl>
    <w:lvl w:ilvl="3" w:tplc="728A9F20">
      <w:start w:val="1"/>
      <w:numFmt w:val="decimal"/>
      <w:lvlText w:val="%4."/>
      <w:lvlJc w:val="left"/>
      <w:pPr>
        <w:ind w:left="2880" w:hanging="360"/>
      </w:pPr>
    </w:lvl>
    <w:lvl w:ilvl="4" w:tplc="23420364">
      <w:start w:val="1"/>
      <w:numFmt w:val="lowerLetter"/>
      <w:lvlText w:val="%5."/>
      <w:lvlJc w:val="left"/>
      <w:pPr>
        <w:ind w:left="3600" w:hanging="360"/>
      </w:pPr>
    </w:lvl>
    <w:lvl w:ilvl="5" w:tplc="57D4CFF6">
      <w:start w:val="1"/>
      <w:numFmt w:val="lowerRoman"/>
      <w:lvlText w:val="%6."/>
      <w:lvlJc w:val="right"/>
      <w:pPr>
        <w:ind w:left="4320" w:hanging="180"/>
      </w:pPr>
    </w:lvl>
    <w:lvl w:ilvl="6" w:tplc="AA5E4C78">
      <w:start w:val="1"/>
      <w:numFmt w:val="decimal"/>
      <w:lvlText w:val="%7."/>
      <w:lvlJc w:val="left"/>
      <w:pPr>
        <w:ind w:left="5040" w:hanging="360"/>
      </w:pPr>
    </w:lvl>
    <w:lvl w:ilvl="7" w:tplc="305A74A2">
      <w:start w:val="1"/>
      <w:numFmt w:val="lowerLetter"/>
      <w:lvlText w:val="%8."/>
      <w:lvlJc w:val="left"/>
      <w:pPr>
        <w:ind w:left="5760" w:hanging="360"/>
      </w:pPr>
    </w:lvl>
    <w:lvl w:ilvl="8" w:tplc="EFD097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408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ECB"/>
    <w:rsid w:val="004F5ECB"/>
    <w:rsid w:val="005C1B18"/>
    <w:rsid w:val="00E4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2112C"/>
  <w15:docId w15:val="{C07C768F-CA07-4A76-810E-CAF097D5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i/>
      <w:sz w:val="22"/>
      <w:szCs w:val="20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sz w:val="20"/>
      <w:szCs w:val="20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1"/>
    <w:link w:val="40"/>
    <w:qFormat/>
    <w:pPr>
      <w:numPr>
        <w:ilvl w:val="3"/>
        <w:numId w:val="1"/>
      </w:numPr>
      <w:outlineLvl w:val="3"/>
    </w:pPr>
    <w:rPr>
      <w:rFonts w:ascii="Times New Roman" w:eastAsia="Lucida Sans Unicode" w:hAnsi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5">
    <w:name w:val="No Spacing"/>
    <w:uiPriority w:val="1"/>
    <w:qFormat/>
    <w:rPr>
      <w:lang w:eastAsia="zh-CN"/>
    </w:rPr>
  </w:style>
  <w:style w:type="paragraph" w:styleId="a0">
    <w:name w:val="Title"/>
    <w:basedOn w:val="a"/>
    <w:next w:val="a1"/>
    <w:link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6">
    <w:name w:val="Заголовок Знак"/>
    <w:link w:val="a0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qFormat/>
    <w:pPr>
      <w:jc w:val="center"/>
    </w:pPr>
    <w:rPr>
      <w:i/>
      <w:iCs/>
      <w:sz w:val="28"/>
      <w:szCs w:val="28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link w:val="af0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3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00080"/>
      <w:u w:val="single"/>
      <w:lang w:val="en-US" w:eastAsia="en-US" w:bidi="en-US"/>
    </w:rPr>
  </w:style>
  <w:style w:type="paragraph" w:styleId="af3">
    <w:name w:val="footnote text"/>
    <w:basedOn w:val="a"/>
    <w:link w:val="af4"/>
    <w:rPr>
      <w:sz w:val="20"/>
      <w:szCs w:val="20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25">
    <w:name w:val="Основной шрифт абзаца2"/>
  </w:style>
  <w:style w:type="character" w:customStyle="1" w:styleId="13">
    <w:name w:val="Основной шрифт абзаца1"/>
  </w:style>
  <w:style w:type="character" w:styleId="afb">
    <w:name w:val="page number"/>
    <w:basedOn w:val="13"/>
  </w:style>
  <w:style w:type="character" w:customStyle="1" w:styleId="afc">
    <w:name w:val="Символ сноски"/>
    <w:rPr>
      <w:vertAlign w:val="superscript"/>
    </w:rPr>
  </w:style>
  <w:style w:type="character" w:customStyle="1" w:styleId="14">
    <w:name w:val="Знак сноски1"/>
    <w:rPr>
      <w:vertAlign w:val="superscript"/>
    </w:rPr>
  </w:style>
  <w:style w:type="character" w:customStyle="1" w:styleId="afd">
    <w:name w:val="Документ_поле"/>
    <w:rPr>
      <w:b/>
      <w:bCs/>
      <w:sz w:val="21"/>
      <w:shd w:val="clear" w:color="auto" w:fill="auto"/>
    </w:rPr>
  </w:style>
  <w:style w:type="character" w:customStyle="1" w:styleId="afe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ff">
    <w:name w:val="Символ нумерации"/>
    <w:rPr>
      <w:b w:val="0"/>
      <w:bCs w:val="0"/>
      <w:lang w:val="en-US"/>
    </w:rPr>
  </w:style>
  <w:style w:type="character" w:customStyle="1" w:styleId="RTFNum21">
    <w:name w:val="RTF_Num 2 1"/>
    <w:rPr>
      <w:b/>
      <w:bCs/>
    </w:rPr>
  </w:style>
  <w:style w:type="character" w:customStyle="1" w:styleId="RTFNum22">
    <w:name w:val="RTF_Num 2 2"/>
    <w:rPr>
      <w:b/>
      <w:bCs/>
    </w:rPr>
  </w:style>
  <w:style w:type="character" w:customStyle="1" w:styleId="RTFNum23">
    <w:name w:val="RTF_Num 2 3"/>
    <w:rPr>
      <w:b/>
      <w:bCs/>
    </w:rPr>
  </w:style>
  <w:style w:type="character" w:customStyle="1" w:styleId="RTFNum24">
    <w:name w:val="RTF_Num 2 4"/>
    <w:rPr>
      <w:b/>
      <w:bCs/>
    </w:rPr>
  </w:style>
  <w:style w:type="character" w:customStyle="1" w:styleId="RTFNum25">
    <w:name w:val="RTF_Num 2 5"/>
    <w:rPr>
      <w:b/>
      <w:bCs/>
    </w:rPr>
  </w:style>
  <w:style w:type="character" w:customStyle="1" w:styleId="RTFNum26">
    <w:name w:val="RTF_Num 2 6"/>
    <w:rPr>
      <w:b/>
      <w:bCs/>
    </w:rPr>
  </w:style>
  <w:style w:type="character" w:customStyle="1" w:styleId="RTFNum27">
    <w:name w:val="RTF_Num 2 7"/>
    <w:rPr>
      <w:b/>
      <w:bCs/>
    </w:rPr>
  </w:style>
  <w:style w:type="character" w:customStyle="1" w:styleId="RTFNum28">
    <w:name w:val="RTF_Num 2 8"/>
    <w:rPr>
      <w:b/>
      <w:bCs/>
    </w:rPr>
  </w:style>
  <w:style w:type="character" w:customStyle="1" w:styleId="RTFNum29">
    <w:name w:val="RTF_Num 2 9"/>
    <w:rPr>
      <w:b/>
      <w:bCs/>
    </w:rPr>
  </w:style>
  <w:style w:type="character" w:customStyle="1" w:styleId="RTFNum210">
    <w:name w:val="RTF_Num 2 10"/>
    <w:rPr>
      <w:b/>
      <w:bCs/>
    </w:rPr>
  </w:style>
  <w:style w:type="character" w:customStyle="1" w:styleId="NumberingSymbols">
    <w:name w:val="Numbering Symbols"/>
    <w:rPr>
      <w:b/>
      <w:bCs/>
      <w:sz w:val="24"/>
      <w:szCs w:val="24"/>
      <w:lang w:val="en-US"/>
    </w:rPr>
  </w:style>
  <w:style w:type="character" w:styleId="aff0">
    <w:name w:val="Strong"/>
    <w:qFormat/>
    <w:rPr>
      <w:b/>
      <w:bCs/>
    </w:rPr>
  </w:style>
  <w:style w:type="character" w:customStyle="1" w:styleId="aff1">
    <w:name w:val="Основной текст Знак"/>
  </w:style>
  <w:style w:type="character" w:styleId="aff2">
    <w:name w:val="Emphasis"/>
    <w:qFormat/>
    <w:rPr>
      <w:i/>
      <w:iCs/>
    </w:rPr>
  </w:style>
  <w:style w:type="paragraph" w:styleId="a1">
    <w:name w:val="Body Text"/>
    <w:basedOn w:val="a"/>
    <w:pPr>
      <w:jc w:val="both"/>
    </w:pPr>
    <w:rPr>
      <w:sz w:val="20"/>
      <w:szCs w:val="20"/>
    </w:rPr>
  </w:style>
  <w:style w:type="paragraph" w:styleId="aff3">
    <w:name w:val="List"/>
    <w:basedOn w:val="a1"/>
    <w:rPr>
      <w:rFonts w:ascii="Arial" w:hAnsi="Arial" w:cs="Tahoma"/>
    </w:rPr>
  </w:style>
  <w:style w:type="paragraph" w:customStyle="1" w:styleId="26">
    <w:name w:val="Указатель2"/>
    <w:basedOn w:val="a"/>
    <w:pPr>
      <w:suppressLineNumbers/>
    </w:pPr>
    <w:rPr>
      <w:rFonts w:ascii="PT Sans" w:hAnsi="PT Sans" w:cs="Noto Sans Devanagari"/>
    </w:rPr>
  </w:style>
  <w:style w:type="paragraph" w:customStyle="1" w:styleId="WW-">
    <w:name w:val="WW-Заголовок"/>
    <w:basedOn w:val="a"/>
    <w:next w:val="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15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6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210">
    <w:name w:val="Основной текст 21"/>
    <w:basedOn w:val="a"/>
    <w:pPr>
      <w:jc w:val="both"/>
    </w:pPr>
    <w:rPr>
      <w:bCs/>
      <w:sz w:val="20"/>
    </w:rPr>
  </w:style>
  <w:style w:type="paragraph" w:customStyle="1" w:styleId="ConsNormal">
    <w:name w:val="ConsNormal"/>
    <w:pPr>
      <w:ind w:right="19772" w:firstLine="720"/>
    </w:pPr>
    <w:rPr>
      <w:rFonts w:ascii="Arial" w:eastAsia="Arial" w:hAnsi="Arial" w:cs="Arial"/>
      <w:lang w:eastAsia="zh-CN"/>
    </w:rPr>
  </w:style>
  <w:style w:type="paragraph" w:customStyle="1" w:styleId="aff4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customStyle="1" w:styleId="LO-Normal">
    <w:name w:val="LO-Normal"/>
    <w:pPr>
      <w:widowControl w:val="0"/>
      <w:spacing w:line="300" w:lineRule="auto"/>
      <w:ind w:firstLine="720"/>
      <w:jc w:val="both"/>
    </w:pPr>
    <w:rPr>
      <w:rFonts w:eastAsia="Arial"/>
      <w:sz w:val="22"/>
      <w:lang w:eastAsia="zh-CN"/>
    </w:rPr>
  </w:style>
  <w:style w:type="paragraph" w:styleId="aff5">
    <w:name w:val="Body Text Indent"/>
    <w:basedOn w:val="a"/>
    <w:pPr>
      <w:ind w:firstLine="720"/>
      <w:jc w:val="both"/>
    </w:pPr>
    <w:rPr>
      <w:rFonts w:ascii="Arial" w:hAnsi="Arial" w:cs="Arial"/>
      <w:sz w:val="22"/>
      <w:szCs w:val="20"/>
    </w:rPr>
  </w:style>
  <w:style w:type="paragraph" w:customStyle="1" w:styleId="211">
    <w:name w:val="Основной текст с отступом 21"/>
    <w:basedOn w:val="a"/>
    <w:pPr>
      <w:ind w:firstLine="720"/>
    </w:pPr>
    <w:rPr>
      <w:rFonts w:ascii="Arial" w:hAnsi="Arial" w:cs="Arial"/>
      <w:sz w:val="22"/>
      <w:szCs w:val="20"/>
    </w:r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aff6">
    <w:name w:val="Содержимое таблицы"/>
    <w:basedOn w:val="a"/>
    <w:pPr>
      <w:suppressLineNumbers/>
    </w:pPr>
  </w:style>
  <w:style w:type="paragraph" w:customStyle="1" w:styleId="aff7">
    <w:name w:val="Заголовок таблицы"/>
    <w:basedOn w:val="aff6"/>
    <w:pPr>
      <w:jc w:val="center"/>
    </w:pPr>
    <w:rPr>
      <w:b/>
      <w:bCs/>
    </w:rPr>
  </w:style>
  <w:style w:type="paragraph" w:customStyle="1" w:styleId="aff8">
    <w:name w:val="Содержимое врезки"/>
    <w:basedOn w:val="a1"/>
  </w:style>
  <w:style w:type="paragraph" w:customStyle="1" w:styleId="aff9">
    <w:name w:val="Договор_верхний_колонтитул"/>
    <w:pPr>
      <w:widowControl w:val="0"/>
      <w:jc w:val="right"/>
    </w:pPr>
    <w:rPr>
      <w:rFonts w:eastAsia="Lucida Sans Unicode"/>
      <w:i/>
      <w:sz w:val="12"/>
      <w:szCs w:val="24"/>
      <w:lang w:eastAsia="zh-CN"/>
    </w:rPr>
  </w:style>
  <w:style w:type="paragraph" w:customStyle="1" w:styleId="affa">
    <w:name w:val="Документ_текст"/>
    <w:pPr>
      <w:widowControl w:val="0"/>
      <w:jc w:val="both"/>
    </w:pPr>
    <w:rPr>
      <w:rFonts w:eastAsia="Lucida Sans Unicode"/>
      <w:sz w:val="21"/>
      <w:szCs w:val="24"/>
      <w:lang w:eastAsia="zh-CN"/>
    </w:rPr>
  </w:style>
  <w:style w:type="paragraph" w:customStyle="1" w:styleId="affb">
    <w:name w:val="Документ_понятия"/>
    <w:basedOn w:val="affa"/>
    <w:pPr>
      <w:spacing w:before="170" w:after="57"/>
    </w:pPr>
    <w:rPr>
      <w:b/>
      <w:bCs/>
    </w:rPr>
  </w:style>
  <w:style w:type="paragraph" w:customStyle="1" w:styleId="affc">
    <w:name w:val="Документ_потребитель"/>
    <w:basedOn w:val="affa"/>
    <w:pPr>
      <w:jc w:val="center"/>
    </w:pPr>
    <w:rPr>
      <w:b/>
      <w:bCs/>
      <w:sz w:val="32"/>
      <w:szCs w:val="32"/>
    </w:rPr>
  </w:style>
  <w:style w:type="paragraph" w:customStyle="1" w:styleId="affd">
    <w:name w:val="Документ_раздел"/>
    <w:basedOn w:val="affa"/>
    <w:next w:val="affa"/>
    <w:pPr>
      <w:keepNext/>
      <w:spacing w:before="340" w:after="227"/>
      <w:jc w:val="center"/>
    </w:pPr>
    <w:rPr>
      <w:b/>
    </w:rPr>
  </w:style>
  <w:style w:type="paragraph" w:customStyle="1" w:styleId="s1">
    <w:name w:val="s_1"/>
    <w:basedOn w:val="a"/>
    <w:pPr>
      <w:spacing w:before="280" w:after="280"/>
    </w:pPr>
    <w:rPr>
      <w:lang w:eastAsia="ru-RU"/>
    </w:rPr>
  </w:style>
  <w:style w:type="paragraph" w:styleId="affe">
    <w:name w:val="List Paragraph"/>
    <w:basedOn w:val="a"/>
    <w:uiPriority w:val="34"/>
    <w:qFormat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">
    <w:name w:val="Табличный текст"/>
    <w:basedOn w:val="a"/>
    <w:rPr>
      <w:bCs/>
      <w:szCs w:val="28"/>
      <w:lang w:val="en-US"/>
    </w:rPr>
  </w:style>
  <w:style w:type="paragraph" w:styleId="afff0">
    <w:name w:val="Balloon Text"/>
    <w:basedOn w:val="a"/>
    <w:link w:val="af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link w:val="afff0"/>
    <w:uiPriority w:val="99"/>
    <w:semiHidden/>
    <w:rPr>
      <w:rFonts w:ascii="Segoe UI" w:hAnsi="Segoe UI" w:cs="Segoe UI"/>
      <w:sz w:val="18"/>
      <w:szCs w:val="18"/>
      <w:lang w:eastAsia="zh-CN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2147</Words>
  <Characters>12243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Шутенкова Мария Николаевна</dc:creator>
  <cp:lastModifiedBy>ooomis-glavinz@outlook.com</cp:lastModifiedBy>
  <cp:revision>109</cp:revision>
  <dcterms:created xsi:type="dcterms:W3CDTF">2026-03-20T07:08:00Z</dcterms:created>
  <dcterms:modified xsi:type="dcterms:W3CDTF">2026-06-08T11:10:00Z</dcterms:modified>
  <cp:version>1048576</cp:version>
</cp:coreProperties>
</file>