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2064" w14:textId="5E200BCA" w:rsidR="004E68E5" w:rsidRDefault="004E68E5">
      <w:pPr>
        <w:jc w:val="center"/>
        <w:rPr>
          <w:b/>
          <w:color w:val="000000"/>
        </w:rPr>
      </w:pPr>
      <w:r>
        <w:rPr>
          <w:b/>
          <w:color w:val="000000"/>
        </w:rPr>
        <w:t>Проект до﻿‍⁠﻿‍﻿⁠⁠‌⁠‌​⁠‌​‌⁠‌​‍﻿‍﻿​​﻿‌⁠⁠‍‌⁠‍‍‍‍⁠﻿‍﻿‍‌‍‍говора</w:t>
      </w:r>
    </w:p>
    <w:p w14:paraId="118F326D" w14:textId="20B43D08" w:rsidR="0084335A" w:rsidRPr="00534A97" w:rsidRDefault="002C5707">
      <w:pPr>
        <w:jc w:val="center"/>
        <w:rPr>
          <w:b/>
          <w:color w:val="000000"/>
        </w:rPr>
      </w:pPr>
      <w:r w:rsidRPr="00534A97">
        <w:rPr>
          <w:b/>
          <w:color w:val="000000"/>
        </w:rPr>
        <w:t>ДОГОВОР № ____</w:t>
      </w:r>
    </w:p>
    <w:p w14:paraId="136CB006" w14:textId="27B4DEF2"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4E68E5">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6214D781" w:rsidR="0084335A" w:rsidRPr="00534A97" w:rsidRDefault="002C5707" w:rsidP="0002581B">
      <w:pPr>
        <w:numPr>
          <w:ilvl w:val="1"/>
          <w:numId w:val="1"/>
        </w:numPr>
        <w:jc w:val="both"/>
      </w:pPr>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5D64CF" w:rsidRPr="00534A97">
        <w:rPr>
          <w:b/>
        </w:rPr>
        <w:t xml:space="preserve">по </w:t>
      </w:r>
      <w:r w:rsidR="0076506B" w:rsidRPr="0076506B">
        <w:rPr>
          <w:b/>
        </w:rPr>
        <w:t>текущему ремонту санитарных узлов в группах №№ 6,5,12 в Муниципальном автономном дошкольном образовательном учреждении детский сад № 9 "Черепашка"</w:t>
      </w:r>
      <w:r w:rsidR="00D83811" w:rsidRPr="00D83811">
        <w:rPr>
          <w:b/>
        </w:rPr>
        <w:t xml:space="preserve">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p>
    <w:p w14:paraId="5286B0F2" w14:textId="14F49BF3" w:rsidR="0084335A" w:rsidRPr="00534A97" w:rsidRDefault="002C5707" w:rsidP="00166F7D">
      <w:pPr>
        <w:numPr>
          <w:ilvl w:val="1"/>
          <w:numId w:val="1"/>
        </w:numPr>
        <w:jc w:val="both"/>
      </w:pPr>
      <w:r w:rsidRPr="00534A97">
        <w:rPr>
          <w:b/>
          <w:bCs/>
        </w:rPr>
        <w:t>Место выполнения работ</w:t>
      </w:r>
      <w:r w:rsidR="001A282A">
        <w:rPr>
          <w:b/>
          <w:bCs/>
        </w:rPr>
        <w:t>:</w:t>
      </w:r>
      <w:r w:rsidR="001A282A" w:rsidRPr="001A282A">
        <w:t xml:space="preserve"> </w:t>
      </w:r>
      <w:r w:rsidR="001A282A" w:rsidRPr="001A282A">
        <w:t>Российская Федерация, Ханты-Мансийский АО - Югра, город Радужный, 1 микрорайон, дом 16 (корпус 2)</w:t>
      </w:r>
      <w:r w:rsidR="00D83811" w:rsidRPr="001A282A">
        <w:t>.</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066C66F" w:rsidR="000F7B6E" w:rsidRPr="004328D5" w:rsidRDefault="004328D5">
      <w:pPr>
        <w:pStyle w:val="a6"/>
        <w:numPr>
          <w:ilvl w:val="1"/>
          <w:numId w:val="1"/>
        </w:numPr>
        <w:jc w:val="both"/>
        <w:rPr>
          <w:sz w:val="24"/>
          <w:szCs w:val="24"/>
          <w:highlight w:val="yellow"/>
        </w:rPr>
      </w:pPr>
      <w:r w:rsidRPr="004328D5">
        <w:rPr>
          <w:sz w:val="24"/>
          <w:szCs w:val="24"/>
          <w:highlight w:val="yellow"/>
        </w:rPr>
        <w:t>Заказчик перечисляет на счет Подрядчик</w:t>
      </w:r>
      <w:r w:rsidRPr="004328D5">
        <w:rPr>
          <w:sz w:val="24"/>
          <w:szCs w:val="24"/>
          <w:highlight w:val="yellow"/>
        </w:rPr>
        <w:t>у</w:t>
      </w:r>
      <w:r w:rsidRPr="004328D5">
        <w:rPr>
          <w:sz w:val="24"/>
          <w:szCs w:val="24"/>
          <w:highlight w:val="yellow"/>
        </w:rPr>
        <w:t xml:space="preserve"> предварительную оплату (аванс) в размере </w:t>
      </w:r>
      <w:r w:rsidRPr="004328D5">
        <w:rPr>
          <w:sz w:val="24"/>
          <w:szCs w:val="24"/>
          <w:highlight w:val="yellow"/>
        </w:rPr>
        <w:t>30</w:t>
      </w:r>
      <w:r w:rsidRPr="004328D5">
        <w:rPr>
          <w:sz w:val="24"/>
          <w:szCs w:val="24"/>
          <w:highlight w:val="yellow"/>
        </w:rPr>
        <w:t xml:space="preserve">%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Подрядчика в течение 7 (семи) рабочих дней со дня подписания Заказчиком </w:t>
      </w:r>
      <w:r w:rsidR="000F7B6E" w:rsidRPr="004328D5">
        <w:rPr>
          <w:sz w:val="24"/>
          <w:szCs w:val="24"/>
          <w:highlight w:val="yellow"/>
        </w:rPr>
        <w:t>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534A97">
        <w:rPr>
          <w:bCs/>
          <w:iCs/>
          <w:sz w:val="24"/>
          <w:szCs w:val="24"/>
        </w:rPr>
        <w:lastRenderedPageBreak/>
        <w:t>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73C49161"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9F5AE8" w:rsidRPr="009F5AE8">
        <w:rPr>
          <w:sz w:val="24"/>
          <w:szCs w:val="24"/>
        </w:rPr>
        <w:t>с момента заключения договора до 20.08.2026 г.</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выполнения 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lastRenderedPageBreak/>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 xml:space="preserve">При этом вывоз строительного мусора осуществляется за счет Подрядчика в специально </w:t>
      </w:r>
      <w:r w:rsidRPr="00534A97">
        <w:rPr>
          <w:sz w:val="24"/>
          <w:szCs w:val="24"/>
        </w:rPr>
        <w:lastRenderedPageBreak/>
        <w:t>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7D4BCFA1" w14:textId="77777777" w:rsidR="00CC3C51" w:rsidRDefault="00CC3C51" w:rsidP="00311DD4">
      <w:pPr>
        <w:pStyle w:val="a6"/>
        <w:numPr>
          <w:ilvl w:val="1"/>
          <w:numId w:val="1"/>
        </w:numPr>
        <w:jc w:val="both"/>
        <w:rPr>
          <w:sz w:val="24"/>
          <w:szCs w:val="24"/>
        </w:rPr>
      </w:pPr>
      <w:r w:rsidRPr="00CC3C51">
        <w:rPr>
          <w:sz w:val="24"/>
          <w:szCs w:val="24"/>
        </w:rPr>
        <w:t>Результатом работы являются выполненные работы по текущему ремонту санитарных узлов, приведенные в нормативно-техническое состояние, отвечающее требованиям технической и санитарной безопасности.</w:t>
      </w:r>
    </w:p>
    <w:p w14:paraId="36224D95" w14:textId="066C2172"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8327213"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BD09BE">
        <w:rPr>
          <w:sz w:val="24"/>
          <w:szCs w:val="24"/>
          <w:highlight w:val="yellow"/>
        </w:rPr>
        <w:t>12</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w:t>
      </w:r>
      <w:r w:rsidRPr="00534A97">
        <w:rPr>
          <w:sz w:val="24"/>
          <w:szCs w:val="24"/>
        </w:rPr>
        <w:lastRenderedPageBreak/>
        <w:t xml:space="preserve">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lastRenderedPageBreak/>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0A2FA921"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940D61">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lastRenderedPageBreak/>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50D96F6A"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9869EF">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4094156B" w:rsidR="00967AF9"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0C067088" w14:textId="6ABC0372" w:rsidR="009869EF" w:rsidRPr="009869EF" w:rsidRDefault="009869EF" w:rsidP="00967AF9">
      <w:pPr>
        <w:pStyle w:val="a3"/>
        <w:spacing w:after="0"/>
        <w:jc w:val="center"/>
        <w:rPr>
          <w:rFonts w:ascii="Times New Roman" w:hAnsi="Times New Roman"/>
          <w:bCs/>
          <w:i/>
          <w:iCs/>
          <w:sz w:val="24"/>
        </w:rPr>
      </w:pPr>
      <w:r w:rsidRPr="009869EF">
        <w:rPr>
          <w:rFonts w:ascii="Times New Roman" w:hAnsi="Times New Roman"/>
          <w:bCs/>
          <w:i/>
          <w:iCs/>
          <w:sz w:val="24"/>
        </w:rPr>
        <w:t>Приложено отдельным файлом</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65A76D7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9869EF">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6320288E" w:rsidR="0084335A" w:rsidRPr="009869EF" w:rsidRDefault="002814F7">
      <w:pPr>
        <w:spacing w:after="200"/>
        <w:jc w:val="center"/>
        <w:rPr>
          <w:rFonts w:eastAsiaTheme="minorEastAsia"/>
          <w:b/>
        </w:rPr>
      </w:pPr>
      <w:r w:rsidRPr="009869EF">
        <w:rPr>
          <w:rFonts w:eastAsiaTheme="minorEastAsia"/>
          <w:b/>
        </w:rPr>
        <w:t xml:space="preserve"> </w:t>
      </w:r>
      <w:r w:rsidR="002C5707" w:rsidRPr="009869EF">
        <w:rPr>
          <w:rFonts w:eastAsiaTheme="minorEastAsia"/>
          <w:b/>
        </w:rPr>
        <w:t xml:space="preserve">Сметная документация </w:t>
      </w:r>
    </w:p>
    <w:p w14:paraId="63C0A8C0" w14:textId="66D6983C" w:rsidR="009869EF" w:rsidRPr="009869EF" w:rsidRDefault="009869EF">
      <w:pPr>
        <w:spacing w:after="200"/>
        <w:jc w:val="center"/>
        <w:rPr>
          <w:rFonts w:eastAsiaTheme="minorEastAsia"/>
          <w:bCs/>
          <w:i/>
          <w:iCs/>
        </w:rPr>
      </w:pPr>
      <w:r w:rsidRPr="009869EF">
        <w:rPr>
          <w:rFonts w:eastAsiaTheme="minorEastAsia"/>
          <w:bCs/>
          <w:i/>
          <w:iCs/>
        </w:rPr>
        <w:t>Приложен</w:t>
      </w:r>
      <w:r w:rsidRPr="009869EF">
        <w:rPr>
          <w:rFonts w:eastAsiaTheme="minorEastAsia"/>
          <w:bCs/>
          <w:i/>
          <w:iCs/>
        </w:rPr>
        <w:t>а</w:t>
      </w:r>
      <w:r w:rsidRPr="009869EF">
        <w:rPr>
          <w:rFonts w:eastAsiaTheme="minorEastAsia"/>
          <w:bCs/>
          <w:i/>
          <w:iCs/>
        </w:rPr>
        <w:t xml:space="preserve"> отдельным файлом</w:t>
      </w:r>
    </w:p>
    <w:sectPr w:rsidR="009869EF" w:rsidRPr="009869EF">
      <w:pgSz w:w="11906" w:h="16838"/>
      <w:pgMar w:top="624" w:right="851" w:bottom="510" w:left="993" w:header="454" w:footer="397" w:gutter="0"/>
      <w:cols w:space="708"/>
      <w:docGrid w:linePitch="381"/>
    </w:sectPr>
    <!-- MKR-127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4D94F" w14:textId="77777777" w:rsidR="00A03645" w:rsidRDefault="00A03645">
      <w:r>
        <w:separator/>
      </w:r>
    </w:p>
  </w:endnote>
  <w:endnote w:type="continuationSeparator" w:id="0">
    <w:p w14:paraId="5B203788" w14:textId="77777777" w:rsidR="00A03645" w:rsidRDefault="00A0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panose1 w:val="00000000000000000000"/>
    <w:charset w:val="00"/>
    <w:family w:val="roman"/>
    <w:notTrueType/>
    <w:pitch w:val="variable"/>
    <w:sig w:usb0="00000003" w:usb1="00000000" w:usb2="00000000" w:usb3="00000000" w:csb0="00000001"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F5E98" w14:textId="77777777" w:rsidR="00A03645" w:rsidRDefault="00A03645">
      <w:r>
        <w:separator/>
      </w:r>
    </w:p>
  </w:footnote>
  <w:footnote w:type="continuationSeparator" w:id="0">
    <w:p w14:paraId="025CC4CA" w14:textId="77777777" w:rsidR="00A03645" w:rsidRDefault="00A03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2581B"/>
    <w:rsid w:val="00034CCE"/>
    <w:rsid w:val="00066495"/>
    <w:rsid w:val="00083617"/>
    <w:rsid w:val="00091160"/>
    <w:rsid w:val="00093E0D"/>
    <w:rsid w:val="000A029B"/>
    <w:rsid w:val="000A15CD"/>
    <w:rsid w:val="000B0889"/>
    <w:rsid w:val="000B5B61"/>
    <w:rsid w:val="000C5AA7"/>
    <w:rsid w:val="000E7037"/>
    <w:rsid w:val="000F7B6E"/>
    <w:rsid w:val="00124C93"/>
    <w:rsid w:val="00131404"/>
    <w:rsid w:val="00157890"/>
    <w:rsid w:val="00166F7D"/>
    <w:rsid w:val="00177146"/>
    <w:rsid w:val="00197035"/>
    <w:rsid w:val="001A282A"/>
    <w:rsid w:val="001B1E4F"/>
    <w:rsid w:val="001C5C96"/>
    <w:rsid w:val="001D490B"/>
    <w:rsid w:val="001D7FC9"/>
    <w:rsid w:val="001E10FB"/>
    <w:rsid w:val="001E3090"/>
    <w:rsid w:val="002051AC"/>
    <w:rsid w:val="0021573E"/>
    <w:rsid w:val="00240F53"/>
    <w:rsid w:val="002707C1"/>
    <w:rsid w:val="002814F7"/>
    <w:rsid w:val="00291747"/>
    <w:rsid w:val="00297B4A"/>
    <w:rsid w:val="002A076D"/>
    <w:rsid w:val="002A3447"/>
    <w:rsid w:val="002B21E4"/>
    <w:rsid w:val="002B3A8D"/>
    <w:rsid w:val="002C0B7D"/>
    <w:rsid w:val="002C5707"/>
    <w:rsid w:val="002C77A1"/>
    <w:rsid w:val="002F09C6"/>
    <w:rsid w:val="00304C40"/>
    <w:rsid w:val="00311DD4"/>
    <w:rsid w:val="003155C7"/>
    <w:rsid w:val="003366FE"/>
    <w:rsid w:val="00336F8A"/>
    <w:rsid w:val="00337F74"/>
    <w:rsid w:val="003536BB"/>
    <w:rsid w:val="0037221A"/>
    <w:rsid w:val="003A228F"/>
    <w:rsid w:val="003B4DAF"/>
    <w:rsid w:val="003D3197"/>
    <w:rsid w:val="003D5C53"/>
    <w:rsid w:val="003E3F71"/>
    <w:rsid w:val="0042662D"/>
    <w:rsid w:val="004276DD"/>
    <w:rsid w:val="00431BF0"/>
    <w:rsid w:val="004328D5"/>
    <w:rsid w:val="0046216D"/>
    <w:rsid w:val="004675B1"/>
    <w:rsid w:val="00483C5B"/>
    <w:rsid w:val="004933F4"/>
    <w:rsid w:val="004C21FB"/>
    <w:rsid w:val="004C4A3F"/>
    <w:rsid w:val="004D733E"/>
    <w:rsid w:val="004E68E5"/>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5260C"/>
    <w:rsid w:val="00753185"/>
    <w:rsid w:val="0076506B"/>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4A23"/>
    <w:rsid w:val="00856B07"/>
    <w:rsid w:val="00856B91"/>
    <w:rsid w:val="00866E68"/>
    <w:rsid w:val="00871C1C"/>
    <w:rsid w:val="00884FE2"/>
    <w:rsid w:val="00890053"/>
    <w:rsid w:val="008A0268"/>
    <w:rsid w:val="008A57FA"/>
    <w:rsid w:val="008B0512"/>
    <w:rsid w:val="008C30CC"/>
    <w:rsid w:val="008F3403"/>
    <w:rsid w:val="00922A17"/>
    <w:rsid w:val="00940D61"/>
    <w:rsid w:val="009428F7"/>
    <w:rsid w:val="009433E8"/>
    <w:rsid w:val="00944CB8"/>
    <w:rsid w:val="00967AF9"/>
    <w:rsid w:val="009739B7"/>
    <w:rsid w:val="0097523E"/>
    <w:rsid w:val="0097557D"/>
    <w:rsid w:val="0098171F"/>
    <w:rsid w:val="009869EF"/>
    <w:rsid w:val="009910EC"/>
    <w:rsid w:val="009B194F"/>
    <w:rsid w:val="009D3E0A"/>
    <w:rsid w:val="009E345C"/>
    <w:rsid w:val="009F2E26"/>
    <w:rsid w:val="009F5AE8"/>
    <w:rsid w:val="00A0205A"/>
    <w:rsid w:val="00A03645"/>
    <w:rsid w:val="00A03B60"/>
    <w:rsid w:val="00A331B7"/>
    <w:rsid w:val="00A36D71"/>
    <w:rsid w:val="00A37926"/>
    <w:rsid w:val="00A53B4C"/>
    <w:rsid w:val="00A55684"/>
    <w:rsid w:val="00A80FA7"/>
    <w:rsid w:val="00A92446"/>
    <w:rsid w:val="00AB1D03"/>
    <w:rsid w:val="00AB6FFD"/>
    <w:rsid w:val="00AD1B09"/>
    <w:rsid w:val="00B04197"/>
    <w:rsid w:val="00B158F9"/>
    <w:rsid w:val="00B20153"/>
    <w:rsid w:val="00B25D40"/>
    <w:rsid w:val="00B456A8"/>
    <w:rsid w:val="00B56DF4"/>
    <w:rsid w:val="00B71F84"/>
    <w:rsid w:val="00B7299D"/>
    <w:rsid w:val="00B77F4D"/>
    <w:rsid w:val="00B86374"/>
    <w:rsid w:val="00B95F30"/>
    <w:rsid w:val="00BA5CB4"/>
    <w:rsid w:val="00BA73AE"/>
    <w:rsid w:val="00BA7A62"/>
    <w:rsid w:val="00BC3CBE"/>
    <w:rsid w:val="00BC43CA"/>
    <w:rsid w:val="00BD07E6"/>
    <w:rsid w:val="00BD09BE"/>
    <w:rsid w:val="00BE5086"/>
    <w:rsid w:val="00BF3F14"/>
    <w:rsid w:val="00C336CD"/>
    <w:rsid w:val="00C47220"/>
    <w:rsid w:val="00C477B3"/>
    <w:rsid w:val="00C53639"/>
    <w:rsid w:val="00C575AE"/>
    <w:rsid w:val="00C64379"/>
    <w:rsid w:val="00CB2E07"/>
    <w:rsid w:val="00CB372B"/>
    <w:rsid w:val="00CC3C51"/>
    <w:rsid w:val="00CC6A73"/>
    <w:rsid w:val="00CD460B"/>
    <w:rsid w:val="00CD53EB"/>
    <w:rsid w:val="00CE5B08"/>
    <w:rsid w:val="00CF7089"/>
    <w:rsid w:val="00D00E78"/>
    <w:rsid w:val="00D17785"/>
    <w:rsid w:val="00D42F60"/>
    <w:rsid w:val="00D63497"/>
    <w:rsid w:val="00D63EA6"/>
    <w:rsid w:val="00D6689E"/>
    <w:rsid w:val="00D731B3"/>
    <w:rsid w:val="00D81A75"/>
    <w:rsid w:val="00D83811"/>
    <w:rsid w:val="00DA0384"/>
    <w:rsid w:val="00DB020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BE91-BE3F-4BBB-89E8-818E04D4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3997</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DOC-MARKER-yML86QcjhpyTE6s1wwCLgw</dc:description>
  <dc:creator>User56</dc:creator>
  <cp:lastModifiedBy>User119</cp:lastModifiedBy>
  <cp:revision>16</cp:revision>
  <dcterms:created xsi:type="dcterms:W3CDTF">2026-06-08T11:18:00Z</dcterms:created>
  <dcterms:modified xsi:type="dcterms:W3CDTF">2026-06-08T11:42:00Z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