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Технич‍‍﻿⁠﻿﻿​‍​﻿​​﻿﻿‍​﻿‌‌‌⁠‌⁠﻿‌﻿​﻿﻿⁠⁠‍​​​⁠‌﻿​‍‌‌‍‍еское задание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на поставку масла, многоцелевых смазок для воздушных судов 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для нужд АО "КАП"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jc w:val="both"/>
        <w:rPr>
          <w:rFonts w:ascii="Times New Roman" w:hAnsi="Times New Roman"/>
          <w:i/>
          <w:iCs/>
          <w:color w:val="13100d"/>
        </w:rPr>
      </w:pPr>
      <w:r>
        <w:rPr>
          <w:rFonts w:ascii="Times New Roman" w:hAnsi="Times New Roman"/>
          <w:i/>
          <w:iCs/>
          <w:color w:val="13100d"/>
        </w:rPr>
        <w:t xml:space="preserve">В случае, если в документации (в каком-либо документе, входящем в состав документации, прикрепленном отдельным файлом к документации) имеются указания на знаки обслуживания, фирменные и торговые наименования, патенты, полезные м</w:t>
      </w:r>
      <w:r>
        <w:rPr>
          <w:rFonts w:ascii="Times New Roman" w:hAnsi="Times New Roman"/>
          <w:i/>
          <w:iCs/>
          <w:color w:val="13100d"/>
        </w:rPr>
        <w:t xml:space="preserve">одели, промышленные образцы, указания на товарный знак, наименование места происхождения товара или наименование производителя, то такие указания следует читать «знаки обслуживания или эквивалент», «фирменные наименования или эквивалент», «торговые наимено</w:t>
      </w:r>
      <w:r>
        <w:rPr>
          <w:rFonts w:ascii="Times New Roman" w:hAnsi="Times New Roman"/>
          <w:i/>
          <w:iCs/>
          <w:color w:val="13100d"/>
        </w:rPr>
        <w:t xml:space="preserve">вания или эквивалент», «патенты или эквивалент», «полезные модели или эквивалент», «промышленные образцы или эквивалент», «товарный знак или эквивалент», «наименование места происхождения товара или эквивалент», «наименование производителя или эквивалент».</w:t>
      </w:r>
      <w:r>
        <w:rPr>
          <w:rFonts w:ascii="Times New Roman" w:hAnsi="Times New Roman"/>
          <w:i/>
          <w:iCs/>
          <w:color w:val="13100d"/>
        </w:rPr>
      </w:r>
      <w:r>
        <w:rPr>
          <w:rFonts w:ascii="Times New Roman" w:hAnsi="Times New Roman"/>
          <w:i/>
          <w:iCs/>
          <w:color w:val="13100d"/>
        </w:rPr>
      </w:r>
    </w:p>
    <w:p>
      <w:pPr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Предмет закупки</w:t>
      </w:r>
      <w:r>
        <w:rPr>
          <w:rFonts w:ascii="Times New Roman" w:hAnsi="Times New Roman" w:cs="Times New Roman"/>
          <w:sz w:val="22"/>
          <w:szCs w:val="22"/>
        </w:rPr>
        <w:t xml:space="preserve">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Style w:val="957"/>
        <w:tblW w:w="9505" w:type="dxa"/>
        <w:tblInd w:w="-289" w:type="dxa"/>
        <w:tblLook w:val="04A0" w:firstRow="1" w:lastRow="0" w:firstColumn="1" w:lastColumn="0" w:noHBand="0" w:noVBand="1"/>
      </w:tblPr>
      <w:tblGrid>
        <w:gridCol w:w="426"/>
        <w:gridCol w:w="2398"/>
        <w:gridCol w:w="2909"/>
        <w:gridCol w:w="2262"/>
        <w:gridCol w:w="637"/>
        <w:gridCol w:w="867"/>
        <w:gridCol w:w="6"/>
      </w:tblGrid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" w:type="dxa"/>
            <w:vMerge w:val="restart"/>
            <w:textDirection w:val="lrTb"/>
            <w:noWrap w:val="false"/>
          </w:tcPr>
          <w:p>
            <w:pPr>
              <w:ind w:firstLine="70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7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Характеристики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Ед. изм.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Объем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" w:type="dxa"/>
            <w:vMerge w:val="continue"/>
            <w:textDirection w:val="lrTb"/>
            <w:noWrap w:val="false"/>
          </w:tcPr>
          <w:p>
            <w:pPr>
              <w:ind w:firstLine="70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8" w:type="dxa"/>
            <w:vMerge w:val="continue"/>
            <w:textDirection w:val="lrTb"/>
            <w:noWrap w:val="false"/>
          </w:tcPr>
          <w:p>
            <w:pPr>
              <w:ind w:firstLine="70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Норма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auto" w:sz="4" w:space="0"/>
            </w:tcBorders>
            <w:tcW w:w="426" w:type="dxa"/>
            <w:vMerge w:val="restart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39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Масло АМГ-10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Код ОКПД 2 –19.20.29.111.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Назначение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для газотурбинных двигателей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 которых температура масла на выходе из двигателя не более 150°С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63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шт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8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Внешний 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прозрачная, однородная жидкость красного цвета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Температура начала кипения,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ºС, не ниже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210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ind w:firstLine="709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Кинематическая вязкость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rPr/>
                    <m:t>мм</m:t>
                  </m:r>
                </m:e>
                <m:sup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rPr/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2"/>
                  <w:szCs w:val="22"/>
                </w:rPr>
                <m:rPr/>
                <m:t>/с</m:t>
              </m:r>
            </m:oMath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(сСт)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firstLine="709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 50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ºС, не менее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при  минус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50 ºС,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ind w:firstLine="709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firstLine="709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firstLine="709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1250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Кислотное число, мг КОН на 1 г масла,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ind w:firstLine="709"/>
              <w:widowControl w:val="off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Весовой показатель коррозии при испытании металлических пластинок, мг/см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r>
          </w:p>
          <w:p>
            <w:pPr>
              <w:ind w:firstLine="709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сплав магниевый Мл-5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firstLine="709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медь марки М-1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firstLine="709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сталь маркировки 30ХГСА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сплав алюминиевый Д-16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ind w:firstLine="709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firstLine="709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firstLine="709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± 0,1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firstLine="709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firstLine="709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± 0,1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firstLine="709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firstLine="709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± 0,1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± 0,1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Коррозионное воздействие на металлы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выдерживает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ind w:firstLine="709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Термоокислительная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стабильность и коррозионная активность при 125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ºС в течении 100 ч: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r>
          </w:p>
          <w:p>
            <w:pPr>
              <w:ind w:firstLine="709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а) вязкость кинематическая после окисления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rPr/>
                    <m:t>мм</m:t>
                  </m:r>
                </m:e>
                <m:sup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rPr/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2"/>
                  <w:szCs w:val="22"/>
                </w:rPr>
                <m:rPr/>
                <m:t>/с</m:t>
              </m:r>
            </m:oMath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при 50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ºС, не менее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б)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Кислотное число, мг КОН на 1 г масла,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ind w:firstLine="709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firstLine="709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firstLine="709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firstLine="709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firstLine="709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firstLine="709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firstLine="709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9,5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firstLine="709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firstLine="709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0,15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Содержание водорастворимых кислот и щелочей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отсутствие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Массовая доля механических примесей, %,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0,003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Содержание воды, %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отсутствие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Температура вспышки, определяемая в открытом тигле,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ºС, не ниже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Температура застывания,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ºС, не выше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Минус 70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Качество пленки масла после нагревания его при температуре (65±1)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ºС в течение 4 часов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Пленка не должна быть твердой и липкой по всей поверхности пластинки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Стабильность вязкости после озвучивания масла на ультразвуковой установке в течение 50 мин., %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Плотность при 20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ºС. г/см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vertAlign w:val="superscript"/>
              </w:rPr>
              <w:t xml:space="preserve">3,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0,850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ind w:firstLine="709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Трибололгические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характеристики, определяемые 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четырехшариковой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машине: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Диаметр пятна износа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) при осевой нагрузке 196 Н (20 кгс) при (20 ±5)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ºС в течении 1 часа, мм,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Фасовка -поставляется в жестяных банках (бидонах) не более чем по 15 кг, в одной деревянной обрешетке по две банки (бидона).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Товар должен соответствовать ГОСТ 6794-2017 и ТР ТС 030/2012. Проба для испытаний должна быть отобрана в соответствии с ГОСТ 2517.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restart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Масло МС-8п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Код ОКПД 2 –19.20.29.111.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Назначение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масло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для газотурбинных двигателей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 которых температура масла на выходе из двигателя не более 150°С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шт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Вязкость кинематическая,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rPr/>
                    <m:t>мм</m:t>
                  </m:r>
                </m:e>
                <m:sup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rPr/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2"/>
                  <w:szCs w:val="22"/>
                </w:rPr>
                <m:rPr/>
                <m:t>/с</m:t>
              </m:r>
            </m:oMath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: а) при 50 ºС, не менее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б) при - 40 ºС,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8,0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4000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Температура застывания, ºС, не выше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минус 55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Температура вспышки, определяемая в закрытом тигле, ºС, не ниже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145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Температура вспышки, определяемая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открытом  тигле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ºС, не менее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135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Кислотное число, мг КОН на 1 г масла,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Массовая доля воды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Отсутствие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Содержание водорастворимых кислот и щелочей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Отсутствие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Массовая доля механических примесей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Отсутствие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Массовая доля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золы,%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0,0080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Массовая доля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серы,%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Термоокислительная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стабильность при 150 ºС в течение 50 ч: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а)кинематическая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вязкость при 50ºС после окисления,</w:t>
            </w:r>
            <m:oMath>
              <m:r>
                <w:rPr>
                  <w:rFonts w:ascii="Cambria Math" w:hAnsi="Cambria Math" w:cs="Times New Roman"/>
                  <w:sz w:val="22"/>
                  <w:szCs w:val="22"/>
                </w:rPr>
                <m:rPr/>
                <m:t>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rPr/>
                    <m:t>мм</m:t>
                  </m:r>
                </m:e>
                <m:sup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rPr/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2"/>
                  <w:szCs w:val="22"/>
                </w:rPr>
                <m:rPr/>
                <m:t>/с,</m:t>
              </m:r>
            </m:oMath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б)  кинематическая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вязкость при минус 40 ºС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rPr/>
                    <m:t>мм</m:t>
                  </m:r>
                </m:e>
                <m:sup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rPr/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2"/>
                  <w:szCs w:val="22"/>
                </w:rPr>
                <m:rPr/>
                <m:t>/с</m:t>
              </m:r>
            </m:oMath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после окисления,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в) кислотное число после окисления, мг КОН на 1 г масла,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г) массовая доля осадка после окисления,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д) коррозия на пластинках после окисления, </w:t>
            </w:r>
            <m:oMath>
              <m:r>
                <w:rPr>
                  <w:rFonts w:ascii="Cambria Math" w:hAnsi="Cambria Math" w:cs="Times New Roman"/>
                  <w:sz w:val="22"/>
                  <w:szCs w:val="22"/>
                </w:rPr>
                <m:rPr/>
                <m:t>мг/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rPr/>
                    <m:t>см</m:t>
                  </m:r>
                </m:e>
                <m:sup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rPr/>
                    <m:t>2</m:t>
                  </m:r>
                </m:sup>
              </m:sSup>
            </m:oMath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-сталь ШХ-15 по ГОСТ 801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-медь М-1 или М-2 по ГОСТ 859,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-алюминиевый сплав АК-4 по ГОСТ 4784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0" w:type="auto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5500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0,10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Отсутствие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±0,2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Отсутствие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Цвет на колориметре ЦНТ, единицы ЦНТ,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1,5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Плотность при 15 ºС, </w:t>
            </w:r>
            <m:oMath>
              <m:r>
                <w:rPr>
                  <w:rFonts w:ascii="Cambria Math" w:hAnsi="Cambria Math" w:cs="Times New Roman"/>
                  <w:sz w:val="22"/>
                  <w:szCs w:val="22"/>
                </w:rPr>
                <m:rPr/>
                <m:t>г/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rPr/>
                    <m:t>см</m:t>
                  </m:r>
                </m:e>
                <m:sup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rPr/>
                    <m:t>3</m:t>
                  </m:r>
                </m:sup>
              </m:sSup>
            </m:oMath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0,8784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Смазывающие характеристики на 4-х шариковой машине при температуре окружающей среды: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-критическая нагрузка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), кгс, не менее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-показатель износа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) при осевой нагрузке 20 кгс, мм,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Испаряемость при атмосферном давлении в течении 3 ч при 150 ºС, скорости подачи воздуха 1,5 дм3/мин, %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а) кинематическая вязкость при минус 40 ºС после окисления, мм2/с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Не более 7,0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более 5000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Температура самовоспламенения, ºС, не менее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165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Фасовка -поставляется в жестяных банках (бидонах) не более чем по 15 кг, в одной деревянной обрешетке по две банки (бидона).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Товар должен соответствовать ОСТ 38.01163-78 с изм. 1-10 и ТР ТС 030/2012.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restart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Масло СМ-9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Код ОКПД 2 –19.20.29.111.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Назначение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масло для применения в редукторах трансмиссии вертолетов в зимний период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шт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Вязкость кинематическая,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rPr/>
                    <m:t>мм</m:t>
                  </m:r>
                </m:e>
                <m:sup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rPr/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2"/>
                  <w:szCs w:val="22"/>
                </w:rPr>
                <m:rPr/>
                <m:t>/с</m:t>
              </m:r>
            </m:oMath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при 100 ºС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9,000-11,00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Температура застывания, ºС, не выше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минус 40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Температура вспышки, определяемая в открытом тигле, ºС, не ниже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Массовая доля воды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отсутствие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Массовая доля механических примесей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больше/ее 0,07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Плотность при 20 ºС, </w:t>
            </w:r>
            <m:oMath>
              <m:r>
                <w:rPr>
                  <w:rFonts w:ascii="Cambria Math" w:hAnsi="Cambria Math" w:cs="Times New Roman"/>
                  <w:sz w:val="22"/>
                  <w:szCs w:val="22"/>
                </w:rPr>
                <m:rPr/>
                <m:t>г/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rPr/>
                    <m:t>см</m:t>
                  </m:r>
                </m:e>
                <m:sup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rPr/>
                    <m:t>3</m:t>
                  </m:r>
                </m:sup>
              </m:sSup>
            </m:oMath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не менее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0,870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Температура застывания, ºС, не выше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Минус 40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Трибологические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характеристики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 4-х шариковой машине при температуре окружающей среды: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-диаметр пятна износа при осевой нагрузке 40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кгс ,мм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-критическая нагрузка, кгс, не менее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-нагрузка сваривания, кгс,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менее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-индекс задира, кгс, не менее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0,95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315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textDirection w:val="lrTb"/>
            <w:noWrap w:val="false"/>
          </w:tcPr>
          <w:p>
            <w:pPr>
              <w:tabs>
                <w:tab w:val="left" w:pos="413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Фасовка 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поставляется  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жестяных банках (бидонах) не более чем по 15 кг в одной деревянной обрешетке по две банки (бидона).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Товар должен соответствовать ТУ 19.20.29-001-49878493-2022.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restart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Масло всесезонное ВО-12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Код ОКПД 2 –19.20.29.111.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Назначение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для осевых шарниров втулок винтов вертолетов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шт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Вязкость кинематическая, мм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/с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сСт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) при температуре: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 °С, не менее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минус 30 °С,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12,0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16000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Температура застывания, °С, не выше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минус 54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Температура вспышки, определяемая в открытом тигле, °С, не ниже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220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Кислотное число, мг КОН на 1 г масла,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Индекс вязкости, не менее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120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Зольность, %,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0,005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Содержание механических примесей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отсутствие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Содержание воды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отсутствие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Содержание водорастворимых кислот и щелочей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отсутствие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Вязкость динамическая,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мПа·с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) при температуре: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минус 45 °С,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минус 40 °С,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110000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55000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Трибологические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характеристики, определяемые 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четырехшариковой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машине трения при температуре окружающей среды: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критическая нагрузка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), Н (кгс), не менее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показатель износа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), мм, при осевой нагрузке 190 Н (20 кгс),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656,6 (67)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0,70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Плотность при 15 °С, кг/м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875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Фасовка 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поставляется  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жестяных банках (бидонах)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более чем по 15 кг в одной деревянной обрешетке по две банки (бидона).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Товар должен соответствовать 38.401-58-359-2005 с изм. 1 и ТР ТС 030/2012.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restart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Маслосмесь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СМ-4,5 Код ОКПД 2 –19.20.29.111.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Назначение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маслосмесь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для системах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смазки турбовинтовых двигателей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шт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Внешний 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Прозрачная жидкость свободная от взвесей и осадка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Вязкость кинематическая при 100 ºС,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rPr/>
                    <m:t>мм</m:t>
                  </m:r>
                </m:e>
                <m:sup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rPr/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2"/>
                  <w:szCs w:val="22"/>
                </w:rPr>
                <m:rPr/>
                <m:t>/с</m:t>
              </m:r>
            </m:oMath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4,3-4,7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Температура застывания, ºС, не выше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минус 35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Температура вспышки, определяемая в закрытом тигле, ºС, не ниже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138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Кислотное число, мг КОН на 1 г масла,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Массовая доля воды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Отсутствие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Содержание водорастворимых кислот и щелочей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Отсутствие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Массовая доля механических примесей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Отсутствие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Массовая доля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золы,%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0,0080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Коксуемость,%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0,15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ind w:firstLine="709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Термоокислительная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стабильность при 130 ºС в течение 50 ч: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firstLine="709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а) кинематическая вязкость при 100 ºС после окисления,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firstLine="709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б)  кинематическая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вязкость при минус 15 ºС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rPr/>
                    <m:t>мм</m:t>
                  </m:r>
                </m:e>
                <m:sup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rPr/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2"/>
                  <w:szCs w:val="22"/>
                </w:rPr>
                <m:rPr/>
                <m:t>/с</m:t>
              </m:r>
            </m:oMath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после окисления,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firstLine="709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в) кислотное число после окисления, мг КОН на 1 г масла,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firstLine="709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г) массовая доля осадка после окисления,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firstLine="709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д) коррозия на пластинках после окисления, </w:t>
            </w:r>
            <m:oMath>
              <m:r>
                <w:rPr>
                  <w:rFonts w:ascii="Cambria Math" w:hAnsi="Cambria Math" w:cs="Times New Roman"/>
                  <w:sz w:val="22"/>
                  <w:szCs w:val="22"/>
                </w:rPr>
                <m:rPr/>
                <m:t>мг/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rPr/>
                    <m:t>см</m:t>
                  </m:r>
                </m:e>
                <m:sup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rPr/>
                    <m:t>2</m:t>
                  </m:r>
                </m:sup>
              </m:sSup>
            </m:oMath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firstLine="709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-сталь ШХ-15 по ГОСТ 801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firstLine="709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-медь М-1 или М-2 по ГОСТ 859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firstLine="709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-алюминиевый сплав АК-4 по ГОСТ 4784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ind w:firstLine="709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firstLine="709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firstLine="709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firstLine="709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firstLine="709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firstLine="709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firstLine="709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950,0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firstLine="709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firstLine="709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firstLine="709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firstLine="709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firstLine="709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firstLine="709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firstLine="709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firstLine="709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firstLine="709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Отсутствие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firstLine="709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firstLine="709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Отсутствие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Отсутствие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Цвет на колориметре ЦНТ, единицы ЦНТ,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4,5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Плотность при 20 ºС, </w:t>
            </w:r>
            <m:oMath>
              <m:r>
                <w:rPr>
                  <w:rFonts w:ascii="Cambria Math" w:hAnsi="Cambria Math" w:cs="Times New Roman"/>
                  <w:sz w:val="22"/>
                  <w:szCs w:val="22"/>
                </w:rPr>
                <m:rPr/>
                <m:t>г/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rPr/>
                    <m:t>см</m:t>
                  </m:r>
                </m:e>
                <m:sup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rPr/>
                    <m:t>3</m:t>
                  </m:r>
                </m:sup>
              </m:sSup>
            </m:oMath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не менее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0,860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Температура застывания, ºС, не выше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Минус 35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Температура вспышки, определяемая в открытом тигле, ºС, не менее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135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Температура самовоспламенения, ºС, не менее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165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textDirection w:val="lrTb"/>
            <w:noWrap w:val="false"/>
          </w:tcPr>
          <w:p>
            <w:pPr>
              <w:tabs>
                <w:tab w:val="left" w:pos="463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Фасовка-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поставляется  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жестяных банках (бидонах) по не менее чем 15 кг, в одной деревянной обрешетке по две банки (бидона).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textDirection w:val="lrTb"/>
            <w:noWrap w:val="false"/>
          </w:tcPr>
          <w:p>
            <w:pPr>
              <w:tabs>
                <w:tab w:val="left" w:pos="927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Товар должен соответствовать ОСТ 54-3-175-72-99 с изм. 1,2,3 и ТР ТС 030/2012.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срок изготовления не ранее 2 квартала 2026 года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restart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Смазка НК-50.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Код ОКПД 2 –19.20.29.111.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Назначение-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применяется для подшипников ступиц шасси и соединений воздушных винтов авиационной техники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шт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Амплитуда рабочей температуры, не менее 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 – 15 ºС,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  +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150ºС.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Внешний 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Однородная маслянистая мазь от серо-зеленого до черного света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Вязкость эффективная при 0 ºС </w:t>
            </w:r>
            <m:oMath>
              <m:r>
                <w:rPr>
                  <w:rFonts w:ascii="Cambria Math" w:hAnsi="Cambria Math" w:cs="Times New Roman"/>
                  <w:sz w:val="22"/>
                  <w:szCs w:val="22"/>
                </w:rPr>
                <m:rPr/>
                <m:t>Па∙с</m:t>
              </m:r>
            </m:oMath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Предел прочности, при 80 ºС, Па, не менее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180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Коллоидная стабильность в % выделенного масла,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Коррозионные воздействия на металлы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выдерживает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Содержание воды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следы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Стабильность против окисления,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мгКОН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 1 г смазки,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Содержание свободных щелочей в пересчете на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NaOH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%,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Испаряемость при 150 ºС за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 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%,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Температура каплепадения ºС, не ниже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190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Содержание механических примесей, % масс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более 0,03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Фасовка-в жестяных банках (бидонах) не менее чем по 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кг,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 не более чем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0кг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Товар должен соответствовать ТУ 38.1011219-95.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restart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Смазка ОКБ 122-7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Код ОКПД 2 –19.20.29.111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Назначение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textDirection w:val="lrTb"/>
            <w:noWrap w:val="false"/>
          </w:tcPr>
          <w:p>
            <w:pPr>
              <w:tabs>
                <w:tab w:val="left" w:pos="275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для смазывания подшипников авиационных электромашин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шт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Диапазон рабочих температур, не менее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 -40 °С до +100 °С.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 Внешний 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 Однородная мазь гладкой структуры от светло-желтого до светло-коричневого цвета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 Вязкость, </w:t>
            </w: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Па·с</w:t>
            </w: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 при 50 °С и среднем градиенте скорости деформации 1000 с</w:t>
            </w:r>
            <w:r>
              <w:rPr>
                <w:rFonts w:ascii="Times New Roman" w:hAnsi="Times New Roman" w:cs="Times New Roman"/>
                <w:color w:val="333333"/>
                <w:sz w:val="22"/>
                <w:szCs w:val="22"/>
                <w:vertAlign w:val="superscript"/>
              </w:rPr>
              <w:t xml:space="preserve">-1</w:t>
            </w: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1,2 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Вязкость, </w:t>
            </w: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Па·с</w:t>
            </w: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 при -30°С и среднем градиенте скорости деформации 10 с</w:t>
            </w:r>
            <w:r>
              <w:rPr>
                <w:rFonts w:ascii="Times New Roman" w:hAnsi="Times New Roman" w:cs="Times New Roman"/>
                <w:color w:val="333333"/>
                <w:sz w:val="22"/>
                <w:szCs w:val="22"/>
                <w:vertAlign w:val="superscript"/>
              </w:rPr>
              <w:t xml:space="preserve">-1</w:t>
            </w: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1800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 Коллоидная стабильность, %,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10,0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Предел прочности на сдвиг при 50°С, Па, не менее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  150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Содержание свободной щелочи в пересчете на OH, %,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0,03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 Коррозионное воздействие на металлы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 Выдерживает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Содержание воды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Отсутствие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Содержание механических примесей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Отсутствие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Испаряемость при 100 °С в течение 1ч, %,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3,5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Фасовка в жестяных банках (бидонах) по не менее чем 0,750 кг, но не более 1,0 кг.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textDirection w:val="lrTb"/>
            <w:noWrap w:val="false"/>
          </w:tcPr>
          <w:p>
            <w:pPr>
              <w:tabs>
                <w:tab w:val="left" w:pos="188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Товар должен соответствовать ГОСТ 18179-72.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restart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Смазка ВНИИ НП-231 Код ОКПД 2 –19.20.29.111.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Назначение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применяется в закрытых червячно-винтовых механизмах, тихоходных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подшипниках качения и скольжения, резьбовых соединениях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шт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Амплитуда рабочей температуры от -60 ºС,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  +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250 ºС.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Внешний 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Однородная мазь чёрного цвета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Вязкость эффективная,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Па·с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 –50°С и среднем градиенте скорости деформации 10 с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-1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 50°С и среднем градиенте скорости деформации 1000 с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-1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не менее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Предел прочности при 80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С, Па, не менее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Коллоидная стабильность при нагрузке 3 Н, % выделенного масла,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7,5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Испаряемость при 200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С, %,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Коррозионное воздействие на металлы (сталь марки 45)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Выдерживает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Содержание воды, %,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0,12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Пенетрация при 25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С, 10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-1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 мм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нормируется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Содержание механических примесей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более 0,03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Фасовка в жестяных банках (бидонах) по не менее чем 0,750 кг, но не более 1,0 кг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Товар должен соответствовать ТУ 38.1011220-89 изм. 1,2.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restart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Смазка ЦИАТИМ-201   Код ОКПД 2 –19.20.29.111.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Назначение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для смазывания узлов трения, скольжения и качения в механизмах авиационной, техники, радиотехнического оборудования, электромеханических и точных приборах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шт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Амплитуда рабочей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температуры 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не менее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 -60ºС,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  +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90ºС.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Внешний 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Однородная мазь, без комков, от светло-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желтого до светло-коричневого цвета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Вязкость эффективная при минус 50 ºС и среднем градиенте скорости деформации </w:t>
            </w:r>
            <m:oMath>
              <m:r>
                <w:rPr>
                  <w:rFonts w:ascii="Cambria Math" w:hAnsi="Cambria Math" w:cs="Times New Roman"/>
                  <w:sz w:val="22"/>
                  <w:szCs w:val="22"/>
                </w:rPr>
                <m:rPr/>
                <m:t>10∙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rPr/>
                    <m:t>с</m:t>
                  </m:r>
                </m:e>
                <m:sup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rPr/>
                    <m:t>-1</m:t>
                  </m:r>
                </m:sup>
              </m:sSup>
              <m:r>
                <w:rPr>
                  <w:rFonts w:ascii="Cambria Math" w:hAnsi="Cambria Math" w:cs="Times New Roman"/>
                  <w:sz w:val="22"/>
                  <w:szCs w:val="22"/>
                </w:rPr>
                <m:rPr/>
                <m:t>, Па∙с</m:t>
              </m:r>
            </m:oMath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1100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Предел прочности, при 50 ºС, Па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250-500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Температура каплепадения, ºС, не ниже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175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Коллоидная стабильность, % выделенного масла,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на коррозию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выдерживает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Стабильность против окисления, мг КОН на 1г. смазки,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Содержание свободной щелочи в пересчете на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NaOH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%,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Содержание воды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отсутствие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Испаряемость в чашечках-испарителях при 120 ºС, 1ч, %,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Пенетрация при 25 ºС, 0,1 мм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нормируется, определение обязательно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Содержание механических примесей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отсутствие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textDirection w:val="lrTb"/>
            <w:noWrap w:val="false"/>
          </w:tcPr>
          <w:p>
            <w:pPr>
              <w:tabs>
                <w:tab w:val="left" w:pos="651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Фасовка в жестяных банках (бидонах) по не менее чем 0,700 кг, но не более 1,0 кг.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textDirection w:val="lrTb"/>
            <w:noWrap w:val="false"/>
          </w:tcPr>
          <w:p>
            <w:pPr>
              <w:tabs>
                <w:tab w:val="left" w:pos="676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Товар должен соответствовать ГОСТ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6267-2021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restart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Смазка ЦИАТИМ 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203  Код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ОКПД 2 –19.20.29.111.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Назначение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высоко ластичная фрикционная смазка для смазки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авиамеханизмов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редукторов, подшипников скольжения 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шт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Амплитуда рабочей температуры не менее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 -50ºС,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  +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100ºС.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Внешний вид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Однородная мазь темно-коричневого или зеленого-коричневого цвета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Вязкость эффективная, Па*с(П)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 50 °С и среднем градиенте скорости деформации 1000с '¹не мене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 минус 30 °Си среднем градиенте скорости деформации 10 с '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¹ ,не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ind w:firstLine="709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firstLine="709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firstLine="709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Предел прочности при 50°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С,Па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/см2), не менее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250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Коллоидная стабильность, %,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на коррозию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выдерживает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Стабильность против окисления, мг КОН на 1 г смазки,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Содержание свободных органических кислот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отсутствие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Массовая доля свободной щелочи в пересчете на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%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Содержание механических примесей (в 1см³ смазки) диаметром от 0,075 до 0,125 мм,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диаметром более 0,125мм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ind w:firstLine="709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отсутствие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Массовая доля серы, %, не менее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Пентрация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при 25°С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250-300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Температура каплепадения °С не ниже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160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Содержание воды, % масс.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следы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Содержание механических примесей, % масс.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Фасовка в жестяных банках (бидонах) по не менее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чем  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,800 кг, не более 1,0 кг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Товар должен соответствовать ГОСТ 8773-2022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restart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Масло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ТСГип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Код ОКПД 2 –19.20.29.111.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Назначение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для смазки горизонтальных и вертикальных шарниров втулок винтов вертолетов.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шт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Кинематическая вязкость при 100 С, мм2/С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сСт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менее 18,0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Содержание водорастворимых кислот и щелочей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отсутствие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Массовая доля механических примесей, %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более 0,10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Содержание воды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отсутствие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Массовая доля серы, %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менее 1,5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Температура застывания, 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выше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минус  18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Коррозионное воздействие из: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Стали марок 40 или 50 по ГОСТ 1050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Меди марки М2 по ГОСТ 859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Отсутствие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Дает потемнение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Температура вспышки, определяемая в открытом тигле, 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менее 135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Температура самовоспламенения, </w:t>
            </w: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°С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менее 165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жестяных банках (бидонах) по не менее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чем  40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кг;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Товар должен соответствовать ТУ38.1011332-90 изм. 1,2,3. Проба для испытаний должна быть отобрана в соответствии с ГОСТ 2517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restart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Смазка Атланта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(ВНИИ НП-254) Код ОКПД 2 –19.20.29.111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Внешний 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Однородная мягкая мазь темно-коричневого цвета с фиолетовым оттенком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шт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Вязкость эффективная при минус 50 ºС и среднем градиенте скорости деформации </w:t>
            </w:r>
            <m:oMath>
              <m:r>
                <w:rPr>
                  <w:rFonts w:ascii="Cambria Math" w:hAnsi="Cambria Math" w:cs="Times New Roman"/>
                  <w:sz w:val="22"/>
                  <w:szCs w:val="22"/>
                </w:rPr>
                <m:rPr/>
                <m:t>10∙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rPr/>
                    <m:t>с</m:t>
                  </m:r>
                </m:e>
                <m:sup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rPr/>
                    <m:t>-1</m:t>
                  </m:r>
                </m:sup>
              </m:sSup>
              <m:r>
                <w:rPr>
                  <w:rFonts w:ascii="Cambria Math" w:hAnsi="Cambria Math" w:cs="Times New Roman"/>
                  <w:sz w:val="22"/>
                  <w:szCs w:val="22"/>
                </w:rPr>
                <m:rPr/>
                <m:t>, Па∙с</m:t>
              </m:r>
            </m:oMath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не более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750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Предел прочности при температуре 50 С, Па в пределах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100-250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Температура каплепадения, ºС, не ниже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165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Коллоидная стабильность, % выделенного масла, не более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на коррозию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выдерживает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Содержание свободной щелочи в перерасчете на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NaOH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%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Не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Испоряемость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при 150 С за 1 час, %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Содержание воды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отсутствие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Содержание механических примесей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более  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,03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Фасовка в жестяных банках (бидонах) по не менее чем 0,85 кг;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Товар должен соответствовать ТУ 38.1011048-85.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restart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Смазка ВНИИ НП-232 Код ОКПД 2 –19.20.29.111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Внешний 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Однородная мазь без комков от темно-серого до черного цвета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шт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Коллоидная стабильность (выделенное масло), %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на коррозию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Выдерживает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Пенетрация при 25 град С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перемешиванием 0,1мм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160-210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Содержание механических примесей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Норма отсутствует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Содержание воды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Норма отсутствует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Фасовка в жестяных банках (бидонах) по 0,8 кг;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Товар должен соответствовать ГОСТ 14068-79.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restart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Смазка ВНИИ НП-282 Код ОКПД 2 –19.20.29.210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Внешний 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Однородная гладкой структуры от белого до светло-серого цвета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шт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Вязкость эффективная, Па*с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 50 °С и среднем градиенте скорости деформации 1000с '¹не менее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1,6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 минус 30 °Си среднем градиенте скорости деформации 10 с '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¹ ,не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1200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Предел прочности при 50 °С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200-700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Коллоидная стабильность в % выделенного масла,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Испаряемость при 150 °С, %,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Пенетрация при 25 °С, мм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нормируется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Коррозионное воздействие на металлы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Выдерживает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Содержание механических примесей диаметром частиц более 0,075мм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Отсутствие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Содержание воды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Норма отсутствует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Содержание механических примесей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Норма отсутствует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Фасовка в жестяных банках (бидонах) по не менее чем 0,8 кг;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2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Товар должен соответствовать ТУ 38.1011261-89 с изм.1-4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6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8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numPr>
          <w:ilvl w:val="0"/>
          <w:numId w:val="1"/>
        </w:numPr>
        <w:contextualSpacing/>
        <w:ind w:firstLine="709"/>
        <w:jc w:val="both"/>
        <w:tabs>
          <w:tab w:val="num" w:pos="-720" w:leader="none"/>
          <w:tab w:val="left" w:pos="456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Место поставки товаров</w:t>
      </w:r>
      <w:r>
        <w:rPr>
          <w:rFonts w:ascii="Times New Roman" w:hAnsi="Times New Roman" w:cs="Times New Roman"/>
          <w:iCs/>
          <w:sz w:val="22"/>
          <w:szCs w:val="22"/>
        </w:rPr>
        <w:t xml:space="preserve">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/>
        <w:ind w:firstLine="709"/>
        <w:jc w:val="both"/>
        <w:tabs>
          <w:tab w:val="left" w:pos="456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684005, Камчатский край, Елизовский муниципальный район, </w:t>
      </w:r>
      <w:r>
        <w:rPr>
          <w:rFonts w:ascii="Times New Roman" w:hAnsi="Times New Roman" w:cs="Times New Roman"/>
          <w:sz w:val="22"/>
          <w:szCs w:val="22"/>
        </w:rPr>
        <w:t xml:space="preserve">Елизовское</w:t>
      </w:r>
      <w:r>
        <w:rPr>
          <w:rFonts w:ascii="Times New Roman" w:hAnsi="Times New Roman" w:cs="Times New Roman"/>
          <w:sz w:val="22"/>
          <w:szCs w:val="22"/>
        </w:rPr>
        <w:t xml:space="preserve"> городское поселение, г. Елизово, ул. Звездная, д. 9/3.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numPr>
          <w:ilvl w:val="0"/>
          <w:numId w:val="1"/>
        </w:numPr>
        <w:contextualSpacing/>
        <w:ind w:firstLine="709"/>
        <w:jc w:val="both"/>
        <w:tabs>
          <w:tab w:val="left" w:pos="456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Срок и у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словия поставки товара: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/>
        <w:ind w:left="709"/>
        <w:jc w:val="both"/>
        <w:tabs>
          <w:tab w:val="left" w:pos="456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Срок поставки товаров</w:t>
      </w:r>
      <w:r>
        <w:rPr>
          <w:rFonts w:ascii="Times New Roman" w:hAnsi="Times New Roman" w:cs="Times New Roman"/>
          <w:sz w:val="22"/>
          <w:szCs w:val="22"/>
        </w:rPr>
        <w:t xml:space="preserve">:</w:t>
      </w:r>
      <w:r>
        <w:rPr>
          <w:rFonts w:ascii="Times New Roman" w:hAnsi="Times New Roman" w:cs="Times New Roman"/>
          <w:sz w:val="22"/>
          <w:szCs w:val="22"/>
        </w:rPr>
        <w:t xml:space="preserve"> с момента заключения договора по 31.12.2026г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52"/>
        <w:ind w:left="0" w:right="0"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 w:eastAsiaTheme="minorHAnsi"/>
          <w:sz w:val="22"/>
          <w:szCs w:val="22"/>
        </w:rPr>
        <w:t xml:space="preserve">Поставка Товара осуществляется согласно заявкам Заказчика. Срок исполнения заявки не более 45 (сорок пять) дней с момента</w:t>
      </w:r>
      <w:r>
        <w:rPr>
          <w:rFonts w:ascii="Times New Roman" w:hAnsi="Times New Roman" w:cs="Times New Roman"/>
          <w:sz w:val="22"/>
          <w:szCs w:val="22"/>
        </w:rPr>
        <w:t xml:space="preserve"> дней с момента поступления заявки от Заказчика</w:t>
      </w:r>
      <w:r>
        <w:rPr>
          <w:rFonts w:ascii="Times New Roman" w:hAnsi="Times New Roman" w:cs="Times New Roman" w:eastAsiaTheme="minorHAnsi"/>
          <w:sz w:val="22"/>
          <w:szCs w:val="22"/>
        </w:rPr>
        <w:t xml:space="preserve">. Вся партия масел выбирается четырьмя заявками Заказчика. Доставка товара, погрузочно-разгрузочные работы осуществляются силами и за счет средств Поставщика до склада Заказчика</w:t>
      </w:r>
      <w:r>
        <w:rPr>
          <w:rFonts w:ascii="Times New Roman" w:hAnsi="Times New Roman" w:cs="Times New Roman"/>
          <w:bCs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</w:rPr>
        <w:t xml:space="preserve">Поставщик обязан письменно согласовать с Покупателем дату поставки/доставки партии Товара в адрес Грузополучателя</w:t>
      </w:r>
      <w:r>
        <w:rPr>
          <w:rFonts w:ascii="Times New Roman" w:hAnsi="Times New Roman" w:cs="Times New Roman"/>
          <w:sz w:val="22"/>
          <w:szCs w:val="22"/>
        </w:rPr>
        <w:t xml:space="preserve">. Допускается согласование посредством электронной или факсимильной связи.</w:t>
      </w:r>
      <w:r>
        <w:rPr>
          <w:rFonts w:ascii="Times New Roman" w:hAnsi="Times New Roman" w:cs="Times New Roman"/>
          <w:sz w:val="22"/>
          <w:szCs w:val="22"/>
          <w:highlight w:val="green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Передача недостающего Товара, замена Товара, доукомплектование Товара, возврат Товара Поставщику осуществляется силами и за счет Поставщика и не подлежат компенсации со стороны Покупателя.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Место поста</w:t>
      </w:r>
      <w:r>
        <w:rPr>
          <w:rFonts w:ascii="Times New Roman" w:hAnsi="Times New Roman" w:cs="Times New Roman"/>
          <w:sz w:val="22"/>
          <w:szCs w:val="22"/>
        </w:rPr>
        <w:t xml:space="preserve">вки Товара находится на территории АО «МАПКЕ». Ввоз Товара осуществляется по пропускам. Поставщик оформляет пропуск в АО «МАПКЕ» на автомобиль, водителя, грузчика и материальный пропуск на Товар. Вся информация предоставлена на официальном сайте АО «МАПКЕ»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52"/>
        <w:ind w:left="0" w:right="0" w:firstLine="709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По возникшим вопросам, связанным с информацией о готовности, выдаче и оформлении пропуска Поставщик обращается в бюро пропусков АО «МАПКЕ».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6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50"/>
        <w:numPr>
          <w:ilvl w:val="0"/>
          <w:numId w:val="0"/>
        </w:numPr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Поставщик обязуется выполнять требования Норм, правил и процедур по транспортной безопасности, действующих на территории АО «КАП», а также обеспечить вы</w:t>
      </w:r>
      <w:r>
        <w:rPr>
          <w:sz w:val="22"/>
          <w:szCs w:val="22"/>
        </w:rPr>
        <w:t xml:space="preserve">полнение сотрудниками «Требований по соблюдению транспортной безопасности для физических лиц, следующих либо находящихся на объектах транспортной инфраструктуры или транспортных средствах, по видам транспорта», утвержденных Постановлением Правительства РФ.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52"/>
        <w:ind w:left="0" w:right="0" w:firstLine="709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Уведомление об отгрузке Товара направляется на адрес электронной почты </w:t>
      </w:r>
      <w:hyperlink r:id="rId10" w:tooltip="mailto:atb@aokap.ru" w:history="1">
        <w:r>
          <w:rPr>
            <w:rFonts w:ascii="Times New Roman" w:hAnsi="Times New Roman" w:cs="Times New Roman"/>
            <w:color w:val="0000ff"/>
            <w:spacing w:val="-2"/>
            <w:sz w:val="22"/>
            <w:szCs w:val="22"/>
            <w:u w:val="single"/>
          </w:rPr>
          <w:t xml:space="preserve">atb@aokap.ru</w:t>
        </w:r>
      </w:hyperlink>
      <w:r>
        <w:rPr>
          <w:rFonts w:ascii="Times New Roman" w:hAnsi="Times New Roman" w:cs="Times New Roman"/>
          <w:spacing w:val="-2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52"/>
        <w:ind w:left="0" w:right="0" w:firstLine="709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Уведомление</w:t>
      </w:r>
      <w:r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о</w:t>
      </w:r>
      <w:r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дате</w:t>
      </w:r>
      <w:r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привоза</w:t>
      </w:r>
      <w:r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Товара</w:t>
      </w:r>
      <w:r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и</w:t>
      </w:r>
      <w:r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для</w:t>
      </w:r>
      <w:r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согласования</w:t>
      </w:r>
      <w:r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времени</w:t>
      </w:r>
      <w:r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2"/>
          <w:sz w:val="22"/>
          <w:szCs w:val="22"/>
        </w:rPr>
        <w:t xml:space="preserve">передачи</w:t>
      </w:r>
      <w:r>
        <w:rPr>
          <w:rFonts w:ascii="Times New Roman" w:hAnsi="Times New Roman" w:cs="Times New Roman"/>
          <w:sz w:val="22"/>
          <w:szCs w:val="22"/>
        </w:rPr>
        <w:t xml:space="preserve"> Товара</w:t>
      </w:r>
      <w:r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направляется</w:t>
      </w:r>
      <w:r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на</w:t>
      </w:r>
      <w:r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электронный</w:t>
      </w:r>
      <w:r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адрес</w:t>
      </w:r>
      <w:r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ОМТС</w:t>
      </w:r>
      <w:r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АО</w:t>
      </w:r>
      <w:r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«КАП»</w:t>
      </w:r>
      <w:r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hyperlink r:id="rId11" w:tooltip="mailto:sopdp_pkc@mail.ru" w:history="1">
        <w:r>
          <w:rPr>
            <w:rFonts w:ascii="Times New Roman" w:hAnsi="Times New Roman" w:cs="Times New Roman"/>
            <w:spacing w:val="-2"/>
            <w:sz w:val="22"/>
            <w:szCs w:val="22"/>
          </w:rPr>
          <w:t xml:space="preserve">sopdp_pkc@mail.ru.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52"/>
        <w:ind w:left="0" w:right="0" w:firstLine="709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 случае отсутствия заявки на ввоз Товара или отсутствия пропуска на ввоз, Товар не принимается Покупателем.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52"/>
        <w:ind w:left="0" w:right="0" w:firstLine="709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numPr>
          <w:ilvl w:val="0"/>
          <w:numId w:val="1"/>
        </w:numPr>
        <w:contextualSpacing/>
        <w:ind w:firstLine="709"/>
        <w:jc w:val="both"/>
        <w:tabs>
          <w:tab w:val="left" w:pos="456" w:leader="none"/>
        </w:tabs>
        <w:rPr>
          <w:rFonts w:ascii="Times New Roman" w:hAnsi="Times New Roman" w:eastAsia="Calibri" w:cs="Times New Roman"/>
          <w:color w:val="000000"/>
          <w:sz w:val="22"/>
          <w:szCs w:val="22"/>
          <w:lang w:eastAsia="en-US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Формирование цены договора:</w:t>
      </w:r>
      <w:r>
        <w:rPr>
          <w:rFonts w:ascii="Times New Roman" w:hAnsi="Times New Roman" w:eastAsia="Calibri" w:cs="Times New Roman"/>
          <w:color w:val="000000"/>
          <w:sz w:val="22"/>
          <w:szCs w:val="22"/>
          <w:lang w:eastAsia="en-US"/>
        </w:rPr>
      </w:r>
      <w:r>
        <w:rPr>
          <w:rFonts w:ascii="Times New Roman" w:hAnsi="Times New Roman" w:eastAsia="Calibri" w:cs="Times New Roman"/>
          <w:color w:val="000000"/>
          <w:sz w:val="22"/>
          <w:szCs w:val="22"/>
          <w:lang w:eastAsia="en-US"/>
        </w:rPr>
      </w:r>
    </w:p>
    <w:p>
      <w:pPr>
        <w:contextualSpacing/>
        <w:ind w:firstLine="709"/>
        <w:jc w:val="both"/>
        <w:tabs>
          <w:tab w:val="left" w:pos="456" w:leader="none"/>
        </w:tabs>
        <w:rPr>
          <w:rFonts w:ascii="Times New Roman" w:hAnsi="Times New Roman" w:eastAsia="Calibri" w:cs="Times New Roman"/>
          <w:color w:val="000000"/>
          <w:sz w:val="22"/>
          <w:szCs w:val="22"/>
          <w:lang w:eastAsia="en-US"/>
        </w:rPr>
      </w:pPr>
      <w:r>
        <w:rPr>
          <w:rFonts w:ascii="Times New Roman" w:hAnsi="Times New Roman" w:eastAsia="Calibri" w:cs="Times New Roman"/>
          <w:color w:val="000000"/>
          <w:sz w:val="22"/>
          <w:szCs w:val="22"/>
          <w:lang w:eastAsia="en-US"/>
        </w:rPr>
        <w:t xml:space="preserve">Цена Договора включает стоимость товара, стоимость доставки, стоимость разгрузки, стоимость тары (упаковки),стоимость деревянной обрешетки банок(</w:t>
      </w:r>
      <w:r>
        <w:rPr>
          <w:rFonts w:ascii="Times New Roman" w:hAnsi="Times New Roman" w:eastAsia="Calibri" w:cs="Times New Roman"/>
          <w:color w:val="000000"/>
          <w:sz w:val="22"/>
          <w:szCs w:val="22"/>
          <w:lang w:eastAsia="en-US"/>
        </w:rPr>
        <w:t xml:space="preserve">бидонов) масла, страхования, уплату таможенных пошлин, налогов (в том числе НДС, если предусмотрен), сборов, стоимость гарантийных обязательств и все непредвиденные расходы, которые могут возникнуть до окончания действия Договора в связи с его исполнением.</w:t>
      </w:r>
      <w:r>
        <w:rPr>
          <w:rFonts w:ascii="Times New Roman" w:hAnsi="Times New Roman" w:eastAsia="Calibri" w:cs="Times New Roman"/>
          <w:color w:val="000000"/>
          <w:sz w:val="22"/>
          <w:szCs w:val="22"/>
          <w:lang w:eastAsia="en-US"/>
        </w:rPr>
      </w:r>
      <w:r>
        <w:rPr>
          <w:rFonts w:ascii="Times New Roman" w:hAnsi="Times New Roman" w:eastAsia="Calibri" w:cs="Times New Roman"/>
          <w:color w:val="000000"/>
          <w:sz w:val="22"/>
          <w:szCs w:val="22"/>
          <w:lang w:eastAsia="en-US"/>
        </w:rPr>
      </w:r>
    </w:p>
    <w:p>
      <w:pPr>
        <w:numPr>
          <w:ilvl w:val="0"/>
          <w:numId w:val="1"/>
        </w:numPr>
        <w:contextualSpacing/>
        <w:ind w:firstLine="709"/>
        <w:jc w:val="both"/>
        <w:tabs>
          <w:tab w:val="left" w:pos="456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Общие требования к товарам: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/>
        <w:ind w:firstLine="709"/>
        <w:jc w:val="both"/>
        <w:tabs>
          <w:tab w:val="left" w:pos="456" w:leader="none"/>
        </w:tabs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Товар должен быть новым, </w:t>
      </w:r>
      <w:r>
        <w:rPr>
          <w:rFonts w:ascii="Times New Roman" w:hAnsi="Times New Roman" w:cs="Times New Roman"/>
          <w:bCs/>
          <w:sz w:val="22"/>
          <w:szCs w:val="22"/>
        </w:rPr>
        <w:t xml:space="preserve">срок изготовления не ранее 2026 года</w:t>
      </w:r>
      <w:r>
        <w:rPr>
          <w:rFonts w:ascii="Times New Roman" w:hAnsi="Times New Roman" w:cs="Times New Roman"/>
          <w:bCs/>
          <w:sz w:val="22"/>
          <w:szCs w:val="22"/>
        </w:rPr>
        <w:t xml:space="preserve">, </w:t>
      </w:r>
      <w:r>
        <w:rPr>
          <w:rFonts w:ascii="Times New Roman" w:hAnsi="Times New Roman" w:cs="Times New Roman"/>
          <w:bCs/>
          <w:sz w:val="22"/>
          <w:szCs w:val="22"/>
        </w:rPr>
        <w:t xml:space="preserve">который не был в употреблении и у товара не были восстановлены потребительские свойства, свободным от любых притязаний третьих лиц, не находящимся под запретом (арестом), в залоге</w:t>
      </w:r>
      <w:r>
        <w:rPr>
          <w:rFonts w:ascii="Times New Roman" w:hAnsi="Times New Roman" w:cs="Times New Roman"/>
          <w:bCs/>
          <w:sz w:val="22"/>
          <w:szCs w:val="22"/>
        </w:rPr>
        <w:t xml:space="preserve">.</w:t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contextualSpacing/>
        <w:ind w:firstLine="709"/>
        <w:jc w:val="both"/>
        <w:tabs>
          <w:tab w:val="left" w:pos="456" w:leader="none"/>
        </w:tabs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numPr>
          <w:ilvl w:val="0"/>
          <w:numId w:val="1"/>
        </w:numPr>
        <w:contextualSpacing/>
        <w:ind w:firstLine="709"/>
        <w:jc w:val="both"/>
        <w:tabs>
          <w:tab w:val="left" w:pos="456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Требования к качеству товаров, качественным (потребительским) свойствам товаров: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Качество, комплектность и характеристики поставляемого товара должны соответствовать действующим обязательным требованиям государственных стандартов, техническим условиям и иной НТД (должно соответствовать требованиям технических условий и сер</w:t>
      </w:r>
      <w:r>
        <w:rPr>
          <w:rFonts w:ascii="Times New Roman" w:hAnsi="Times New Roman" w:cs="Times New Roman"/>
          <w:bCs/>
          <w:sz w:val="22"/>
          <w:szCs w:val="22"/>
        </w:rPr>
        <w:t xml:space="preserve">тификату соответствия стандартам завода изготовителя). Поставщик должен предоставить Заказнику, паспорт качества, паспорт безопасности на каждую партию Товара. Поставщик должен предоставить документацию по применению и контролю качества продукции и безопас</w:t>
      </w:r>
      <w:r>
        <w:rPr>
          <w:rFonts w:ascii="Times New Roman" w:hAnsi="Times New Roman" w:cs="Times New Roman"/>
          <w:bCs/>
          <w:sz w:val="22"/>
          <w:szCs w:val="22"/>
        </w:rPr>
        <w:t xml:space="preserve">ным условиям ее использования. </w:t>
      </w:r>
      <w:r>
        <w:rPr>
          <w:rFonts w:ascii="Times New Roman" w:hAnsi="Times New Roman" w:cs="Times New Roman"/>
          <w:bCs/>
          <w:sz w:val="22"/>
          <w:szCs w:val="22"/>
        </w:rPr>
        <w:t xml:space="preserve">Проба для испытаний должна быть отобрана в соответствии с ГОСТ 2517</w:t>
      </w:r>
      <w:r>
        <w:rPr>
          <w:rFonts w:ascii="Times New Roman" w:hAnsi="Times New Roman" w:cs="Times New Roman"/>
          <w:bCs/>
          <w:sz w:val="22"/>
          <w:szCs w:val="22"/>
        </w:rPr>
        <w:t xml:space="preserve">-2012</w:t>
      </w:r>
      <w:r>
        <w:rPr>
          <w:rFonts w:ascii="Times New Roman" w:hAnsi="Times New Roman" w:cs="Times New Roman"/>
          <w:bCs/>
          <w:sz w:val="22"/>
          <w:szCs w:val="22"/>
        </w:rPr>
        <w:t xml:space="preserve">. </w:t>
      </w:r>
      <w:r>
        <w:rPr>
          <w:rFonts w:ascii="Times New Roman" w:hAnsi="Times New Roman" w:cs="Times New Roman"/>
          <w:bCs/>
          <w:sz w:val="22"/>
          <w:szCs w:val="22"/>
        </w:rPr>
        <w:t xml:space="preserve">В документации указываются ее основные потребительские свойства, условия хранения и применения. Все документы должны быть на русском языке, заверенные печатью завода изготовителя и синей печатью с подписью Поставщика.</w:t>
      </w:r>
      <w:r>
        <w:rPr>
          <w:rFonts w:ascii="Times New Roman" w:hAnsi="Times New Roman" w:cs="Times New Roman"/>
          <w:bCs/>
          <w:sz w:val="22"/>
          <w:szCs w:val="22"/>
        </w:rPr>
        <w:t xml:space="preserve"> Остаточный гарантийный срок годности Товара на момент поставки, считая от даты изготовления товара, не менее 90%.</w:t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numPr>
          <w:ilvl w:val="0"/>
          <w:numId w:val="1"/>
        </w:numPr>
        <w:contextualSpacing/>
        <w:ind w:firstLine="709"/>
        <w:jc w:val="both"/>
        <w:tabs>
          <w:tab w:val="left" w:pos="456" w:leader="none"/>
        </w:tabs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Требования по передаче заказчику технических и иных документов при поставке товаров:</w:t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Cs/>
          <w:sz w:val="22"/>
          <w:szCs w:val="22"/>
          <w:highlight w:val="none"/>
        </w:rPr>
        <w:t xml:space="preserve">На каждую партию поставляемых ГСМ Поставщик обязан предоставить Заказчику паспорт качества (сертификат соответствия),</w:t>
      </w:r>
      <w:r>
        <w:rPr>
          <w:rFonts w:ascii="Times New Roman" w:hAnsi="Times New Roman" w:cs="Times New Roman"/>
          <w:bCs/>
          <w:sz w:val="22"/>
          <w:szCs w:val="22"/>
          <w:highlight w:val="yellow"/>
        </w:rPr>
        <w:t xml:space="preserve"> выданный военным представительством МО РФ</w:t>
      </w:r>
      <w:r>
        <w:rPr>
          <w:rFonts w:ascii="Times New Roman" w:hAnsi="Times New Roman" w:cs="Times New Roman"/>
          <w:bCs/>
          <w:sz w:val="22"/>
          <w:szCs w:val="22"/>
          <w:highlight w:val="none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Каждое изделие (Товар) должно иметь Паспорта (этикетки) должны быть оформлены в соответствии с требованиями конструкторской документации и заверены, синей печатью.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numPr>
          <w:ilvl w:val="0"/>
          <w:numId w:val="1"/>
        </w:numPr>
        <w:contextualSpacing/>
        <w:ind w:firstLine="709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Требования к безопасности товаров:</w:t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Поставщик гарантирует </w:t>
      </w:r>
      <w:r>
        <w:rPr>
          <w:rFonts w:ascii="Times New Roman" w:hAnsi="Times New Roman" w:cs="Times New Roman"/>
          <w:bCs/>
          <w:sz w:val="22"/>
          <w:szCs w:val="22"/>
        </w:rPr>
        <w:t xml:space="preserve">качество и безопасность поставляемого товара в соответствии с эксплуатационно-технической документацией воздушных судов, действующими стандартами, утвержденными в отношении данного вида товара, и наличие сертификатов, обязательных для данного вида товара. </w:t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</w:r>
      <w:r>
        <w:rPr>
          <w:rFonts w:ascii="Times New Roman" w:hAnsi="Times New Roman" w:cs="Times New Roman"/>
          <w:iCs/>
          <w:sz w:val="22"/>
          <w:szCs w:val="22"/>
        </w:rPr>
      </w:r>
      <w:r>
        <w:rPr>
          <w:rFonts w:ascii="Times New Roman" w:hAnsi="Times New Roman" w:cs="Times New Roman"/>
          <w:iCs/>
          <w:sz w:val="22"/>
          <w:szCs w:val="22"/>
        </w:rPr>
      </w:r>
    </w:p>
    <w:p>
      <w:pPr>
        <w:pStyle w:val="952"/>
        <w:ind w:left="0" w:right="0" w:firstLine="709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Порядок сдачи и приемки товаров: </w:t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952"/>
        <w:ind w:left="0" w:right="0"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Приемка товара по качеству и количеству</w:t>
      </w:r>
      <w:r>
        <w:rPr>
          <w:rFonts w:ascii="Times New Roman" w:hAnsi="Times New Roman" w:cs="Times New Roman"/>
          <w:sz w:val="22"/>
          <w:szCs w:val="22"/>
        </w:rPr>
        <w:t xml:space="preserve"> осуществляется уполномоченными сторонами в течении 5 (пяти рабочих дней с даты, когда Товар будет передан Покупателю. При передаче Товара Покупателю представитель Покупателя проводит внешний осмотр Товара, затем состояние упаковки Товара, его целостность,</w:t>
      </w:r>
      <w:r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наличие</w:t>
      </w:r>
      <w:r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маркировки,</w:t>
      </w:r>
      <w:r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соответствие</w:t>
      </w:r>
      <w:r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Товара</w:t>
      </w:r>
      <w:r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сопроводительным</w:t>
      </w:r>
      <w:r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документа (товарным</w:t>
      </w:r>
      <w:r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накладным</w:t>
      </w:r>
      <w:r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по</w:t>
      </w:r>
      <w:r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форме</w:t>
      </w:r>
      <w:r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ТОРГ-12</w:t>
      </w:r>
      <w:r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или</w:t>
      </w:r>
      <w:r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УПД,</w:t>
      </w:r>
      <w:r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сертификатам</w:t>
      </w:r>
      <w:r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соответствия,</w:t>
      </w:r>
      <w:r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иным документам, проверяемым вместе с Товаром).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52"/>
        <w:ind w:left="0" w:right="0"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По результатам проверки представитель Покупателя подписывает </w:t>
      </w:r>
      <w:r>
        <w:rPr>
          <w:rFonts w:ascii="Times New Roman" w:hAnsi="Times New Roman" w:cs="Times New Roman"/>
          <w:sz w:val="22"/>
          <w:szCs w:val="22"/>
        </w:rPr>
        <w:t xml:space="preserve">приемо</w:t>
      </w:r>
      <w:r>
        <w:rPr>
          <w:rFonts w:ascii="Times New Roman" w:hAnsi="Times New Roman" w:cs="Times New Roman"/>
          <w:sz w:val="22"/>
          <w:szCs w:val="22"/>
        </w:rPr>
        <w:t xml:space="preserve">-передаточные</w:t>
      </w:r>
      <w:r>
        <w:rPr>
          <w:rFonts w:ascii="Times New Roman" w:hAnsi="Times New Roman" w:cs="Times New Roman"/>
          <w:sz w:val="22"/>
          <w:szCs w:val="22"/>
        </w:rPr>
        <w:t xml:space="preserve"> документы.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/>
        <w:ind w:left="709"/>
        <w:jc w:val="both"/>
        <w:tabs>
          <w:tab w:val="left" w:pos="0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numPr>
          <w:ilvl w:val="0"/>
          <w:numId w:val="1"/>
        </w:numPr>
        <w:contextualSpacing/>
        <w:ind w:firstLine="709"/>
        <w:jc w:val="both"/>
        <w:tabs>
          <w:tab w:val="left" w:pos="0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Требования к упаковке товара: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/>
        <w:ind w:firstLine="709"/>
        <w:jc w:val="both"/>
        <w:tabs>
          <w:tab w:val="left" w:pos="0" w:leader="none"/>
        </w:tabs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ab/>
        <w:t xml:space="preserve">Упаковка товара должна обеспечивать его сохранность от всякого рода повреждений при транспортировке, погрузке-разгрузке и хранении в складском помещении. Товар должен отгружаться в </w:t>
      </w:r>
      <w:r>
        <w:rPr>
          <w:rFonts w:ascii="Times New Roman" w:hAnsi="Times New Roman" w:cs="Times New Roman"/>
          <w:bCs/>
          <w:sz w:val="22"/>
          <w:szCs w:val="22"/>
        </w:rPr>
        <w:t xml:space="preserve">упаковке, соответствующей характеру поставляемого товара и способу транспортировки. Стоимость упаковки включается в цену Договора. Поставляемые масла и многоцелевые смазки в банках 15 кг должны быть упакованы в деревянной обрешетке.</w:t>
      </w:r>
      <w:r>
        <w:rPr>
          <w:rFonts w:ascii="Times New Roman" w:hAnsi="Times New Roman" w:cs="Times New Roman"/>
          <w:bCs/>
          <w:sz w:val="22"/>
          <w:szCs w:val="22"/>
        </w:rPr>
        <w:t xml:space="preserve"> Товар поставляется в упаковке и таре, обеспечивающей полную сохранность Товара при хранении, перевозке и разгрузке. </w:t>
      </w:r>
      <w:r>
        <w:rPr>
          <w:rFonts w:ascii="Times New Roman" w:hAnsi="Times New Roman" w:cs="Times New Roman"/>
          <w:bCs/>
          <w:sz w:val="22"/>
          <w:szCs w:val="22"/>
        </w:rPr>
        <w:t xml:space="preserve">Размер и упаковка должны соответствовать требованиям ГОСТ </w:t>
      </w:r>
      <w:r>
        <w:rPr>
          <w:rFonts w:ascii="Times New Roman" w:hAnsi="Times New Roman" w:cs="Times New Roman"/>
          <w:bCs/>
          <w:sz w:val="22"/>
          <w:szCs w:val="22"/>
        </w:rPr>
        <w:t xml:space="preserve">1510-2022</w:t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contextualSpacing/>
        <w:ind w:firstLine="709"/>
        <w:jc w:val="both"/>
        <w:tabs>
          <w:tab w:val="left" w:pos="0" w:leader="none"/>
        </w:tabs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numPr>
          <w:ilvl w:val="0"/>
          <w:numId w:val="1"/>
        </w:numPr>
        <w:contextualSpacing/>
        <w:ind w:firstLine="709"/>
        <w:jc w:val="both"/>
        <w:tabs>
          <w:tab w:val="left" w:pos="0" w:leader="none"/>
        </w:tabs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Гарантийные обязательства Поставщика: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contextualSpacing/>
        <w:ind w:firstLine="709"/>
        <w:jc w:val="both"/>
        <w:tabs>
          <w:tab w:val="left" w:pos="0" w:leader="none"/>
        </w:tabs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Гарантийные обязательства на Товар устанавливаются согласно гарантийным обязательствам завода-изготовителя.</w:t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Поставляемые Товары должны соответствовать заявленным в описании техническим характеристикам и требованиям государственных стандартов РФ в течение всего установленного производителем срока службы, в том числе ГОСТам, ТУ.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Поставщик гарантирует, что поставляемый Товар является новым, свободен от залога, ареста, удержания и/или любых других обременений, при этом Товар должен иметь необходимые допуски и разрешения для ввоза на территорию Российской Федерации.</w:t>
      </w:r>
      <w:r>
        <w:rPr>
          <w:rFonts w:ascii="Times New Roman" w:hAnsi="Times New Roman" w:cs="Times New Roman"/>
          <w:sz w:val="22"/>
          <w:szCs w:val="22"/>
        </w:rPr>
        <w:t xml:space="preserve"> В случае нарушения данного обязательства Поставщик обязуется по выбору Покупателя либо заменить соответствующую часть Товара, либо возместить его стоимость. Поставщик гарантирует Покупателю безусловное возмещение любых убытков, вызванных таким нарушением.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 случае, если при приемке по количеству обнаружена недостача Товара, нарушение целостности упаковки Товара, отсутствие маркировки, несоответствие Товара сопроводительным документам и иные обстоятельства, которые могут повлиять на коли</w:t>
      </w:r>
      <w:r>
        <w:rPr>
          <w:rFonts w:ascii="Times New Roman" w:hAnsi="Times New Roman" w:cs="Times New Roman"/>
          <w:sz w:val="22"/>
          <w:szCs w:val="22"/>
        </w:rPr>
        <w:t xml:space="preserve">чество и качество передаваемого Товара, Покупатель составляет Акт об обнаруженных недостатках Товара. Покупатель вправе отказаться от приемки такого Товара, недостатки по количеству, которого обнаружены. При этом такой Товар будет считаться непоставленным.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Требования Покупателя о доукомплектовании и замене Товара должны быть исполнены Поставщиком в кратчайшие сроки и не позднее 45 календарных дней с даты направления на электронные адреса Поставщика, уведомления о поставке недостающего, заменяемого Товара.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Передача недостающего Товара, доукомплектование Товара, возврат Товара и его замена Поставщику осуществляется силами и за счет Поставщика и не подлежат компенсации со стороны Покупателя.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/>
        <w:ind w:firstLine="709"/>
        <w:jc w:val="both"/>
        <w:tabs>
          <w:tab w:val="left" w:pos="0" w:leader="none"/>
        </w:tabs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contextualSpacing/>
        <w:ind w:firstLine="709"/>
        <w:jc w:val="both"/>
        <w:tabs>
          <w:tab w:val="left" w:pos="0" w:leader="none"/>
        </w:tabs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ambria Math">
    <w:panose1 w:val="02040503050406030204"/>
  </w:font>
  <w:font w:name="Symbol">
    <w:panose1 w:val="05050102010706020507"/>
  </w:font>
  <w:font w:name="Courier New">
    <w:panose1 w:val="02070309020205020404"/>
  </w:font>
  <w:font w:name="Microsoft Sans Serif">
    <w:panose1 w:val="020B0604020202020204"/>
  </w:font>
  <w:font w:name="Tahoma">
    <w:panose1 w:val="020B0604030504040204"/>
  </w:font>
  <w:font w:name="Arial Narrow">
    <w:panose1 w:val="020B0606020202030204"/>
  </w:font>
  <w:font w:name="Times New Roman">
    <w:panose1 w:val="02020603050405020304"/>
  </w:font>
  <w:font w:name="Century">
    <w:panose1 w:val="02040604050505020304"/>
  </w:font>
  <w:font w:name="Wingdings">
    <w:panose1 w:val="05000000000000000000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0">
    <w:multiLevelType w:val="hybridMultilevel"/>
    <w:lvl w:ilvl="0">
      <w:start w:val="1"/>
      <w:numFmt w:val="decimal"/>
      <w:pStyle w:val="950"/>
      <w:isLgl w:val="false"/>
      <w:suff w:val="tab"/>
      <w:lvlText w:val="%1."/>
      <w:lvlJc w:val="left"/>
      <w:pPr>
        <w:ind w:left="1499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21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3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5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7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9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1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3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59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egacy w:legacy="1" w:legacyIndent="317" w:legacySpace="0"/>
      <w:lvlJc w:val="left"/>
      <w:pPr/>
      <w:rPr>
        <w:rFonts w:hint="default" w:ascii="Times New Roman" w:hAnsi="Times New Roman" w:cs="Times New Roman"/>
        <w:b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79" w:hanging="495"/>
      </w:pPr>
      <w:rPr>
        <w:rFonts w:hint="default"/>
      </w:rPr>
    </w:lvl>
    <w:lvl w:ilvl="1">
      <w:start w:val="1"/>
      <w:numFmt w:val="decimal"/>
      <w:isLgl w:val="false"/>
      <w:suff w:val="space"/>
      <w:lvlText w:val="%1.%2."/>
      <w:lvlJc w:val="left"/>
      <w:pPr>
        <w:ind w:left="1063" w:hanging="495"/>
      </w:pPr>
      <w:rPr>
        <w:rFonts w:hint="default"/>
        <w:b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2139" w:hanging="720"/>
      </w:pPr>
      <w:rPr>
        <w:rFonts w:hint="default" w:ascii="Times New Roman" w:hAnsi="Times New Roman" w:cs="Times New Roman"/>
        <w:b w:val="0"/>
        <w:sz w:val="24"/>
        <w:szCs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04" w:hanging="720"/>
      </w:pPr>
      <w:rPr>
        <w:rFonts w:hint="default" w:ascii="Arial Narrow" w:hAnsi="Arial Narrow"/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79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42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0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48" w:hanging="1800"/>
      </w:pPr>
      <w:rPr>
        <w:rFonts w:hint="default"/>
      </w:rPr>
    </w:lvl>
  </w:abstractNum>
  <w:abstractNum w:abstractNumId="3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25"/>
  </w:num>
  <w:num w:numId="3">
    <w:abstractNumId w:val="32"/>
  </w:num>
  <w:num w:numId="4">
    <w:abstractNumId w:val="21"/>
  </w:num>
  <w:num w:numId="5">
    <w:abstractNumId w:val="34"/>
  </w:num>
  <w:num w:numId="6">
    <w:abstractNumId w:val="24"/>
  </w:num>
  <w:num w:numId="7">
    <w:abstractNumId w:val="1"/>
  </w:num>
  <w:num w:numId="8">
    <w:abstractNumId w:val="9"/>
  </w:num>
  <w:num w:numId="9">
    <w:abstractNumId w:val="16"/>
  </w:num>
  <w:num w:numId="10">
    <w:abstractNumId w:val="19"/>
  </w:num>
  <w:num w:numId="11">
    <w:abstractNumId w:val="33"/>
  </w:num>
  <w:num w:numId="12">
    <w:abstractNumId w:val="38"/>
  </w:num>
  <w:num w:numId="13">
    <w:abstractNumId w:val="22"/>
  </w:num>
  <w:num w:numId="14">
    <w:abstractNumId w:val="0"/>
  </w:num>
  <w:num w:numId="15">
    <w:abstractNumId w:val="4"/>
  </w:num>
  <w:num w:numId="16">
    <w:abstractNumId w:val="35"/>
  </w:num>
  <w:num w:numId="17">
    <w:abstractNumId w:val="30"/>
  </w:num>
  <w:num w:numId="18">
    <w:abstractNumId w:val="41"/>
  </w:num>
  <w:num w:numId="19">
    <w:abstractNumId w:val="42"/>
  </w:num>
  <w:num w:numId="20">
    <w:abstractNumId w:val="23"/>
  </w:num>
  <w:num w:numId="21">
    <w:abstractNumId w:val="13"/>
  </w:num>
  <w:num w:numId="22">
    <w:abstractNumId w:val="17"/>
  </w:num>
  <w:num w:numId="23">
    <w:abstractNumId w:val="2"/>
  </w:num>
  <w:num w:numId="24">
    <w:abstractNumId w:val="36"/>
  </w:num>
  <w:num w:numId="25">
    <w:abstractNumId w:val="10"/>
  </w:num>
  <w:num w:numId="26">
    <w:abstractNumId w:val="40"/>
  </w:num>
  <w:num w:numId="27">
    <w:abstractNumId w:val="44"/>
  </w:num>
  <w:num w:numId="28">
    <w:abstractNumId w:val="18"/>
  </w:num>
  <w:num w:numId="29">
    <w:abstractNumId w:val="14"/>
  </w:num>
  <w:num w:numId="30">
    <w:abstractNumId w:val="3"/>
  </w:num>
  <w:num w:numId="31">
    <w:abstractNumId w:val="27"/>
  </w:num>
  <w:num w:numId="32">
    <w:abstractNumId w:val="7"/>
  </w:num>
  <w:num w:numId="33">
    <w:abstractNumId w:val="6"/>
  </w:num>
  <w:num w:numId="34">
    <w:abstractNumId w:val="8"/>
  </w:num>
  <w:num w:numId="35">
    <w:abstractNumId w:val="29"/>
  </w:num>
  <w:num w:numId="36">
    <w:abstractNumId w:val="43"/>
  </w:num>
  <w:num w:numId="37">
    <w:abstractNumId w:val="37"/>
  </w:num>
  <w:num w:numId="38">
    <w:abstractNumId w:val="28"/>
  </w:num>
  <w:num w:numId="39">
    <w:abstractNumId w:val="20"/>
  </w:num>
  <w:num w:numId="40">
    <w:abstractNumId w:val="5"/>
  </w:num>
  <w:num w:numId="41">
    <w:abstractNumId w:val="11"/>
  </w:num>
  <w:num w:numId="42">
    <w:abstractNumId w:val="31"/>
  </w:num>
  <w:num w:numId="43">
    <w:abstractNumId w:val="39"/>
  </w:num>
  <w:num w:numId="44">
    <w:abstractNumId w:val="12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5">
    <w:name w:val="Heading 1 Char"/>
    <w:basedOn w:val="773"/>
    <w:link w:val="764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46">
    <w:name w:val="Heading 2 Char"/>
    <w:basedOn w:val="773"/>
    <w:link w:val="765"/>
    <w:uiPriority w:val="9"/>
    <w:rPr>
      <w:rFonts w:ascii="Liberation Sans" w:hAnsi="Liberation Sans" w:eastAsia="Liberation Sans" w:cs="Liberation Sans"/>
      <w:sz w:val="34"/>
    </w:rPr>
  </w:style>
  <w:style w:type="character" w:styleId="747">
    <w:name w:val="Heading 3 Char"/>
    <w:basedOn w:val="773"/>
    <w:link w:val="766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48">
    <w:name w:val="Heading 4 Char"/>
    <w:basedOn w:val="773"/>
    <w:link w:val="767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49">
    <w:name w:val="Heading 5 Char"/>
    <w:basedOn w:val="773"/>
    <w:link w:val="768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50">
    <w:name w:val="Heading 6 Char"/>
    <w:basedOn w:val="773"/>
    <w:link w:val="769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51">
    <w:name w:val="Heading 7 Char"/>
    <w:basedOn w:val="773"/>
    <w:link w:val="770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52">
    <w:name w:val="Heading 8 Char"/>
    <w:basedOn w:val="773"/>
    <w:link w:val="771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53">
    <w:name w:val="Heading 9 Char"/>
    <w:basedOn w:val="773"/>
    <w:link w:val="772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54">
    <w:name w:val="Title Char"/>
    <w:basedOn w:val="773"/>
    <w:link w:val="786"/>
    <w:uiPriority w:val="10"/>
    <w:rPr>
      <w:sz w:val="48"/>
      <w:szCs w:val="48"/>
    </w:rPr>
  </w:style>
  <w:style w:type="character" w:styleId="755">
    <w:name w:val="Subtitle Char"/>
    <w:basedOn w:val="773"/>
    <w:link w:val="788"/>
    <w:uiPriority w:val="11"/>
    <w:rPr>
      <w:sz w:val="24"/>
      <w:szCs w:val="24"/>
    </w:rPr>
  </w:style>
  <w:style w:type="character" w:styleId="756">
    <w:name w:val="Quote Char"/>
    <w:link w:val="790"/>
    <w:uiPriority w:val="29"/>
    <w:rPr>
      <w:i/>
    </w:rPr>
  </w:style>
  <w:style w:type="character" w:styleId="757">
    <w:name w:val="Intense Quote Char"/>
    <w:link w:val="792"/>
    <w:uiPriority w:val="30"/>
    <w:rPr>
      <w:i/>
    </w:rPr>
  </w:style>
  <w:style w:type="character" w:styleId="758">
    <w:name w:val="Header Char"/>
    <w:basedOn w:val="773"/>
    <w:link w:val="794"/>
    <w:uiPriority w:val="99"/>
  </w:style>
  <w:style w:type="character" w:styleId="759">
    <w:name w:val="Footer Char"/>
    <w:basedOn w:val="773"/>
    <w:link w:val="796"/>
    <w:uiPriority w:val="99"/>
  </w:style>
  <w:style w:type="character" w:styleId="760">
    <w:name w:val="Caption Char"/>
    <w:basedOn w:val="773"/>
    <w:link w:val="798"/>
    <w:uiPriority w:val="35"/>
    <w:rPr>
      <w:b/>
      <w:bCs/>
      <w:color w:val="4f81bd" w:themeColor="accent1"/>
      <w:sz w:val="18"/>
      <w:szCs w:val="18"/>
    </w:rPr>
  </w:style>
  <w:style w:type="character" w:styleId="761">
    <w:name w:val="Footnote Text Char"/>
    <w:link w:val="926"/>
    <w:uiPriority w:val="99"/>
    <w:rPr>
      <w:sz w:val="18"/>
    </w:rPr>
  </w:style>
  <w:style w:type="character" w:styleId="762">
    <w:name w:val="Endnote Text Char"/>
    <w:link w:val="929"/>
    <w:uiPriority w:val="99"/>
    <w:rPr>
      <w:sz w:val="20"/>
    </w:rPr>
  </w:style>
  <w:style w:type="paragraph" w:styleId="763" w:default="1">
    <w:name w:val="Normal"/>
    <w:qFormat/>
    <w:pPr>
      <w:spacing w:after="0" w:line="240" w:lineRule="auto"/>
    </w:pPr>
    <w:rPr>
      <w:rFonts w:ascii="Century" w:hAnsi="Century" w:eastAsia="Times New Roman" w:cs="Century"/>
      <w:sz w:val="20"/>
      <w:szCs w:val="20"/>
      <w:lang w:eastAsia="ru-RU"/>
    </w:rPr>
  </w:style>
  <w:style w:type="paragraph" w:styleId="764">
    <w:name w:val="Heading 1"/>
    <w:basedOn w:val="763"/>
    <w:next w:val="763"/>
    <w:link w:val="77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paragraph" w:styleId="765">
    <w:name w:val="Heading 2"/>
    <w:basedOn w:val="763"/>
    <w:next w:val="763"/>
    <w:link w:val="77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paragraph" w:styleId="766">
    <w:name w:val="Heading 3"/>
    <w:basedOn w:val="763"/>
    <w:next w:val="763"/>
    <w:link w:val="778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paragraph" w:styleId="767">
    <w:name w:val="Heading 4"/>
    <w:basedOn w:val="763"/>
    <w:next w:val="763"/>
    <w:link w:val="779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68">
    <w:name w:val="Heading 5"/>
    <w:basedOn w:val="763"/>
    <w:next w:val="763"/>
    <w:link w:val="780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69">
    <w:name w:val="Heading 6"/>
    <w:basedOn w:val="763"/>
    <w:next w:val="763"/>
    <w:link w:val="781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70">
    <w:name w:val="Heading 7"/>
    <w:basedOn w:val="763"/>
    <w:next w:val="763"/>
    <w:link w:val="782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71">
    <w:name w:val="Heading 8"/>
    <w:basedOn w:val="763"/>
    <w:next w:val="763"/>
    <w:link w:val="783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72">
    <w:name w:val="Heading 9"/>
    <w:basedOn w:val="763"/>
    <w:next w:val="763"/>
    <w:link w:val="784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73" w:default="1">
    <w:name w:val="Default Paragraph Font"/>
    <w:uiPriority w:val="1"/>
    <w:semiHidden/>
    <w:unhideWhenUsed/>
  </w:style>
  <w:style w:type="table" w:styleId="7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5" w:default="1">
    <w:name w:val="No List"/>
    <w:uiPriority w:val="99"/>
    <w:semiHidden/>
    <w:unhideWhenUsed/>
  </w:style>
  <w:style w:type="character" w:styleId="776" w:customStyle="1">
    <w:name w:val="Заголовок 1 Знак"/>
    <w:basedOn w:val="773"/>
    <w:link w:val="764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77" w:customStyle="1">
    <w:name w:val="Заголовок 2 Знак"/>
    <w:basedOn w:val="773"/>
    <w:link w:val="765"/>
    <w:uiPriority w:val="9"/>
    <w:rPr>
      <w:rFonts w:ascii="Liberation Sans" w:hAnsi="Liberation Sans" w:eastAsia="Liberation Sans" w:cs="Liberation Sans"/>
      <w:sz w:val="34"/>
    </w:rPr>
  </w:style>
  <w:style w:type="character" w:styleId="778" w:customStyle="1">
    <w:name w:val="Заголовок 3 Знак"/>
    <w:basedOn w:val="773"/>
    <w:link w:val="766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79" w:customStyle="1">
    <w:name w:val="Заголовок 4 Знак"/>
    <w:basedOn w:val="773"/>
    <w:link w:val="767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80" w:customStyle="1">
    <w:name w:val="Заголовок 5 Знак"/>
    <w:basedOn w:val="773"/>
    <w:link w:val="768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81" w:customStyle="1">
    <w:name w:val="Заголовок 6 Знак"/>
    <w:basedOn w:val="773"/>
    <w:link w:val="769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82" w:customStyle="1">
    <w:name w:val="Заголовок 7 Знак"/>
    <w:basedOn w:val="773"/>
    <w:link w:val="770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83" w:customStyle="1">
    <w:name w:val="Заголовок 8 Знак"/>
    <w:basedOn w:val="773"/>
    <w:link w:val="771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84" w:customStyle="1">
    <w:name w:val="Заголовок 9 Знак"/>
    <w:basedOn w:val="773"/>
    <w:link w:val="772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85">
    <w:name w:val="No Spacing"/>
    <w:uiPriority w:val="1"/>
    <w:qFormat/>
    <w:pPr>
      <w:spacing w:after="0" w:line="240" w:lineRule="auto"/>
    </w:pPr>
  </w:style>
  <w:style w:type="paragraph" w:styleId="786">
    <w:name w:val="Title"/>
    <w:basedOn w:val="763"/>
    <w:next w:val="763"/>
    <w:link w:val="78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7" w:customStyle="1">
    <w:name w:val="Заголовок Знак"/>
    <w:basedOn w:val="773"/>
    <w:link w:val="786"/>
    <w:uiPriority w:val="10"/>
    <w:rPr>
      <w:sz w:val="48"/>
      <w:szCs w:val="48"/>
    </w:rPr>
  </w:style>
  <w:style w:type="paragraph" w:styleId="788">
    <w:name w:val="Subtitle"/>
    <w:basedOn w:val="763"/>
    <w:next w:val="763"/>
    <w:link w:val="789"/>
    <w:uiPriority w:val="11"/>
    <w:qFormat/>
    <w:pPr>
      <w:spacing w:before="200" w:after="200"/>
    </w:pPr>
    <w:rPr>
      <w:sz w:val="24"/>
      <w:szCs w:val="24"/>
    </w:rPr>
  </w:style>
  <w:style w:type="character" w:styleId="789" w:customStyle="1">
    <w:name w:val="Подзаголовок Знак"/>
    <w:basedOn w:val="773"/>
    <w:link w:val="788"/>
    <w:uiPriority w:val="11"/>
    <w:rPr>
      <w:sz w:val="24"/>
      <w:szCs w:val="24"/>
    </w:rPr>
  </w:style>
  <w:style w:type="paragraph" w:styleId="790">
    <w:name w:val="Quote"/>
    <w:basedOn w:val="763"/>
    <w:next w:val="763"/>
    <w:link w:val="791"/>
    <w:uiPriority w:val="29"/>
    <w:qFormat/>
    <w:pPr>
      <w:ind w:left="720" w:right="720"/>
    </w:pPr>
    <w:rPr>
      <w:i/>
    </w:rPr>
  </w:style>
  <w:style w:type="character" w:styleId="791" w:customStyle="1">
    <w:name w:val="Цитата 2 Знак"/>
    <w:link w:val="790"/>
    <w:uiPriority w:val="29"/>
    <w:rPr>
      <w:i/>
    </w:rPr>
  </w:style>
  <w:style w:type="paragraph" w:styleId="792">
    <w:name w:val="Intense Quote"/>
    <w:basedOn w:val="763"/>
    <w:next w:val="763"/>
    <w:link w:val="79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3" w:customStyle="1">
    <w:name w:val="Выделенная цитата Знак"/>
    <w:link w:val="792"/>
    <w:uiPriority w:val="30"/>
    <w:rPr>
      <w:i/>
    </w:rPr>
  </w:style>
  <w:style w:type="paragraph" w:styleId="794">
    <w:name w:val="Header"/>
    <w:basedOn w:val="763"/>
    <w:link w:val="79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95" w:customStyle="1">
    <w:name w:val="Верхний колонтитул Знак"/>
    <w:basedOn w:val="773"/>
    <w:link w:val="794"/>
    <w:uiPriority w:val="99"/>
  </w:style>
  <w:style w:type="paragraph" w:styleId="796">
    <w:name w:val="Footer"/>
    <w:basedOn w:val="763"/>
    <w:link w:val="797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97" w:customStyle="1">
    <w:name w:val="Нижний колонтитул Знак"/>
    <w:basedOn w:val="773"/>
    <w:link w:val="796"/>
    <w:uiPriority w:val="99"/>
  </w:style>
  <w:style w:type="paragraph" w:styleId="798">
    <w:name w:val="Caption"/>
    <w:basedOn w:val="763"/>
    <w:next w:val="763"/>
    <w:link w:val="7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9" w:customStyle="1">
    <w:name w:val="Название объекта Знак"/>
    <w:basedOn w:val="773"/>
    <w:link w:val="798"/>
    <w:uiPriority w:val="35"/>
    <w:rPr>
      <w:b/>
      <w:bCs/>
      <w:color w:val="4f81bd" w:themeColor="accent1"/>
      <w:sz w:val="18"/>
      <w:szCs w:val="18"/>
    </w:rPr>
  </w:style>
  <w:style w:type="table" w:styleId="800" w:customStyle="1">
    <w:name w:val="Table Grid Light"/>
    <w:basedOn w:val="77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01">
    <w:name w:val="Plain Table 1"/>
    <w:basedOn w:val="77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802">
    <w:name w:val="Plain Table 2"/>
    <w:basedOn w:val="77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803">
    <w:name w:val="Plain Table 3"/>
    <w:basedOn w:val="7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4">
    <w:name w:val="Plain Table 4"/>
    <w:basedOn w:val="7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Plain Table 5"/>
    <w:basedOn w:val="7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6">
    <w:name w:val="Grid Table 1 Light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Grid Table 1 Light 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Grid Table 1 Light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Grid Table 1 Light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Grid Table 1 Light 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Grid Table 1 Light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Grid Table 1 Light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2 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2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2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2 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2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2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3 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3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3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3 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3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3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4"/>
    <w:basedOn w:val="7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8" w:customStyle="1">
    <w:name w:val="Grid Table 4 - Accent 1"/>
    <w:basedOn w:val="7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29" w:customStyle="1">
    <w:name w:val="Grid Table 4 - Accent 2"/>
    <w:basedOn w:val="7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30" w:customStyle="1">
    <w:name w:val="Grid Table 4 - Accent 3"/>
    <w:basedOn w:val="7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31" w:customStyle="1">
    <w:name w:val="Grid Table 4 - Accent 4"/>
    <w:basedOn w:val="7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32" w:customStyle="1">
    <w:name w:val="Grid Table 4 - Accent 5"/>
    <w:basedOn w:val="7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33" w:customStyle="1">
    <w:name w:val="Grid Table 4 - Accent 6"/>
    <w:basedOn w:val="7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34">
    <w:name w:val="Grid Table 5 Dark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5" w:customStyle="1">
    <w:name w:val="Grid Table 5 Dark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36" w:customStyle="1">
    <w:name w:val="Grid Table 5 Dark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37" w:customStyle="1">
    <w:name w:val="Grid Table 5 Dark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38" w:customStyle="1">
    <w:name w:val="Grid Table 5 Dark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39" w:customStyle="1">
    <w:name w:val="Grid Table 5 Dark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40" w:customStyle="1">
    <w:name w:val="Grid Table 5 Dark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41">
    <w:name w:val="Grid Table 6 Colorful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2" w:customStyle="1">
    <w:name w:val="Grid Table 6 Colorful 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43" w:customStyle="1">
    <w:name w:val="Grid Table 6 Colorful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44" w:customStyle="1">
    <w:name w:val="Grid Table 6 Colorful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45" w:customStyle="1">
    <w:name w:val="Grid Table 6 Colorful 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46" w:customStyle="1">
    <w:name w:val="Grid Table 6 Colorful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7" w:customStyle="1">
    <w:name w:val="Grid Table 6 Colorful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8">
    <w:name w:val="Grid Table 7 Colorful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9" w:customStyle="1">
    <w:name w:val="Grid Table 7 Colorful 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0" w:customStyle="1">
    <w:name w:val="Grid Table 7 Colorful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1" w:customStyle="1">
    <w:name w:val="Grid Table 7 Colorful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2" w:customStyle="1">
    <w:name w:val="Grid Table 7 Colorful 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3" w:customStyle="1">
    <w:name w:val="Grid Table 7 Colorful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rFonts w:ascii="Liberation Sans" w:hAnsi="Liberation Sans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4" w:customStyle="1">
    <w:name w:val="Grid Table 7 Colorful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  <w:tblStylePr w:type="firstCol">
      <w:rPr>
        <w:rFonts w:ascii="Liberation Sans" w:hAnsi="Liberation Sans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5">
    <w:name w:val="List Table 1 Light"/>
    <w:basedOn w:val="7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1 Light - Accent 1"/>
    <w:basedOn w:val="7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1 Light - Accent 2"/>
    <w:basedOn w:val="7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1 Light - Accent 3"/>
    <w:basedOn w:val="7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1 Light - Accent 4"/>
    <w:basedOn w:val="7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1 Light - Accent 5"/>
    <w:basedOn w:val="7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1 Light - Accent 6"/>
    <w:basedOn w:val="7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3" w:customStyle="1">
    <w:name w:val="List Table 2 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64" w:customStyle="1">
    <w:name w:val="List Table 2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65" w:customStyle="1">
    <w:name w:val="List Table 2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66" w:customStyle="1">
    <w:name w:val="List Table 2 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67" w:customStyle="1">
    <w:name w:val="List Table 2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68" w:customStyle="1">
    <w:name w:val="List Table 2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69">
    <w:name w:val="List Table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3 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3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3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3 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3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3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4 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4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4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4 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4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4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5 Dark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84" w:customStyle="1">
    <w:name w:val="List Table 5 Dark 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85" w:customStyle="1">
    <w:name w:val="List Table 5 Dark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86" w:customStyle="1">
    <w:name w:val="List Table 5 Dark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87" w:customStyle="1">
    <w:name w:val="List Table 5 Dark 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88" w:customStyle="1">
    <w:name w:val="List Table 5 Dark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89" w:customStyle="1">
    <w:name w:val="List Table 5 Dark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90">
    <w:name w:val="List Table 6 Colorful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1" w:customStyle="1">
    <w:name w:val="List Table 6 Colorful 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92" w:customStyle="1">
    <w:name w:val="List Table 6 Colorful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93" w:customStyle="1">
    <w:name w:val="List Table 6 Colorful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94" w:customStyle="1">
    <w:name w:val="List Table 6 Colorful 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95" w:customStyle="1">
    <w:name w:val="List Table 6 Colorful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96" w:customStyle="1">
    <w:name w:val="List Table 6 Colorful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97">
    <w:name w:val="List Table 7 Colorful"/>
    <w:basedOn w:val="7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8" w:customStyle="1">
    <w:name w:val="List Table 7 Colorful 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rFonts w:ascii="Liberation Sans" w:hAnsi="Liberation Sans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9" w:customStyle="1">
    <w:name w:val="List Table 7 Colorful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0" w:customStyle="1">
    <w:name w:val="List Table 7 Colorful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1" w:customStyle="1">
    <w:name w:val="List Table 7 Colorful 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2" w:customStyle="1">
    <w:name w:val="List Table 7 Colorful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3" w:customStyle="1">
    <w:name w:val="List Table 7 Colorful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4" w:customStyle="1">
    <w:name w:val="Lined - Accent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5" w:customStyle="1">
    <w:name w:val="Lined - Accent 1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6" w:customStyle="1">
    <w:name w:val="Lined - Accent 2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7" w:customStyle="1">
    <w:name w:val="Lined - Accent 3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8" w:customStyle="1">
    <w:name w:val="Lined - Accent 4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9" w:customStyle="1">
    <w:name w:val="Lined - Accent 5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0" w:customStyle="1">
    <w:name w:val="Lined - Accent 6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1" w:customStyle="1">
    <w:name w:val="Bordered &amp; Lined - Accent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2" w:customStyle="1">
    <w:name w:val="Bordered &amp; Lined - Accent 1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3" w:customStyle="1">
    <w:name w:val="Bordered &amp; Lined - Accent 2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4" w:customStyle="1">
    <w:name w:val="Bordered &amp; Lined - Accent 3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5" w:customStyle="1">
    <w:name w:val="Bordered &amp; Lined - Accent 4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6" w:customStyle="1">
    <w:name w:val="Bordered &amp; Lined - Accent 5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7" w:customStyle="1">
    <w:name w:val="Bordered &amp; Lined - Accent 6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8" w:customStyle="1">
    <w:name w:val="Bordered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9" w:customStyle="1">
    <w:name w:val="Bordered 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20" w:customStyle="1">
    <w:name w:val="Bordered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21" w:customStyle="1">
    <w:name w:val="Bordered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22" w:customStyle="1">
    <w:name w:val="Bordered 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23" w:customStyle="1">
    <w:name w:val="Bordered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24" w:customStyle="1">
    <w:name w:val="Bordered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25">
    <w:name w:val="Hyperlink"/>
    <w:uiPriority w:val="99"/>
    <w:unhideWhenUsed/>
    <w:rPr>
      <w:color w:val="0000ff" w:themeColor="hyperlink"/>
      <w:u w:val="single"/>
    </w:rPr>
  </w:style>
  <w:style w:type="paragraph" w:styleId="926">
    <w:name w:val="footnote text"/>
    <w:basedOn w:val="763"/>
    <w:link w:val="927"/>
    <w:uiPriority w:val="99"/>
    <w:semiHidden/>
    <w:unhideWhenUsed/>
    <w:pPr>
      <w:spacing w:after="40"/>
    </w:pPr>
    <w:rPr>
      <w:sz w:val="18"/>
    </w:rPr>
  </w:style>
  <w:style w:type="character" w:styleId="927" w:customStyle="1">
    <w:name w:val="Текст сноски Знак"/>
    <w:link w:val="926"/>
    <w:uiPriority w:val="99"/>
    <w:rPr>
      <w:sz w:val="18"/>
    </w:rPr>
  </w:style>
  <w:style w:type="character" w:styleId="928">
    <w:name w:val="footnote reference"/>
    <w:basedOn w:val="773"/>
    <w:uiPriority w:val="99"/>
    <w:unhideWhenUsed/>
    <w:rPr>
      <w:vertAlign w:val="superscript"/>
    </w:rPr>
  </w:style>
  <w:style w:type="paragraph" w:styleId="929">
    <w:name w:val="endnote text"/>
    <w:basedOn w:val="763"/>
    <w:link w:val="930"/>
    <w:uiPriority w:val="99"/>
    <w:semiHidden/>
    <w:unhideWhenUsed/>
  </w:style>
  <w:style w:type="character" w:styleId="930" w:customStyle="1">
    <w:name w:val="Текст концевой сноски Знак"/>
    <w:link w:val="929"/>
    <w:uiPriority w:val="99"/>
    <w:rPr>
      <w:sz w:val="20"/>
    </w:rPr>
  </w:style>
  <w:style w:type="character" w:styleId="931">
    <w:name w:val="endnote reference"/>
    <w:basedOn w:val="773"/>
    <w:uiPriority w:val="99"/>
    <w:semiHidden/>
    <w:unhideWhenUsed/>
    <w:rPr>
      <w:vertAlign w:val="superscript"/>
    </w:rPr>
  </w:style>
  <w:style w:type="paragraph" w:styleId="932">
    <w:name w:val="toc 1"/>
    <w:basedOn w:val="763"/>
    <w:next w:val="763"/>
    <w:uiPriority w:val="39"/>
    <w:unhideWhenUsed/>
    <w:pPr>
      <w:spacing w:after="57"/>
    </w:pPr>
  </w:style>
  <w:style w:type="paragraph" w:styleId="933">
    <w:name w:val="toc 2"/>
    <w:basedOn w:val="763"/>
    <w:next w:val="763"/>
    <w:uiPriority w:val="39"/>
    <w:unhideWhenUsed/>
    <w:pPr>
      <w:ind w:left="283"/>
      <w:spacing w:after="57"/>
    </w:pPr>
  </w:style>
  <w:style w:type="paragraph" w:styleId="934">
    <w:name w:val="toc 3"/>
    <w:basedOn w:val="763"/>
    <w:next w:val="763"/>
    <w:uiPriority w:val="39"/>
    <w:unhideWhenUsed/>
    <w:pPr>
      <w:ind w:left="567"/>
      <w:spacing w:after="57"/>
    </w:pPr>
  </w:style>
  <w:style w:type="paragraph" w:styleId="935">
    <w:name w:val="toc 4"/>
    <w:basedOn w:val="763"/>
    <w:next w:val="763"/>
    <w:uiPriority w:val="39"/>
    <w:unhideWhenUsed/>
    <w:pPr>
      <w:ind w:left="850"/>
      <w:spacing w:after="57"/>
    </w:pPr>
  </w:style>
  <w:style w:type="paragraph" w:styleId="936">
    <w:name w:val="toc 5"/>
    <w:basedOn w:val="763"/>
    <w:next w:val="763"/>
    <w:uiPriority w:val="39"/>
    <w:unhideWhenUsed/>
    <w:pPr>
      <w:ind w:left="1134"/>
      <w:spacing w:after="57"/>
    </w:pPr>
  </w:style>
  <w:style w:type="paragraph" w:styleId="937">
    <w:name w:val="toc 6"/>
    <w:basedOn w:val="763"/>
    <w:next w:val="763"/>
    <w:uiPriority w:val="39"/>
    <w:unhideWhenUsed/>
    <w:pPr>
      <w:ind w:left="1417"/>
      <w:spacing w:after="57"/>
    </w:pPr>
  </w:style>
  <w:style w:type="paragraph" w:styleId="938">
    <w:name w:val="toc 7"/>
    <w:basedOn w:val="763"/>
    <w:next w:val="763"/>
    <w:uiPriority w:val="39"/>
    <w:unhideWhenUsed/>
    <w:pPr>
      <w:ind w:left="1701"/>
      <w:spacing w:after="57"/>
    </w:pPr>
  </w:style>
  <w:style w:type="paragraph" w:styleId="939">
    <w:name w:val="toc 8"/>
    <w:basedOn w:val="763"/>
    <w:next w:val="763"/>
    <w:uiPriority w:val="39"/>
    <w:unhideWhenUsed/>
    <w:pPr>
      <w:ind w:left="1984"/>
      <w:spacing w:after="57"/>
    </w:pPr>
  </w:style>
  <w:style w:type="paragraph" w:styleId="940">
    <w:name w:val="toc 9"/>
    <w:basedOn w:val="763"/>
    <w:next w:val="763"/>
    <w:uiPriority w:val="39"/>
    <w:unhideWhenUsed/>
    <w:pPr>
      <w:ind w:left="2268"/>
      <w:spacing w:after="57"/>
    </w:pPr>
  </w:style>
  <w:style w:type="paragraph" w:styleId="941">
    <w:name w:val="TOC Heading"/>
    <w:uiPriority w:val="39"/>
    <w:unhideWhenUsed/>
  </w:style>
  <w:style w:type="paragraph" w:styleId="942">
    <w:name w:val="table of figures"/>
    <w:basedOn w:val="763"/>
    <w:next w:val="763"/>
    <w:uiPriority w:val="99"/>
    <w:unhideWhenUsed/>
  </w:style>
  <w:style w:type="table" w:styleId="943" w:customStyle="1">
    <w:name w:val="Светлая заливка - Акцент 11"/>
    <w:basedOn w:val="774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band1Horz"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</w:style>
  <w:style w:type="paragraph" w:styleId="944">
    <w:name w:val="Balloon Text"/>
    <w:basedOn w:val="763"/>
    <w:link w:val="945"/>
    <w:uiPriority w:val="99"/>
    <w:semiHidden/>
    <w:unhideWhenUsed/>
    <w:rPr>
      <w:rFonts w:ascii="Tahoma" w:hAnsi="Tahoma" w:cs="Tahoma"/>
      <w:sz w:val="16"/>
      <w:szCs w:val="16"/>
    </w:rPr>
  </w:style>
  <w:style w:type="character" w:styleId="945" w:customStyle="1">
    <w:name w:val="Текст выноски Знак"/>
    <w:basedOn w:val="773"/>
    <w:link w:val="944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946">
    <w:name w:val="List Paragraph"/>
    <w:basedOn w:val="763"/>
    <w:link w:val="949"/>
    <w:uiPriority w:val="34"/>
    <w:qFormat/>
    <w:pPr>
      <w:contextualSpacing/>
      <w:ind w:left="720"/>
    </w:pPr>
  </w:style>
  <w:style w:type="paragraph" w:styleId="947">
    <w:name w:val="Normal (Web)"/>
    <w:basedOn w:val="763"/>
    <w:uiPriority w:val="99"/>
    <w:unhideWhenUsed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948">
    <w:name w:val="Strong"/>
    <w:basedOn w:val="773"/>
    <w:uiPriority w:val="22"/>
    <w:qFormat/>
    <w:rPr>
      <w:b/>
      <w:bCs/>
    </w:rPr>
  </w:style>
  <w:style w:type="character" w:styleId="949" w:customStyle="1">
    <w:name w:val="Абзац списка Знак"/>
    <w:link w:val="946"/>
    <w:uiPriority w:val="34"/>
    <w:qFormat/>
    <w:rPr>
      <w:rFonts w:ascii="Century" w:hAnsi="Century" w:eastAsia="Times New Roman" w:cs="Century"/>
      <w:sz w:val="20"/>
      <w:szCs w:val="20"/>
      <w:lang w:eastAsia="ru-RU"/>
    </w:rPr>
  </w:style>
  <w:style w:type="paragraph" w:styleId="950" w:customStyle="1">
    <w:name w:val="Обычный текс"/>
    <w:basedOn w:val="763"/>
    <w:link w:val="951"/>
    <w:qFormat/>
    <w:pPr>
      <w:numPr>
        <w:ilvl w:val="0"/>
        <w:numId w:val="25"/>
      </w:numPr>
      <w:contextualSpacing/>
      <w:jc w:val="both"/>
    </w:pPr>
    <w:rPr>
      <w:rFonts w:ascii="Times New Roman" w:hAnsi="Times New Roman" w:cs="Times New Roman" w:eastAsiaTheme="minorHAnsi"/>
      <w:sz w:val="24"/>
      <w:szCs w:val="24"/>
      <w:lang w:eastAsia="en-US"/>
    </w:rPr>
  </w:style>
  <w:style w:type="character" w:styleId="951" w:customStyle="1">
    <w:name w:val="Обычный текс Знак"/>
    <w:basedOn w:val="773"/>
    <w:link w:val="950"/>
    <w:rPr>
      <w:rFonts w:ascii="Times New Roman" w:hAnsi="Times New Roman" w:cs="Times New Roman"/>
      <w:sz w:val="24"/>
      <w:szCs w:val="24"/>
    </w:rPr>
  </w:style>
  <w:style w:type="paragraph" w:styleId="952">
    <w:name w:val="Body Text"/>
    <w:basedOn w:val="763"/>
    <w:link w:val="953"/>
    <w:uiPriority w:val="1"/>
    <w:qFormat/>
    <w:pPr>
      <w:ind w:left="63" w:right="10"/>
      <w:jc w:val="both"/>
      <w:widowControl w:val="off"/>
    </w:pPr>
    <w:rPr>
      <w:rFonts w:ascii="Microsoft Sans Serif" w:hAnsi="Microsoft Sans Serif" w:eastAsia="Microsoft Sans Serif" w:cs="Microsoft Sans Serif"/>
      <w:sz w:val="24"/>
      <w:szCs w:val="24"/>
      <w:lang w:eastAsia="en-US"/>
    </w:rPr>
  </w:style>
  <w:style w:type="character" w:styleId="953" w:customStyle="1">
    <w:name w:val="Основной текст Знак"/>
    <w:basedOn w:val="773"/>
    <w:link w:val="952"/>
    <w:uiPriority w:val="1"/>
    <w:rPr>
      <w:rFonts w:ascii="Microsoft Sans Serif" w:hAnsi="Microsoft Sans Serif" w:eastAsia="Microsoft Sans Serif" w:cs="Microsoft Sans Serif"/>
      <w:sz w:val="24"/>
      <w:szCs w:val="24"/>
    </w:rPr>
  </w:style>
  <w:style w:type="table" w:styleId="954" w:customStyle="1">
    <w:name w:val="Сетка таблицы1"/>
    <w:basedOn w:val="774"/>
    <w:next w:val="95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55">
    <w:name w:val="Table Grid"/>
    <w:basedOn w:val="77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56">
    <w:name w:val="Light Shading"/>
    <w:basedOn w:val="774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band1Horz"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</w:style>
  <w:style w:type="table" w:styleId="957">
    <w:name w:val="Light Grid"/>
    <w:basedOn w:val="774"/>
    <w:uiPriority w:val="62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band1Horz"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atb@aokap.ru" TargetMode="External"/><Relationship Id="rId11" Type="http://schemas.openxmlformats.org/officeDocument/2006/relationships/hyperlink" Target="mailto:sopdp_pkc@mai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529E7D-7415-47EC-BAA9-65F83C703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dc:description>DOC-MARKER-r9IpJZNRnacMFO9xP0Azfw</dc:description>
  <cp:lastModifiedBy>USER23</cp:lastModifiedBy>
  <cp:revision>21</cp:revision>
  <dcterms:created xsi:type="dcterms:W3CDTF">2026-05-19T05:36:00Z</dcterms:created>
  <dcterms:modified xsi:type="dcterms:W3CDTF">2026-06-10T02:18:55Z</dcterms:modified>
</cp:coreProperties>
</file>