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1C1FF1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8D4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4032" w:rsidRPr="00A54032" w:rsidRDefault="00605820" w:rsidP="001C1FF1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4032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633D41" w:rsidRPr="00A54032">
        <w:rPr>
          <w:rFonts w:ascii="Times New Roman" w:eastAsia="Calibri" w:hAnsi="Times New Roman" w:cs="Times New Roman"/>
          <w:b/>
          <w:sz w:val="24"/>
          <w:szCs w:val="24"/>
        </w:rPr>
        <w:t xml:space="preserve">Маргарин столовый   </w:t>
      </w:r>
    </w:p>
    <w:p w:rsidR="00605820" w:rsidRPr="00A54032" w:rsidRDefault="00605820" w:rsidP="001C1FF1">
      <w:pPr>
        <w:pStyle w:val="a7"/>
        <w:numPr>
          <w:ilvl w:val="0"/>
          <w:numId w:val="2"/>
        </w:num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4032">
        <w:rPr>
          <w:rFonts w:ascii="Times New Roman" w:eastAsia="Calibri" w:hAnsi="Times New Roman" w:cs="Times New Roman"/>
          <w:b/>
          <w:sz w:val="24"/>
          <w:szCs w:val="24"/>
        </w:rPr>
        <w:t>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2268"/>
        <w:gridCol w:w="3408"/>
      </w:tblGrid>
      <w:tr w:rsidR="00853D21" w:rsidRPr="00605820" w:rsidTr="005A00FA">
        <w:trPr>
          <w:trHeight w:val="189"/>
        </w:trPr>
        <w:tc>
          <w:tcPr>
            <w:tcW w:w="2830" w:type="dxa"/>
            <w:shd w:val="clear" w:color="auto" w:fill="auto"/>
          </w:tcPr>
          <w:p w:rsidR="00853D21" w:rsidRPr="00605820" w:rsidRDefault="00853D21" w:rsidP="00853D21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:rsidR="00853D21" w:rsidRPr="00605820" w:rsidRDefault="00853D21" w:rsidP="00853D21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shd w:val="clear" w:color="auto" w:fill="auto"/>
          </w:tcPr>
          <w:p w:rsidR="00853D21" w:rsidRPr="00605820" w:rsidRDefault="00853D21" w:rsidP="00853D21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08" w:type="dxa"/>
          </w:tcPr>
          <w:p w:rsidR="00853D21" w:rsidRDefault="00853D21" w:rsidP="00853D2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r w:rsidR="001C1FF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поставки</w:t>
            </w:r>
          </w:p>
        </w:tc>
      </w:tr>
      <w:tr w:rsidR="00853D21" w:rsidRPr="00605820" w:rsidTr="005A00FA">
        <w:trPr>
          <w:trHeight w:val="189"/>
        </w:trPr>
        <w:tc>
          <w:tcPr>
            <w:tcW w:w="2830" w:type="dxa"/>
            <w:shd w:val="clear" w:color="auto" w:fill="auto"/>
          </w:tcPr>
          <w:p w:rsidR="00853D21" w:rsidRPr="00605820" w:rsidRDefault="00853D21" w:rsidP="00853D21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Маргарин столовый</w:t>
            </w:r>
          </w:p>
        </w:tc>
        <w:tc>
          <w:tcPr>
            <w:tcW w:w="1134" w:type="dxa"/>
            <w:shd w:val="clear" w:color="auto" w:fill="auto"/>
          </w:tcPr>
          <w:p w:rsidR="00853D21" w:rsidRPr="00605820" w:rsidRDefault="005A00FA" w:rsidP="00853D21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268" w:type="dxa"/>
            <w:shd w:val="clear" w:color="auto" w:fill="auto"/>
          </w:tcPr>
          <w:p w:rsidR="00853D21" w:rsidRPr="00605820" w:rsidRDefault="006F3221" w:rsidP="00853D21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5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408" w:type="dxa"/>
          </w:tcPr>
          <w:p w:rsidR="00853D21" w:rsidRDefault="00853D21" w:rsidP="00853D21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момента </w:t>
            </w:r>
            <w:r w:rsidR="006F3221">
              <w:rPr>
                <w:rFonts w:ascii="Times New Roman" w:eastAsia="Times New Roman" w:hAnsi="Times New Roman" w:cs="Times New Roman"/>
                <w:sz w:val="24"/>
              </w:rPr>
              <w:t>заключения договора по 30.09</w:t>
            </w:r>
            <w:r w:rsidR="005A00FA">
              <w:rPr>
                <w:rFonts w:ascii="Times New Roman" w:eastAsia="Times New Roman" w:hAnsi="Times New Roman" w:cs="Times New Roman"/>
                <w:sz w:val="24"/>
              </w:rPr>
              <w:t>.2026 г.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853D21" w:rsidRPr="00853D21" w:rsidRDefault="00853D21" w:rsidP="00853D21">
      <w:pPr>
        <w:spacing w:after="16"/>
        <w:ind w:left="-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Свердловская область, г. Екатеринбург, ул. Свердлова, 8 (время приемки - 10:00 по 1</w:t>
      </w:r>
      <w:r w:rsidR="005A00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:00) </w:t>
      </w:r>
    </w:p>
    <w:p w:rsidR="00853D21" w:rsidRPr="00853D21" w:rsidRDefault="00853D21" w:rsidP="00853D21">
      <w:pPr>
        <w:spacing w:after="46"/>
        <w:ind w:left="-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Свердловская область, г. Екатеринбург, Территория </w:t>
      </w:r>
      <w:proofErr w:type="spellStart"/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Логопарка</w:t>
      </w:r>
      <w:proofErr w:type="spellEnd"/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Кольцовский</w:t>
      </w:r>
      <w:proofErr w:type="spellEnd"/>
      <w:r w:rsidRPr="00853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стр. 12 (время приемки - с 10:00 по 15:00) 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BF2EF8">
        <w:rPr>
          <w:rFonts w:ascii="Times New Roman" w:eastAsia="Calibri" w:hAnsi="Times New Roman" w:cs="Times New Roman"/>
          <w:b/>
          <w:sz w:val="24"/>
          <w:szCs w:val="24"/>
        </w:rPr>
        <w:t>маргарину столовому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F2EF8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Маргарин столовый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C95267" w:rsidRDefault="00BF2EF8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Маргарин столовый – компонент в тесто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802C1F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BC7A93" w:rsidRPr="004C5AC4" w:rsidTr="00AC50A7">
        <w:trPr>
          <w:trHeight w:val="870"/>
        </w:trPr>
        <w:tc>
          <w:tcPr>
            <w:tcW w:w="339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604CD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рафинированные и дезодорированные растительные масла в натуральном и модифицированном виде, в том числе соевое; вода, эмульгаторы - эфиры </w:t>
            </w:r>
            <w:proofErr w:type="spellStart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полиглицерина</w:t>
            </w:r>
            <w:proofErr w:type="spellEnd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 и жирных кислот, моно- и </w:t>
            </w:r>
            <w:proofErr w:type="spellStart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диглицериды</w:t>
            </w:r>
            <w:proofErr w:type="spellEnd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 жирных кислот; соль, сахар, консервант - </w:t>
            </w:r>
            <w:proofErr w:type="spellStart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сорбат</w:t>
            </w:r>
            <w:proofErr w:type="spellEnd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 калия; регулятор кислотности - лимонная кислота; ароматизатор, краситель бета-каротин; антиокислители - аскорбиновая кислота, альфа-токоферол.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17F34" w:rsidRDefault="00604CD1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асса нетто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817F34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321B17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321B17" w:rsidRPr="004C5AC4" w:rsidRDefault="00321B17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Физико-химические характеристики</w:t>
            </w:r>
          </w:p>
        </w:tc>
        <w:tc>
          <w:tcPr>
            <w:tcW w:w="6530" w:type="dxa"/>
            <w:hideMark/>
          </w:tcPr>
          <w:p w:rsidR="00321B17" w:rsidRPr="004C5AC4" w:rsidRDefault="00321B17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Консистенция при (20±</w:t>
            </w:r>
            <w:proofErr w:type="gramStart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2)°</w:t>
            </w:r>
            <w:proofErr w:type="gramEnd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С: пластичная, плотная, однородная. Поверхность блестящая, </w:t>
            </w:r>
            <w:proofErr w:type="spellStart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слабоблестящая</w:t>
            </w:r>
            <w:proofErr w:type="spellEnd"/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 или матовая, сухая на вид.</w:t>
            </w:r>
          </w:p>
        </w:tc>
      </w:tr>
      <w:tr w:rsidR="00321B17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321B17" w:rsidRPr="004C5AC4" w:rsidRDefault="00321B17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Цвет: от светло-желтого до желтого, однородный по всей массе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  <w:hideMark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321B17" w:rsidRPr="00A54032" w:rsidRDefault="00321B17" w:rsidP="00FF4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>Вкус и запах: свойственный данному виду продукта без посторонних привкуса и запаха.</w:t>
            </w:r>
            <w:r w:rsidR="00C95267"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 выпечки у изделия не должно быть постороннего или прогорклого вкуса. Ароматизатор </w:t>
            </w:r>
            <w:r w:rsidR="00633D41"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 маргарина </w:t>
            </w:r>
            <w:r w:rsidR="00C95267"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 быть молочного или сливочного профиля. </w:t>
            </w:r>
            <w:r w:rsidR="00FF49EE"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>Сохранять аромат</w:t>
            </w:r>
            <w:r w:rsidR="00C95267" w:rsidRPr="00A5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выпечке.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4C5AC4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Массовая доля влаги и летучих веществ: не более 18,00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D22580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Массовая доля жира: не менее 82,0%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604CD1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Массовая доля соли: не более 0,5%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Default="00321B17" w:rsidP="0060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Массовая доля твердых триглицеридов (содержание твердого жира):</w:t>
            </w:r>
          </w:p>
          <w:p w:rsidR="00321B17" w:rsidRDefault="00321B17" w:rsidP="0060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при 10°С -37,0-44,0%;</w:t>
            </w:r>
          </w:p>
          <w:p w:rsidR="00321B17" w:rsidRDefault="00321B17" w:rsidP="0060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при 20°С - 17,0-24,0%;</w:t>
            </w:r>
          </w:p>
          <w:p w:rsidR="00321B17" w:rsidRDefault="00321B17" w:rsidP="0060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 xml:space="preserve">при 30°С - 4,0-11,0%; </w:t>
            </w:r>
          </w:p>
          <w:p w:rsidR="00321B17" w:rsidRPr="00604CD1" w:rsidRDefault="00321B17" w:rsidP="0060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при 35°С - не более 6%.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604CD1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D1">
              <w:rPr>
                <w:rFonts w:ascii="Times New Roman" w:hAnsi="Times New Roman" w:cs="Times New Roman"/>
                <w:sz w:val="24"/>
                <w:szCs w:val="24"/>
              </w:rPr>
              <w:t>Содержание трансизомеров: не более 2%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604CD1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Содержание насыщенных жирных кислот: не более 55%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604CD1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B1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глицидиловых</w:t>
            </w:r>
            <w:proofErr w:type="spellEnd"/>
            <w:r w:rsidRPr="00321B17">
              <w:rPr>
                <w:rFonts w:ascii="Times New Roman" w:hAnsi="Times New Roman" w:cs="Times New Roman"/>
                <w:sz w:val="24"/>
                <w:szCs w:val="24"/>
              </w:rPr>
              <w:t xml:space="preserve"> эфиров жирных кислот, в пересчете на </w:t>
            </w:r>
            <w:proofErr w:type="spellStart"/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глицидол</w:t>
            </w:r>
            <w:proofErr w:type="spellEnd"/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: не более 1 мг/кг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321B17" w:rsidRDefault="00321B17" w:rsidP="00321B17">
            <w:pPr>
              <w:tabs>
                <w:tab w:val="left" w:pos="18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76BD">
              <w:rPr>
                <w:rFonts w:ascii="Times New Roman" w:hAnsi="Times New Roman" w:cs="Times New Roman"/>
                <w:sz w:val="24"/>
                <w:szCs w:val="24"/>
              </w:rPr>
              <w:t>емпература плавления жира, выдел</w:t>
            </w:r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енного из маргарина: 27,0-34,0°С</w:t>
            </w:r>
          </w:p>
        </w:tc>
      </w:tr>
      <w:tr w:rsidR="00321B17" w:rsidRPr="004C5AC4" w:rsidTr="00DD7A96">
        <w:trPr>
          <w:trHeight w:val="543"/>
        </w:trPr>
        <w:tc>
          <w:tcPr>
            <w:tcW w:w="3394" w:type="dxa"/>
            <w:vMerge/>
          </w:tcPr>
          <w:p w:rsidR="00321B17" w:rsidRPr="004C5AC4" w:rsidRDefault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21B17" w:rsidRPr="00321B17" w:rsidRDefault="00321B17" w:rsidP="00D2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B17">
              <w:rPr>
                <w:rFonts w:ascii="Times New Roman" w:hAnsi="Times New Roman" w:cs="Times New Roman"/>
                <w:sz w:val="24"/>
                <w:szCs w:val="24"/>
              </w:rPr>
              <w:t>Кислотность маргарина: не более 3,5°К</w:t>
            </w:r>
          </w:p>
        </w:tc>
      </w:tr>
      <w:tr w:rsidR="00817F34" w:rsidRPr="004C5AC4" w:rsidTr="00A164FB">
        <w:trPr>
          <w:trHeight w:val="409"/>
        </w:trPr>
        <w:tc>
          <w:tcPr>
            <w:tcW w:w="3394" w:type="dxa"/>
            <w:vMerge w:val="restart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17F34" w:rsidRPr="004C5AC4" w:rsidRDefault="004C5AC4" w:rsidP="0032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Жиры –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 w:rsidR="00D22580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BC7A93"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3098 кДж/74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>0 ккал</w:t>
            </w:r>
          </w:p>
        </w:tc>
      </w:tr>
      <w:tr w:rsidR="00817F34" w:rsidRPr="004C5AC4" w:rsidTr="00A164FB">
        <w:trPr>
          <w:trHeight w:val="1128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4C5AC4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, на момент поставки на предприятие остаточный срок годности – не менее </w:t>
            </w:r>
            <w:r w:rsidR="00321B17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транспортировки должна обеспечивать физико-химическую и микробиологическую сохранность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41" w:rsidRPr="00633D4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33D41" w:rsidRPr="00633D4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ГОСТ 32188.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817F34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817F34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75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 w:rsidR="00DB3B07"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="00DB3B07"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 w:rsidR="00750491">
              <w:rPr>
                <w:rFonts w:ascii="Times New Roman" w:hAnsi="Times New Roman" w:cs="Times New Roman"/>
                <w:sz w:val="24"/>
                <w:szCs w:val="24"/>
              </w:rPr>
              <w:t>ТР ТС 024/2011</w:t>
            </w:r>
          </w:p>
        </w:tc>
      </w:tr>
      <w:tr w:rsidR="00817F34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DB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633D41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633D41" w:rsidRPr="004C5AC4" w:rsidRDefault="00633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633D41" w:rsidRPr="004C5AC4" w:rsidRDefault="00633D4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633D41" w:rsidRPr="004C5AC4" w:rsidRDefault="00633D4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633D41" w:rsidRPr="004C5AC4" w:rsidTr="004B642A">
        <w:trPr>
          <w:trHeight w:val="1905"/>
        </w:trPr>
        <w:tc>
          <w:tcPr>
            <w:tcW w:w="3394" w:type="dxa"/>
            <w:vMerge/>
            <w:hideMark/>
          </w:tcPr>
          <w:p w:rsidR="00633D41" w:rsidRPr="004C5AC4" w:rsidRDefault="0063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633D41" w:rsidRPr="004C5AC4" w:rsidRDefault="00633D4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633D41" w:rsidRPr="004C5AC4" w:rsidTr="00C476BD">
        <w:trPr>
          <w:trHeight w:val="383"/>
        </w:trPr>
        <w:tc>
          <w:tcPr>
            <w:tcW w:w="3394" w:type="dxa"/>
            <w:vMerge/>
          </w:tcPr>
          <w:p w:rsidR="00633D41" w:rsidRPr="004C5AC4" w:rsidRDefault="0063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33D41" w:rsidRDefault="00633D4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Протокол испытаний.</w:t>
            </w:r>
          </w:p>
        </w:tc>
      </w:tr>
      <w:tr w:rsidR="00633D41" w:rsidRPr="004C5AC4" w:rsidTr="00C476BD">
        <w:trPr>
          <w:trHeight w:val="383"/>
        </w:trPr>
        <w:tc>
          <w:tcPr>
            <w:tcW w:w="3394" w:type="dxa"/>
            <w:vMerge/>
          </w:tcPr>
          <w:p w:rsidR="00633D41" w:rsidRPr="004C5AC4" w:rsidRDefault="00633D41" w:rsidP="00B3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33D41" w:rsidRPr="007E7133" w:rsidRDefault="00633D41" w:rsidP="00B3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E7133">
              <w:rPr>
                <w:rFonts w:ascii="Times New Roman" w:hAnsi="Times New Roman" w:cs="Times New Roman"/>
              </w:rPr>
              <w:t>. Акт санобработки автотранспорта</w:t>
            </w:r>
          </w:p>
        </w:tc>
      </w:tr>
      <w:tr w:rsidR="00633D41" w:rsidRPr="004C5AC4" w:rsidTr="00633D41">
        <w:trPr>
          <w:trHeight w:val="481"/>
        </w:trPr>
        <w:tc>
          <w:tcPr>
            <w:tcW w:w="3394" w:type="dxa"/>
            <w:vMerge/>
          </w:tcPr>
          <w:p w:rsidR="00633D41" w:rsidRPr="004C5AC4" w:rsidRDefault="00633D41" w:rsidP="00B3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33D41" w:rsidRDefault="00633D41" w:rsidP="00B3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B642A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  <w:tr w:rsidR="00633D41" w:rsidRPr="004C5AC4" w:rsidTr="004B642A">
        <w:trPr>
          <w:trHeight w:val="481"/>
        </w:trPr>
        <w:tc>
          <w:tcPr>
            <w:tcW w:w="3394" w:type="dxa"/>
            <w:vMerge/>
            <w:tcBorders>
              <w:bottom w:val="single" w:sz="4" w:space="0" w:color="auto"/>
            </w:tcBorders>
          </w:tcPr>
          <w:p w:rsidR="00633D41" w:rsidRPr="004C5AC4" w:rsidRDefault="00633D41" w:rsidP="0063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633D41" w:rsidRPr="00860F09" w:rsidRDefault="00633D41" w:rsidP="00633D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3D41">
              <w:rPr>
                <w:rFonts w:ascii="Times New Roman" w:hAnsi="Times New Roman" w:cs="Times New Roman"/>
                <w:sz w:val="24"/>
                <w:szCs w:val="24"/>
              </w:rPr>
              <w:t>6. Качественное удостоверение</w:t>
            </w:r>
          </w:p>
          <w:p w:rsidR="00633D41" w:rsidRPr="00860F09" w:rsidRDefault="00633D41" w:rsidP="00633D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977FC" w:rsidRDefault="008D4587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4C" w:rsidRDefault="00B1174C" w:rsidP="00605820">
      <w:pPr>
        <w:spacing w:after="0" w:line="240" w:lineRule="auto"/>
      </w:pPr>
      <w:r>
        <w:separator/>
      </w:r>
    </w:p>
  </w:endnote>
  <w:endnote w:type="continuationSeparator" w:id="0">
    <w:p w:rsidR="00B1174C" w:rsidRDefault="00B1174C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4C" w:rsidRDefault="00B1174C" w:rsidP="00605820">
      <w:pPr>
        <w:spacing w:after="0" w:line="240" w:lineRule="auto"/>
      </w:pPr>
      <w:r>
        <w:separator/>
      </w:r>
    </w:p>
  </w:footnote>
  <w:footnote w:type="continuationSeparator" w:id="0">
    <w:p w:rsidR="00B1174C" w:rsidRDefault="00B1174C" w:rsidP="00605820">
      <w:pPr>
        <w:spacing w:after="0" w:line="240" w:lineRule="auto"/>
      </w:pPr>
      <w:r>
        <w:continuationSeparator/>
      </w:r>
    </w:p>
  </w:footnote>
  <w:footnote w:id="1">
    <w:p w:rsidR="00853D21" w:rsidRPr="005500DA" w:rsidRDefault="00853D21" w:rsidP="00853D21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273DD"/>
    <w:multiLevelType w:val="hybridMultilevel"/>
    <w:tmpl w:val="89C8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C1FF1"/>
    <w:rsid w:val="00275AEB"/>
    <w:rsid w:val="00321B17"/>
    <w:rsid w:val="00340C0F"/>
    <w:rsid w:val="0042031F"/>
    <w:rsid w:val="00426C2E"/>
    <w:rsid w:val="00460970"/>
    <w:rsid w:val="004B642A"/>
    <w:rsid w:val="004C5AC4"/>
    <w:rsid w:val="005A00FA"/>
    <w:rsid w:val="00604CD1"/>
    <w:rsid w:val="00605820"/>
    <w:rsid w:val="00633D41"/>
    <w:rsid w:val="00693F5E"/>
    <w:rsid w:val="006F3221"/>
    <w:rsid w:val="00750491"/>
    <w:rsid w:val="00750C80"/>
    <w:rsid w:val="00802C1F"/>
    <w:rsid w:val="00817F34"/>
    <w:rsid w:val="00853D21"/>
    <w:rsid w:val="008D4587"/>
    <w:rsid w:val="00A205B2"/>
    <w:rsid w:val="00A54032"/>
    <w:rsid w:val="00B1174C"/>
    <w:rsid w:val="00B35624"/>
    <w:rsid w:val="00BC7A93"/>
    <w:rsid w:val="00BD7242"/>
    <w:rsid w:val="00BF2EF8"/>
    <w:rsid w:val="00C476BD"/>
    <w:rsid w:val="00C95267"/>
    <w:rsid w:val="00D12D6B"/>
    <w:rsid w:val="00D22580"/>
    <w:rsid w:val="00D719BF"/>
    <w:rsid w:val="00DB3B07"/>
    <w:rsid w:val="00DF5E71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5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5</cp:revision>
  <dcterms:created xsi:type="dcterms:W3CDTF">2026-02-27T09:45:00Z</dcterms:created>
  <dcterms:modified xsi:type="dcterms:W3CDTF">2026-06-10T07:42:00Z</dcterms:modified>
</cp:coreProperties>
</file>