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ABCF0" w14:textId="77777777" w:rsidR="003F116B" w:rsidRDefault="0032245C" w:rsidP="0032245C">
      <w:pPr>
        <w:ind w:right="-427"/>
        <w:jc w:val="center"/>
        <w:rPr>
          <w:b/>
          <w:sz w:val="22"/>
        </w:rPr>
      </w:pPr>
      <w:r>
        <w:rPr>
          <w:b/>
          <w:sz w:val="22"/>
        </w:rPr>
        <w:t>ТЕ⁠‍​‍‌﻿﻿‌⁠​​‍‌‌⁠‍‍​‍﻿​‍​‍⁠‍​‍​‍⁠‍​​‍﻿‌‌‌​​﻿‍‌ХНИЧЕСКОЕ ЗАДАНИЕ</w:t>
      </w:r>
    </w:p>
    <w:p w14:paraId="20FF2F63" w14:textId="77777777" w:rsidR="003F116B" w:rsidRDefault="0032245C" w:rsidP="0032245C">
      <w:pPr>
        <w:jc w:val="center"/>
        <w:rPr>
          <w:b/>
          <w:sz w:val="22"/>
        </w:rPr>
      </w:pPr>
      <w:bookmarkStart w:id="0" w:name="_Hlk215241406"/>
      <w:r>
        <w:rPr>
          <w:b/>
          <w:sz w:val="22"/>
        </w:rPr>
        <w:t>на оказание услуг по физической охране объектов МАДОУ Д.С. № 2 ЗАТО МЕЖГОРЬЕ РЕСПУБЛИКИ БАШКОРТОСТАН</w:t>
      </w:r>
      <w:bookmarkEnd w:id="0"/>
    </w:p>
    <w:p w14:paraId="78C9A787" w14:textId="77777777" w:rsidR="003F116B" w:rsidRDefault="003F116B" w:rsidP="0032245C">
      <w:pPr>
        <w:jc w:val="center"/>
        <w:rPr>
          <w:b/>
          <w:sz w:val="22"/>
        </w:rPr>
      </w:pPr>
    </w:p>
    <w:p w14:paraId="6B2CD995" w14:textId="092446F0" w:rsidR="003F116B" w:rsidRDefault="005229CE" w:rsidP="005229CE">
      <w:pPr>
        <w:rPr>
          <w:i/>
          <w:sz w:val="22"/>
        </w:rPr>
      </w:pPr>
      <w:r w:rsidRPr="005229CE">
        <w:rPr>
          <w:i/>
          <w:sz w:val="22"/>
          <w:highlight w:val="yellow"/>
        </w:rPr>
        <w:t xml:space="preserve">ОКПД 2: </w:t>
      </w:r>
      <w:r w:rsidR="0032245C" w:rsidRPr="005229CE">
        <w:rPr>
          <w:i/>
          <w:sz w:val="22"/>
          <w:highlight w:val="yellow"/>
        </w:rPr>
        <w:t>80.10.12.200 Услуги частных охранных организаций</w:t>
      </w:r>
    </w:p>
    <w:p w14:paraId="32A40691" w14:textId="77777777" w:rsidR="003F116B" w:rsidRDefault="003F116B" w:rsidP="0032245C">
      <w:pPr>
        <w:jc w:val="center"/>
        <w:rPr>
          <w:b/>
          <w:sz w:val="22"/>
        </w:rPr>
      </w:pPr>
    </w:p>
    <w:p w14:paraId="599CAFA2" w14:textId="77777777" w:rsidR="003F116B" w:rsidRDefault="0032245C" w:rsidP="0032245C">
      <w:pPr>
        <w:rPr>
          <w:b/>
          <w:sz w:val="22"/>
        </w:rPr>
      </w:pPr>
      <w:r>
        <w:rPr>
          <w:b/>
          <w:sz w:val="22"/>
        </w:rPr>
        <w:t xml:space="preserve">1. Описание объекта закупки: </w:t>
      </w:r>
    </w:p>
    <w:p w14:paraId="6B0AB436" w14:textId="77777777" w:rsidR="003F116B" w:rsidRDefault="0032245C" w:rsidP="0032245C">
      <w:pPr>
        <w:tabs>
          <w:tab w:val="left" w:pos="1364"/>
        </w:tabs>
        <w:ind w:right="105"/>
        <w:jc w:val="both"/>
        <w:rPr>
          <w:sz w:val="22"/>
        </w:rPr>
      </w:pPr>
      <w:r>
        <w:rPr>
          <w:sz w:val="22"/>
        </w:rPr>
        <w:t>1.1. Объектом закупки является право заключения договора на оказание услуг по организации и обеспечению охраны объектов и (или) имущества, а также обеспечение внутриобъектового и пропускного режимов на объектах.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8"/>
        <w:gridCol w:w="1985"/>
        <w:gridCol w:w="2693"/>
        <w:gridCol w:w="1559"/>
        <w:gridCol w:w="1276"/>
      </w:tblGrid>
      <w:tr w:rsidR="0032245C" w14:paraId="4A138331" w14:textId="77777777" w:rsidTr="005229CE">
        <w:trPr>
          <w:trHeight w:val="63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52D7" w14:textId="77777777" w:rsidR="0032245C" w:rsidRDefault="0032245C" w:rsidP="0032245C">
            <w:pPr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ED07" w14:textId="77777777" w:rsidR="0032245C" w:rsidRDefault="0032245C" w:rsidP="0032245C">
            <w:pPr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охраняемого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071A" w14:textId="77777777" w:rsidR="0032245C" w:rsidRDefault="0032245C" w:rsidP="0032245C">
            <w:pPr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Адрес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371B" w14:textId="77777777" w:rsidR="0032245C" w:rsidRDefault="0032245C" w:rsidP="0032245C">
            <w:pPr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График охраны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C54C" w14:textId="77777777" w:rsidR="0032245C" w:rsidRDefault="0032245C" w:rsidP="0032245C">
            <w:pPr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постов/кол-во человек на посту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E12E" w14:textId="77777777" w:rsidR="0032245C" w:rsidRDefault="0032245C" w:rsidP="0032245C">
            <w:pPr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часов</w:t>
            </w:r>
          </w:p>
        </w:tc>
      </w:tr>
      <w:tr w:rsidR="0032245C" w14:paraId="3468B921" w14:textId="77777777" w:rsidTr="005229CE">
        <w:trPr>
          <w:trHeight w:val="94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D4B3" w14:textId="77777777" w:rsidR="0032245C" w:rsidRDefault="0032245C" w:rsidP="0032245C">
            <w:pPr>
              <w:spacing w:line="100" w:lineRule="atLeast"/>
              <w:rPr>
                <w:sz w:val="22"/>
              </w:rPr>
            </w:pPr>
            <w:bookmarkStart w:id="1" w:name="_Hlk215241218"/>
            <w:r>
              <w:rPr>
                <w:sz w:val="22"/>
              </w:rPr>
              <w:t>1.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D86E" w14:textId="77777777" w:rsidR="0032245C" w:rsidRDefault="0032245C" w:rsidP="0032245C">
            <w:pPr>
              <w:spacing w:line="100" w:lineRule="atLeast"/>
              <w:rPr>
                <w:sz w:val="22"/>
              </w:rPr>
            </w:pPr>
            <w:r>
              <w:rPr>
                <w:sz w:val="22"/>
              </w:rPr>
              <w:t>МАДОУ Д/С №2 ЗАТО Межгорье Республики Башкортостан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C209" w14:textId="77777777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453570, Башкортостан, Межгорье, Школьный, дом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6489" w14:textId="77777777" w:rsidR="00820E2F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с понедельника по пятницу с 07:00 час. до 19:00 час., </w:t>
            </w:r>
          </w:p>
          <w:p w14:paraId="0527B774" w14:textId="07B0E112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в предпраздничные дни</w:t>
            </w:r>
            <w:r w:rsidR="00820E2F">
              <w:rPr>
                <w:sz w:val="22"/>
              </w:rPr>
              <w:t xml:space="preserve"> </w:t>
            </w:r>
            <w:r w:rsidR="00820E2F">
              <w:rPr>
                <w:sz w:val="22"/>
              </w:rPr>
              <w:t>с 07:00 час. до 1</w:t>
            </w:r>
            <w:r w:rsidR="00820E2F">
              <w:rPr>
                <w:sz w:val="22"/>
              </w:rPr>
              <w:t>8</w:t>
            </w:r>
            <w:r w:rsidR="00820E2F">
              <w:rPr>
                <w:sz w:val="22"/>
              </w:rPr>
              <w:t>:00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8AFF" w14:textId="77777777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A238C5" w14:textId="1A5A6FF8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5229CE">
              <w:rPr>
                <w:sz w:val="22"/>
              </w:rPr>
              <w:t>547</w:t>
            </w:r>
          </w:p>
        </w:tc>
      </w:tr>
      <w:tr w:rsidR="0032245C" w14:paraId="14FAF675" w14:textId="77777777" w:rsidTr="005229CE">
        <w:trPr>
          <w:trHeight w:val="94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FF7B" w14:textId="77777777" w:rsidR="0032245C" w:rsidRDefault="0032245C" w:rsidP="0032245C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D905" w14:textId="77777777" w:rsidR="0032245C" w:rsidRDefault="0032245C" w:rsidP="0032245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454D" w14:textId="77777777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453570, Башкортостан, Межгорье, ул. </w:t>
            </w:r>
            <w:proofErr w:type="spellStart"/>
            <w:r>
              <w:rPr>
                <w:sz w:val="22"/>
              </w:rPr>
              <w:t>Ильмяшевская</w:t>
            </w:r>
            <w:proofErr w:type="spellEnd"/>
            <w:r>
              <w:rPr>
                <w:sz w:val="22"/>
              </w:rPr>
              <w:t>,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E159" w14:textId="77777777" w:rsidR="00820E2F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с понедельника по пятницу с 07:00 час. до 19:00 час., </w:t>
            </w:r>
          </w:p>
          <w:p w14:paraId="05103C18" w14:textId="27B72869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в предпраздничные дни</w:t>
            </w:r>
            <w:r w:rsidR="00820E2F">
              <w:rPr>
                <w:sz w:val="22"/>
              </w:rPr>
              <w:t xml:space="preserve"> </w:t>
            </w:r>
            <w:r w:rsidR="00820E2F">
              <w:rPr>
                <w:sz w:val="22"/>
              </w:rPr>
              <w:t>с 07:00 час. до 1</w:t>
            </w:r>
            <w:r w:rsidR="00820E2F">
              <w:rPr>
                <w:sz w:val="22"/>
              </w:rPr>
              <w:t>8</w:t>
            </w:r>
            <w:r w:rsidR="00820E2F">
              <w:rPr>
                <w:sz w:val="22"/>
              </w:rPr>
              <w:t>:00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2323" w14:textId="77777777" w:rsidR="0032245C" w:rsidRDefault="0032245C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F6CBF3" w14:textId="0842C592" w:rsidR="0032245C" w:rsidRDefault="005229CE" w:rsidP="0032245C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1 547</w:t>
            </w:r>
            <w:bookmarkEnd w:id="1"/>
          </w:p>
        </w:tc>
      </w:tr>
      <w:tr w:rsidR="0032245C" w:rsidRPr="005229CE" w14:paraId="25DCC8EC" w14:textId="77777777" w:rsidTr="005229CE">
        <w:trPr>
          <w:trHeight w:val="323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9D6C" w14:textId="77777777" w:rsidR="0032245C" w:rsidRPr="005229CE" w:rsidRDefault="0032245C" w:rsidP="005229CE">
            <w:pPr>
              <w:spacing w:line="100" w:lineRule="atLeast"/>
              <w:jc w:val="right"/>
              <w:rPr>
                <w:b/>
                <w:bCs/>
                <w:sz w:val="22"/>
              </w:rPr>
            </w:pPr>
            <w:r w:rsidRPr="005229CE">
              <w:rPr>
                <w:b/>
                <w:bCs/>
                <w:sz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1D3DE8" w14:textId="16C55B46" w:rsidR="0032245C" w:rsidRPr="005229CE" w:rsidRDefault="005229CE" w:rsidP="0032245C">
            <w:pPr>
              <w:spacing w:line="100" w:lineRule="atLeast"/>
              <w:jc w:val="center"/>
              <w:rPr>
                <w:b/>
                <w:bCs/>
                <w:sz w:val="22"/>
              </w:rPr>
            </w:pPr>
            <w:r w:rsidRPr="005229CE">
              <w:rPr>
                <w:b/>
                <w:bCs/>
                <w:sz w:val="22"/>
              </w:rPr>
              <w:t>3 094</w:t>
            </w:r>
          </w:p>
        </w:tc>
      </w:tr>
    </w:tbl>
    <w:p w14:paraId="51E13528" w14:textId="77777777" w:rsidR="0032245C" w:rsidRDefault="0032245C" w:rsidP="0032245C">
      <w:pPr>
        <w:tabs>
          <w:tab w:val="left" w:pos="1364"/>
        </w:tabs>
        <w:ind w:right="105"/>
        <w:jc w:val="both"/>
        <w:rPr>
          <w:sz w:val="22"/>
        </w:rPr>
      </w:pPr>
    </w:p>
    <w:p w14:paraId="47C11759" w14:textId="7CB699E3" w:rsidR="003F116B" w:rsidRDefault="0032245C" w:rsidP="0032245C">
      <w:pPr>
        <w:tabs>
          <w:tab w:val="left" w:pos="1364"/>
        </w:tabs>
        <w:ind w:right="105"/>
        <w:jc w:val="both"/>
        <w:rPr>
          <w:sz w:val="22"/>
        </w:rPr>
      </w:pPr>
      <w:r>
        <w:rPr>
          <w:b/>
          <w:sz w:val="22"/>
          <w:highlight w:val="yellow"/>
        </w:rPr>
        <w:t>2. Срок оказания услуг:</w:t>
      </w:r>
      <w:r>
        <w:rPr>
          <w:sz w:val="22"/>
          <w:highlight w:val="yellow"/>
        </w:rPr>
        <w:t xml:space="preserve"> с 01.07.2026 по 3</w:t>
      </w:r>
      <w:r w:rsidR="00820E2F">
        <w:rPr>
          <w:sz w:val="22"/>
          <w:highlight w:val="yellow"/>
        </w:rPr>
        <w:t>0</w:t>
      </w:r>
      <w:r>
        <w:rPr>
          <w:sz w:val="22"/>
          <w:highlight w:val="yellow"/>
        </w:rPr>
        <w:t>.12.2026 г.</w:t>
      </w:r>
      <w:r>
        <w:rPr>
          <w:sz w:val="22"/>
        </w:rPr>
        <w:t xml:space="preserve"> </w:t>
      </w:r>
    </w:p>
    <w:p w14:paraId="55A986AD" w14:textId="77777777" w:rsidR="003F116B" w:rsidRDefault="0032245C" w:rsidP="0032245C">
      <w:pPr>
        <w:tabs>
          <w:tab w:val="left" w:pos="1364"/>
        </w:tabs>
        <w:ind w:right="105"/>
        <w:jc w:val="both"/>
        <w:rPr>
          <w:b/>
          <w:sz w:val="22"/>
        </w:rPr>
      </w:pPr>
      <w:r>
        <w:rPr>
          <w:b/>
          <w:sz w:val="22"/>
        </w:rPr>
        <w:t>3. Требования к качеству услуг, к их техническим и функциональным и эксплуатационным характеристикам:</w:t>
      </w:r>
    </w:p>
    <w:p w14:paraId="63A0706A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14:paraId="1D057CFC" w14:textId="672524D2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деятельности», Положениями Закона от 11.03.1992 №2487-1 «О частной детективной и охранной деятельности в Российской Федерации» (далее – Закон № 2487-1).</w:t>
      </w:r>
    </w:p>
    <w:p w14:paraId="7698874A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Перечень разрешенных видов услуг: </w:t>
      </w:r>
    </w:p>
    <w:p w14:paraId="548B277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1) защита жизни и здоровья граждан; </w:t>
      </w:r>
    </w:p>
    <w:p w14:paraId="79766E6D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4F773625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14:paraId="2B650EA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4) обеспечение порядка в местах проведения массовых мероприятий; </w:t>
      </w:r>
    </w:p>
    <w:p w14:paraId="5EF09F2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5) охрана объектов и (или) имущества, а также обеспечение </w:t>
      </w:r>
      <w:proofErr w:type="spellStart"/>
      <w:r>
        <w:rPr>
          <w:sz w:val="22"/>
        </w:rPr>
        <w:t>внутриобьектового</w:t>
      </w:r>
      <w:proofErr w:type="spellEnd"/>
      <w:r>
        <w:rPr>
          <w:sz w:val="22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501727C9" w14:textId="77777777" w:rsidR="003F116B" w:rsidRDefault="0032245C" w:rsidP="0032245C">
      <w:pPr>
        <w:jc w:val="both"/>
        <w:rPr>
          <w:sz w:val="22"/>
        </w:rPr>
      </w:pPr>
      <w:r>
        <w:rPr>
          <w:sz w:val="22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235E2AD4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6E9DD49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37F09871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lastRenderedPageBreak/>
        <w:t>- Федеральный закон «О ведомственной охране» от 14 апреля 1999 года № 77-ФЗ;</w:t>
      </w:r>
    </w:p>
    <w:p w14:paraId="2414F1E8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5291165D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2313D9C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14:paraId="4B95B78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требования.</w:t>
      </w:r>
    </w:p>
    <w:p w14:paraId="49AD830A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в редакции от 02.08.2019 N 310-ФЗ, либо для организаций, на которых не распространяется действие Закона № 2487-1 и Постановления Правительства Российской Федерации от 23.06.2011 №498 - иного документа в соответствии, с которым сотрудники имеет право охранять объекты и имущества.</w:t>
      </w:r>
    </w:p>
    <w:p w14:paraId="2088F2C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14:paraId="40D73F9F" w14:textId="77777777" w:rsidR="003F116B" w:rsidRDefault="0032245C" w:rsidP="0032245C">
      <w:pPr>
        <w:jc w:val="both"/>
        <w:rPr>
          <w:sz w:val="22"/>
        </w:rPr>
      </w:pPr>
      <w:r>
        <w:rPr>
          <w:sz w:val="22"/>
        </w:rPr>
        <w:t xml:space="preserve">3.2.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14:paraId="1CB0837E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14:paraId="3AB12C4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14:paraId="39FB64E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14:paraId="7C5B8B1F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14:paraId="5EF518D9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</w:t>
      </w:r>
      <w:proofErr w:type="spellStart"/>
      <w:r>
        <w:rPr>
          <w:sz w:val="22"/>
        </w:rPr>
        <w:t>Росгвардии</w:t>
      </w:r>
      <w:proofErr w:type="spellEnd"/>
      <w:r>
        <w:rPr>
          <w:sz w:val="22"/>
        </w:rPr>
        <w:t xml:space="preserve"> </w:t>
      </w:r>
      <w:bookmarkStart w:id="2" w:name="_Hlk121494658"/>
      <w:r>
        <w:rPr>
          <w:sz w:val="22"/>
        </w:rPr>
        <w:t xml:space="preserve">по </w:t>
      </w:r>
      <w:bookmarkEnd w:id="2"/>
      <w:r>
        <w:rPr>
          <w:sz w:val="22"/>
        </w:rPr>
        <w:t>Республике Башкортостан.</w:t>
      </w:r>
    </w:p>
    <w:p w14:paraId="7BC72EF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14:paraId="2360EC4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В рамках оказываемых услуг Исполнитель каждые 2 (два) часа обязан обеспечить обход объекта Заказчика.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14:paraId="58545AA5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14:paraId="37264E66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14:paraId="539A6C74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14:paraId="663F9054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</w:t>
      </w:r>
      <w:r>
        <w:rPr>
          <w:sz w:val="22"/>
        </w:rPr>
        <w:lastRenderedPageBreak/>
        <w:t xml:space="preserve">работе сотрудниками Исполнителя технических средств связи, опрятность формы сотрудников Исполнителя. </w:t>
      </w:r>
    </w:p>
    <w:p w14:paraId="2F90DFD3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</w:t>
      </w:r>
      <w:proofErr w:type="spellStart"/>
      <w:r>
        <w:rPr>
          <w:sz w:val="22"/>
        </w:rPr>
        <w:t>Росгвардии</w:t>
      </w:r>
      <w:proofErr w:type="spellEnd"/>
      <w:r>
        <w:rPr>
          <w:sz w:val="22"/>
        </w:rPr>
        <w:t xml:space="preserve"> по Республике Башкортостан.</w:t>
      </w:r>
    </w:p>
    <w:p w14:paraId="63E77E69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14:paraId="42E97D67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14:paraId="127CAA8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При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по сокращению возможных убытков и обеспечить вызов аварийных служб. </w:t>
      </w:r>
    </w:p>
    <w:p w14:paraId="53A74CF8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Исполнитель охранных услуг (охранная организация, подразделение ведомственной охраны): </w:t>
      </w:r>
    </w:p>
    <w:p w14:paraId="5440A1F4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14:paraId="4E920201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</w:p>
    <w:p w14:paraId="5263BD93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14:paraId="576C88BE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имеет круглосуточную дежурную часть.</w:t>
      </w:r>
    </w:p>
    <w:p w14:paraId="79C6C0C7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-имеет группу быстрого реагирования;</w:t>
      </w:r>
    </w:p>
    <w:p w14:paraId="58DE97BD" w14:textId="77777777" w:rsidR="003F116B" w:rsidRDefault="0032245C" w:rsidP="0032245C">
      <w:pPr>
        <w:tabs>
          <w:tab w:val="left" w:pos="851"/>
          <w:tab w:val="left" w:pos="1560"/>
        </w:tabs>
        <w:jc w:val="both"/>
        <w:rPr>
          <w:sz w:val="22"/>
        </w:rPr>
      </w:pPr>
      <w:r>
        <w:rPr>
          <w:sz w:val="22"/>
        </w:rPr>
        <w:t>-</w:t>
      </w:r>
      <w:r>
        <w:rPr>
          <w:sz w:val="20"/>
        </w:rPr>
        <w:t xml:space="preserve"> </w:t>
      </w:r>
      <w:r>
        <w:rPr>
          <w:sz w:val="22"/>
        </w:rPr>
        <w:t>обследует здание и территорию, подлежащие охране, проводит оценку их уязвимости, составляет акт обследования объекта охраны;</w:t>
      </w:r>
    </w:p>
    <w:p w14:paraId="6E701AD4" w14:textId="77777777" w:rsidR="003F116B" w:rsidRDefault="0032245C" w:rsidP="0032245C">
      <w:pPr>
        <w:tabs>
          <w:tab w:val="left" w:pos="851"/>
          <w:tab w:val="left" w:pos="1560"/>
        </w:tabs>
        <w:jc w:val="both"/>
        <w:rPr>
          <w:spacing w:val="5"/>
          <w:sz w:val="22"/>
        </w:rPr>
      </w:pPr>
      <w:r>
        <w:rPr>
          <w:spacing w:val="5"/>
          <w:sz w:val="22"/>
        </w:rPr>
        <w:t>-</w:t>
      </w:r>
      <w:r>
        <w:rPr>
          <w:sz w:val="22"/>
        </w:rPr>
        <w:t xml:space="preserve"> </w:t>
      </w:r>
      <w:r>
        <w:rPr>
          <w:spacing w:val="5"/>
          <w:sz w:val="22"/>
        </w:rPr>
        <w:t>Обеспечивает конфиденциальность сведений, касающихся технической оснащенности и укрепленности охраняемого объекта.</w:t>
      </w:r>
    </w:p>
    <w:p w14:paraId="5DC229CE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Сотрудники, привлекаемые к охране, должны: </w:t>
      </w:r>
    </w:p>
    <w:p w14:paraId="7CCAA829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14:paraId="05A2356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одежды.</w:t>
      </w:r>
    </w:p>
    <w:p w14:paraId="3AE7FB8D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 В случае если охранник является сотрудником частной охранной организации:</w:t>
      </w:r>
    </w:p>
    <w:p w14:paraId="70AA141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 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47D23F6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сотрудниками охраны не допускается к несению службы более 24 (двадцати четырех) часов без смены. </w:t>
      </w:r>
    </w:p>
    <w:p w14:paraId="67D6318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lastRenderedPageBreak/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</w:p>
    <w:p w14:paraId="1F37A26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иметь средства связи, обеспечивающие бесперебойную связь с дежурной службой Исполнителя для вызова мобильной вооруженной группы Исполнителя (за счет Исполнителя); </w:t>
      </w:r>
    </w:p>
    <w:p w14:paraId="345D0089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иметь мобильный металлоискатель (за счет Исполнителя)</w:t>
      </w:r>
    </w:p>
    <w:p w14:paraId="6EEA626E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соответствовать требованиям Постановления Правительства Российской Федерации от 19 мая 2007 года № 300 «Об утверждении перечня заболеваний, препятствующих исполнению обязанностей частного охранника»; </w:t>
      </w:r>
    </w:p>
    <w:p w14:paraId="30CF0DE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соблюдать требования трудового законодательства Российской Федерации о режиме труда и отдыха; </w:t>
      </w:r>
    </w:p>
    <w:p w14:paraId="1255E93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знать действующие нормативные документы по вопросам организации охраны; </w:t>
      </w:r>
    </w:p>
    <w:p w14:paraId="04E155C1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14:paraId="53A36E0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14:paraId="3FC0129A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при срабатывании охранно-пожарной сигнализации, тревожной сигнализации вследствие технической неисправности.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14:paraId="4696698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14:paraId="135C0444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предотвращать несанкционированный доступ (проход) посторонних лиц на охраняемые объекты;</w:t>
      </w:r>
    </w:p>
    <w:p w14:paraId="4C1C6777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- осуществлять контроль за ввозом-вывозом, вносом-выносом материальных ценностей;</w:t>
      </w:r>
    </w:p>
    <w:p w14:paraId="78BA13FF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</w:p>
    <w:p w14:paraId="159E20B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иметь исправный электрический фонарь на каждом посту охраны; </w:t>
      </w:r>
    </w:p>
    <w:p w14:paraId="6E58CDEF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учреждения. </w:t>
      </w:r>
    </w:p>
    <w:p w14:paraId="5FE14D66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Ведение на объекте необходимой документации: </w:t>
      </w:r>
    </w:p>
    <w:p w14:paraId="61631A65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журналов учета посетителей; </w:t>
      </w:r>
    </w:p>
    <w:p w14:paraId="31F87473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14:paraId="23983EDD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книг приема и сдачи дежурств; </w:t>
      </w:r>
    </w:p>
    <w:p w14:paraId="22B06B05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книг учета проверок; </w:t>
      </w:r>
    </w:p>
    <w:p w14:paraId="65066446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наблюдательного дела с приказами, инструкциями, памятками и др. документами. </w:t>
      </w:r>
    </w:p>
    <w:p w14:paraId="4141B9E1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14:paraId="1184CE86" w14:textId="77777777" w:rsidR="003F116B" w:rsidRDefault="003F116B" w:rsidP="0032245C">
      <w:pPr>
        <w:ind w:right="-35"/>
        <w:jc w:val="both"/>
        <w:rPr>
          <w:sz w:val="22"/>
        </w:rPr>
      </w:pPr>
    </w:p>
    <w:p w14:paraId="2EF39FBB" w14:textId="77777777" w:rsidR="003F116B" w:rsidRDefault="0032245C" w:rsidP="0032245C">
      <w:pPr>
        <w:jc w:val="both"/>
        <w:rPr>
          <w:b/>
          <w:sz w:val="22"/>
        </w:rPr>
      </w:pPr>
      <w:r>
        <w:rPr>
          <w:b/>
          <w:sz w:val="22"/>
        </w:rPr>
        <w:t>4. Гарантийные требования:</w:t>
      </w:r>
    </w:p>
    <w:p w14:paraId="5343937D" w14:textId="77777777" w:rsidR="003F116B" w:rsidRDefault="0032245C" w:rsidP="0032245C">
      <w:pPr>
        <w:jc w:val="both"/>
        <w:rPr>
          <w:sz w:val="22"/>
        </w:rPr>
      </w:pPr>
      <w:r>
        <w:rPr>
          <w:sz w:val="22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627DF1F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4.2. Гарантийный срок на оказание услуг распространяется на весь период действия договора. </w:t>
      </w:r>
    </w:p>
    <w:p w14:paraId="14B926A4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1E0C301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4.4. Исполнитель несёт материальную ответственность за ущерб, причиненный в результате: </w:t>
      </w:r>
    </w:p>
    <w:p w14:paraId="549E3D1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5599BD65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</w:t>
      </w:r>
      <w:r>
        <w:rPr>
          <w:sz w:val="22"/>
        </w:rPr>
        <w:lastRenderedPageBreak/>
        <w:t xml:space="preserve">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0603AE13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5639D555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14:paraId="03BA143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14A56E60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298812CC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6445DF3E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4.9. Исполнитель не несёт ответственность в следующих случаях: </w:t>
      </w:r>
    </w:p>
    <w:p w14:paraId="67924422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за имущественный ущерб и ущерб, причиненный материальным ценностям стихийными бедствиями; </w:t>
      </w:r>
    </w:p>
    <w:p w14:paraId="714CBACB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27A6F3E9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за оставленное без присмотра личное имущество работников Заказчика, имущество иных лиц; </w:t>
      </w:r>
    </w:p>
    <w:p w14:paraId="4AE7F65A" w14:textId="77777777" w:rsidR="003F116B" w:rsidRDefault="0032245C" w:rsidP="0032245C">
      <w:pPr>
        <w:ind w:right="-35"/>
        <w:jc w:val="both"/>
        <w:rPr>
          <w:sz w:val="22"/>
        </w:rPr>
      </w:pPr>
      <w:r>
        <w:rPr>
          <w:sz w:val="22"/>
        </w:rPr>
        <w:t xml:space="preserve">- в случае, когда ущерб </w:t>
      </w:r>
      <w:proofErr w:type="gramStart"/>
      <w:r>
        <w:rPr>
          <w:sz w:val="22"/>
        </w:rPr>
        <w:t>наступил, несмотря на то, что</w:t>
      </w:r>
      <w:proofErr w:type="gramEnd"/>
      <w:r>
        <w:rPr>
          <w:sz w:val="22"/>
        </w:rPr>
        <w:t xml:space="preserve"> сотрудниками Исполнителя были предприняты все меры, предусмотренные Законом, для пресечения преступного посягательства</w:t>
      </w:r>
    </w:p>
    <w:p w14:paraId="14EE0F95" w14:textId="77777777" w:rsidR="003F116B" w:rsidRDefault="003F116B" w:rsidP="0032245C">
      <w:pPr>
        <w:spacing w:line="100" w:lineRule="atLeast"/>
        <w:rPr>
          <w:sz w:val="22"/>
        </w:rPr>
      </w:pPr>
    </w:p>
    <w:p w14:paraId="0BD886AC" w14:textId="77777777" w:rsidR="003F116B" w:rsidRDefault="003F116B" w:rsidP="0032245C">
      <w:pPr>
        <w:spacing w:line="100" w:lineRule="atLeast"/>
        <w:rPr>
          <w:sz w:val="22"/>
        </w:rPr>
      </w:pPr>
    </w:p>
    <w:p w14:paraId="0CB3292A" w14:textId="77777777" w:rsidR="003F116B" w:rsidRDefault="003F116B" w:rsidP="0032245C">
      <w:pPr>
        <w:spacing w:line="100" w:lineRule="atLeast"/>
        <w:rPr>
          <w:sz w:val="22"/>
        </w:rPr>
      </w:pPr>
    </w:p>
    <w:p w14:paraId="503ED7F8" w14:textId="77777777" w:rsidR="003F116B" w:rsidRDefault="003F116B" w:rsidP="0032245C">
      <w:pPr>
        <w:spacing w:line="100" w:lineRule="atLeast"/>
        <w:rPr>
          <w:sz w:val="22"/>
        </w:rPr>
      </w:pPr>
    </w:p>
    <w:p w14:paraId="15F02947" w14:textId="77777777" w:rsidR="003F116B" w:rsidRDefault="003F116B" w:rsidP="0032245C">
      <w:pPr>
        <w:spacing w:line="100" w:lineRule="atLeast"/>
        <w:rPr>
          <w:sz w:val="22"/>
        </w:rPr>
      </w:pPr>
    </w:p>
    <w:p w14:paraId="396C36A6" w14:textId="77777777" w:rsidR="003F116B" w:rsidRDefault="003F116B" w:rsidP="0032245C">
      <w:pPr>
        <w:spacing w:line="100" w:lineRule="atLeast"/>
        <w:rPr>
          <w:sz w:val="22"/>
        </w:rPr>
      </w:pPr>
    </w:p>
    <w:p w14:paraId="07795E71" w14:textId="77777777" w:rsidR="003F116B" w:rsidRDefault="003F116B" w:rsidP="0032245C">
      <w:pPr>
        <w:spacing w:line="100" w:lineRule="atLeast"/>
        <w:rPr>
          <w:sz w:val="22"/>
        </w:rPr>
      </w:pPr>
    </w:p>
    <w:p w14:paraId="5628CA40" w14:textId="77777777" w:rsidR="003F116B" w:rsidRDefault="003F116B" w:rsidP="0032245C">
      <w:pPr>
        <w:spacing w:line="100" w:lineRule="atLeast"/>
        <w:rPr>
          <w:sz w:val="22"/>
        </w:rPr>
      </w:pPr>
    </w:p>
    <w:p w14:paraId="75E3D1BD" w14:textId="77777777" w:rsidR="003F116B" w:rsidRDefault="003F116B" w:rsidP="0032245C">
      <w:pPr>
        <w:spacing w:line="100" w:lineRule="atLeast"/>
        <w:rPr>
          <w:sz w:val="22"/>
        </w:rPr>
      </w:pPr>
    </w:p>
    <w:p w14:paraId="3FF22D5B" w14:textId="77777777" w:rsidR="003F116B" w:rsidRDefault="003F116B" w:rsidP="0032245C">
      <w:pPr>
        <w:spacing w:line="100" w:lineRule="atLeast"/>
        <w:rPr>
          <w:sz w:val="22"/>
        </w:rPr>
      </w:pPr>
    </w:p>
    <w:p w14:paraId="48C2D2E6" w14:textId="77777777" w:rsidR="003F116B" w:rsidRDefault="003F116B" w:rsidP="0032245C">
      <w:pPr>
        <w:spacing w:line="100" w:lineRule="atLeast"/>
        <w:rPr>
          <w:sz w:val="22"/>
        </w:rPr>
      </w:pPr>
    </w:p>
    <w:p w14:paraId="7521AF66" w14:textId="77777777" w:rsidR="003F116B" w:rsidRDefault="003F116B" w:rsidP="0032245C">
      <w:pPr>
        <w:spacing w:line="100" w:lineRule="atLeast"/>
        <w:rPr>
          <w:sz w:val="22"/>
        </w:rPr>
      </w:pPr>
    </w:p>
    <w:p w14:paraId="2852C0D6" w14:textId="77777777" w:rsidR="003F116B" w:rsidRDefault="003F116B" w:rsidP="0032245C">
      <w:pPr>
        <w:spacing w:line="100" w:lineRule="atLeast"/>
        <w:rPr>
          <w:sz w:val="22"/>
        </w:rPr>
      </w:pPr>
    </w:p>
    <w:p w14:paraId="09BC910F" w14:textId="77777777" w:rsidR="003F116B" w:rsidRDefault="003F116B" w:rsidP="0032245C">
      <w:pPr>
        <w:spacing w:line="100" w:lineRule="atLeast"/>
        <w:rPr>
          <w:sz w:val="22"/>
        </w:rPr>
      </w:pPr>
    </w:p>
    <w:p w14:paraId="2215B296" w14:textId="77777777" w:rsidR="003F116B" w:rsidRDefault="003F116B" w:rsidP="0032245C">
      <w:pPr>
        <w:spacing w:line="100" w:lineRule="atLeast"/>
        <w:rPr>
          <w:sz w:val="22"/>
        </w:rPr>
      </w:pPr>
    </w:p>
    <w:p w14:paraId="3570D891" w14:textId="77777777" w:rsidR="003F116B" w:rsidRDefault="003F116B" w:rsidP="0032245C">
      <w:pPr>
        <w:spacing w:line="100" w:lineRule="atLeast"/>
        <w:rPr>
          <w:sz w:val="22"/>
        </w:rPr>
      </w:pPr>
    </w:p>
    <w:p w14:paraId="453115BB" w14:textId="77777777" w:rsidR="003F116B" w:rsidRDefault="003F116B" w:rsidP="0032245C">
      <w:pPr>
        <w:spacing w:line="100" w:lineRule="atLeast"/>
        <w:rPr>
          <w:sz w:val="22"/>
        </w:rPr>
      </w:pPr>
    </w:p>
    <w:p w14:paraId="071B85B9" w14:textId="77777777" w:rsidR="003F116B" w:rsidRDefault="003F116B" w:rsidP="0032245C">
      <w:pPr>
        <w:spacing w:line="100" w:lineRule="atLeast"/>
        <w:rPr>
          <w:sz w:val="22"/>
        </w:rPr>
      </w:pPr>
    </w:p>
    <w:p w14:paraId="45E5B511" w14:textId="77777777" w:rsidR="003F116B" w:rsidRDefault="003F116B" w:rsidP="0032245C">
      <w:pPr>
        <w:spacing w:line="100" w:lineRule="atLeast"/>
        <w:rPr>
          <w:sz w:val="22"/>
        </w:rPr>
      </w:pPr>
    </w:p>
    <w:p w14:paraId="1860231F" w14:textId="77777777" w:rsidR="003F116B" w:rsidRDefault="003F116B" w:rsidP="0032245C">
      <w:pPr>
        <w:spacing w:line="100" w:lineRule="atLeast"/>
        <w:rPr>
          <w:sz w:val="22"/>
        </w:rPr>
      </w:pPr>
    </w:p>
    <w:p w14:paraId="3B301CDA" w14:textId="77777777" w:rsidR="003F116B" w:rsidRDefault="003F116B" w:rsidP="0032245C">
      <w:pPr>
        <w:spacing w:line="100" w:lineRule="atLeast"/>
        <w:rPr>
          <w:sz w:val="22"/>
        </w:rPr>
      </w:pPr>
    </w:p>
    <w:p w14:paraId="3FCFA0B3" w14:textId="77777777" w:rsidR="003F116B" w:rsidRDefault="003F116B" w:rsidP="0032245C">
      <w:pPr>
        <w:spacing w:line="100" w:lineRule="atLeast"/>
        <w:rPr>
          <w:sz w:val="22"/>
        </w:rPr>
      </w:pPr>
    </w:p>
    <w:p w14:paraId="1B54D423" w14:textId="77777777" w:rsidR="003F116B" w:rsidRDefault="003F116B" w:rsidP="0032245C">
      <w:pPr>
        <w:spacing w:line="100" w:lineRule="atLeast"/>
        <w:rPr>
          <w:sz w:val="22"/>
        </w:rPr>
      </w:pPr>
    </w:p>
    <w:p w14:paraId="205B05C7" w14:textId="77777777" w:rsidR="003F116B" w:rsidRDefault="003F116B" w:rsidP="0032245C">
      <w:pPr>
        <w:spacing w:line="100" w:lineRule="atLeast"/>
        <w:rPr>
          <w:sz w:val="22"/>
        </w:rPr>
      </w:pPr>
    </w:p>
    <w:p w14:paraId="5EF96C92" w14:textId="77777777" w:rsidR="003F116B" w:rsidRDefault="003F116B" w:rsidP="0032245C">
      <w:pPr>
        <w:spacing w:line="100" w:lineRule="atLeast"/>
        <w:rPr>
          <w:sz w:val="22"/>
        </w:rPr>
      </w:pPr>
    </w:p>
    <w:p w14:paraId="21C70F9B" w14:textId="77777777" w:rsidR="003F116B" w:rsidRDefault="003F116B" w:rsidP="0032245C">
      <w:pPr>
        <w:spacing w:line="100" w:lineRule="atLeast"/>
        <w:rPr>
          <w:sz w:val="22"/>
        </w:rPr>
      </w:pPr>
    </w:p>
    <w:p w14:paraId="6CAE7CBB" w14:textId="77777777" w:rsidR="003F116B" w:rsidRDefault="003F116B" w:rsidP="0032245C">
      <w:pPr>
        <w:spacing w:line="100" w:lineRule="atLeast"/>
        <w:rPr>
          <w:sz w:val="22"/>
        </w:rPr>
      </w:pPr>
    </w:p>
    <w:p w14:paraId="7CF40073" w14:textId="77777777" w:rsidR="003F116B" w:rsidRDefault="003F116B" w:rsidP="0032245C">
      <w:pPr>
        <w:spacing w:line="100" w:lineRule="atLeast"/>
        <w:rPr>
          <w:sz w:val="22"/>
        </w:rPr>
      </w:pPr>
    </w:p>
    <w:p w14:paraId="37C238FC" w14:textId="77777777" w:rsidR="003F116B" w:rsidRDefault="003F116B" w:rsidP="0032245C">
      <w:pPr>
        <w:spacing w:line="100" w:lineRule="atLeast"/>
        <w:rPr>
          <w:sz w:val="22"/>
        </w:rPr>
      </w:pPr>
    </w:p>
    <w:p w14:paraId="3110E31B" w14:textId="77777777" w:rsidR="003F116B" w:rsidRDefault="003F116B" w:rsidP="0032245C">
      <w:pPr>
        <w:spacing w:line="100" w:lineRule="atLeast"/>
        <w:rPr>
          <w:sz w:val="22"/>
        </w:rPr>
      </w:pPr>
    </w:p>
    <w:p w14:paraId="6FE54831" w14:textId="77777777" w:rsidR="003F116B" w:rsidRDefault="003F116B" w:rsidP="0032245C">
      <w:pPr>
        <w:spacing w:line="100" w:lineRule="atLeast"/>
        <w:rPr>
          <w:sz w:val="22"/>
        </w:rPr>
      </w:pPr>
    </w:p>
    <w:sectPr w:rsidR="003F116B" w:rsidSect="0032245C">
      <w:pgSz w:w="11906" w:h="16838"/>
      <w:pgMar w:top="1134" w:right="851" w:bottom="1134" w:left="1134" w:header="709" w:footer="709" w:gutter="0"/>
      <w:cols w:space="720"/>
    </w:sectPr>
    <!-- MKR-12863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6B"/>
    <w:rsid w:val="0032245C"/>
    <w:rsid w:val="003F116B"/>
    <w:rsid w:val="005229CE"/>
    <w:rsid w:val="00820E2F"/>
    <w:rsid w:val="00E8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0FE3"/>
  <w15:docId w15:val="{55C55ACA-2CDE-4565-AF1C-20FDAA75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12">
    <w:name w:val="Основной шрифт абзаца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paragraph" w:customStyle="1" w:styleId="13">
    <w:name w:val="Знак концевой сноски1"/>
    <w:link w:val="a7"/>
    <w:rPr>
      <w:vertAlign w:val="superscript"/>
    </w:rPr>
  </w:style>
  <w:style w:type="character" w:styleId="a7">
    <w:name w:val="endnote reference"/>
    <w:link w:val="13"/>
    <w:rPr>
      <w:vertAlign w:val="superscript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a8">
    <w:name w:val="Название"/>
    <w:basedOn w:val="a"/>
    <w:link w:val="a9"/>
    <w:pPr>
      <w:jc w:val="center"/>
    </w:pPr>
    <w:rPr>
      <w:b/>
      <w:sz w:val="22"/>
    </w:rPr>
  </w:style>
  <w:style w:type="character" w:customStyle="1" w:styleId="a9">
    <w:name w:val="Название"/>
    <w:basedOn w:val="1"/>
    <w:link w:val="a8"/>
    <w:rPr>
      <w:b/>
      <w:sz w:val="22"/>
    </w:rPr>
  </w:style>
  <w:style w:type="paragraph" w:customStyle="1" w:styleId="western">
    <w:name w:val="western"/>
    <w:basedOn w:val="a"/>
    <w:link w:val="western0"/>
    <w:pPr>
      <w:spacing w:beforeAutospacing="1" w:after="119"/>
    </w:pPr>
    <w:rPr>
      <w:b/>
      <w:caps/>
      <w:sz w:val="28"/>
    </w:rPr>
  </w:style>
  <w:style w:type="character" w:customStyle="1" w:styleId="western0">
    <w:name w:val="western"/>
    <w:basedOn w:val="1"/>
    <w:link w:val="western"/>
    <w:rPr>
      <w:b/>
      <w:caps/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4">
    <w:name w:val="Знак сноски1"/>
    <w:link w:val="aa"/>
    <w:rPr>
      <w:vertAlign w:val="superscript"/>
    </w:rPr>
  </w:style>
  <w:style w:type="character" w:styleId="aa">
    <w:name w:val="footnote reference"/>
    <w:link w:val="14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b">
    <w:name w:val="Body Text"/>
    <w:basedOn w:val="a"/>
    <w:link w:val="ac"/>
    <w:pPr>
      <w:spacing w:after="120"/>
    </w:pPr>
    <w:rPr>
      <w:sz w:val="20"/>
    </w:rPr>
  </w:style>
  <w:style w:type="character" w:customStyle="1" w:styleId="ac">
    <w:name w:val="Основной текст Знак"/>
    <w:basedOn w:val="1"/>
    <w:link w:val="ab"/>
    <w:rPr>
      <w:sz w:val="20"/>
    </w:rPr>
  </w:style>
  <w:style w:type="paragraph" w:styleId="ad">
    <w:name w:val="header"/>
    <w:basedOn w:val="a"/>
    <w:link w:val="ae"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0">
    <w:name w:val="footer"/>
    <w:basedOn w:val="a"/>
    <w:link w:val="af1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4">
    <w:name w:val="TOC Heading"/>
    <w:link w:val="af5"/>
  </w:style>
  <w:style w:type="character" w:customStyle="1" w:styleId="af5">
    <w:name w:val="Заголовок оглавления Знак"/>
    <w:link w:val="af4"/>
  </w:style>
  <w:style w:type="paragraph" w:styleId="af6">
    <w:name w:val="No Spacing"/>
    <w:link w:val="af7"/>
  </w:style>
  <w:style w:type="character" w:customStyle="1" w:styleId="af7">
    <w:name w:val="Без интервала Знак"/>
    <w:link w:val="af6"/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8">
    <w:name w:val="Intense Quote"/>
    <w:basedOn w:val="a"/>
    <w:next w:val="a"/>
    <w:link w:val="af9"/>
    <w:pPr>
      <w:ind w:left="720" w:right="720"/>
    </w:pPr>
    <w:rPr>
      <w:i/>
    </w:rPr>
  </w:style>
  <w:style w:type="character" w:customStyle="1" w:styleId="af9">
    <w:name w:val="Выделенная цитата Знак"/>
    <w:basedOn w:val="1"/>
    <w:link w:val="af8"/>
    <w:rPr>
      <w:i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4"/>
    </w:rPr>
  </w:style>
  <w:style w:type="character" w:customStyle="1" w:styleId="ConsPlusNormal0">
    <w:name w:val="ConsPlusNormal"/>
    <w:link w:val="ConsPlusNormal"/>
    <w:rPr>
      <w:rFonts w:ascii="Arial" w:hAnsi="Arial"/>
      <w:sz w:val="14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</w:style>
  <w:style w:type="character" w:customStyle="1" w:styleId="afd">
    <w:name w:val="Подзаголовок Знак"/>
    <w:basedOn w:val="1"/>
    <w:link w:val="afc"/>
    <w:rPr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sz w:val="48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ff0">
    <w:name w:val="Знак Знак Знак Знак"/>
    <w:basedOn w:val="a"/>
    <w:link w:val="aff1"/>
    <w:pPr>
      <w:spacing w:beforeAutospacing="1" w:afterAutospacing="1"/>
    </w:pPr>
    <w:rPr>
      <w:rFonts w:ascii="Tahoma" w:hAnsi="Tahoma"/>
      <w:sz w:val="20"/>
    </w:rPr>
  </w:style>
  <w:style w:type="character" w:customStyle="1" w:styleId="aff1">
    <w:name w:val="Знак Знак Знак Знак"/>
    <w:basedOn w:val="1"/>
    <w:link w:val="aff0"/>
    <w:rPr>
      <w:rFonts w:ascii="Tahoma" w:hAnsi="Tahoma"/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aff2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DOC-MARKER-xpAnSuk-RBpuxzzs_GaQJg</dc:description>
  <dc:creator>Андреева Вероника Ивановна</dc:creator>
  <cp:lastModifiedBy>Андреева Вероника Ивановна</cp:lastModifiedBy>
  <cp:revision>3</cp:revision>
  <dcterms:created xsi:type="dcterms:W3CDTF">2026-06-09T13:12:00Z</dcterms:created>
  <dcterms:modified xsi:type="dcterms:W3CDTF">2026-06-10T06:18:00Z</dcterms:modified>
</cp:coreProperties>
</file>