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Рекоме‍​⁠⁠‍‌⁠﻿‍‌﻿⁠​‌‍‌⁠‍​‌﻿﻿⁠​‌‍﻿​﻿‌⁠﻿‍⁠‌‌‌﻿‍﻿⁠‌‍‍ндуем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5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DOC-MARKER-W3bCl9jlxeISvYiC2fFBhw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