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F37E88" w:rsidP="00F37E88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F37E88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F37E88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F37E88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«  </w:t>
            </w:r>
            <w:proofErr w:type="gramEnd"/>
            <w:r>
              <w:rPr>
                <w:lang w:bidi="ru-RU"/>
              </w:rPr>
              <w:t xml:space="preserve">   »</w:t>
            </w:r>
            <w:r w:rsidR="004A475D" w:rsidRPr="004A475D">
              <w:rPr>
                <w:lang w:bidi="ru-RU"/>
              </w:rPr>
              <w:t xml:space="preserve"> </w:t>
            </w:r>
            <w:r w:rsidR="00F37E88">
              <w:rPr>
                <w:u w:val="single"/>
                <w:lang w:bidi="ru-RU"/>
              </w:rPr>
              <w:t>июня</w:t>
            </w:r>
            <w:r w:rsidR="004A475D" w:rsidRPr="004A475D">
              <w:rPr>
                <w:lang w:bidi="ru-RU"/>
              </w:rPr>
              <w:t xml:space="preserve"> </w:t>
            </w:r>
            <w:r w:rsidR="00F37E88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F37E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F37E8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F37E88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F37E88">
        <w:rPr>
          <w:rFonts w:ascii="Times New Roman" w:hAnsi="Times New Roman" w:cs="Times New Roman"/>
          <w:lang w:eastAsia="ar-SA"/>
        </w:rPr>
        <w:t>комиссии № ______ от __.__.2026</w:t>
      </w:r>
      <w:r w:rsidRPr="004A475D">
        <w:rPr>
          <w:rFonts w:ascii="Times New Roman" w:hAnsi="Times New Roman" w:cs="Times New Roman"/>
          <w:lang w:eastAsia="ar-SA"/>
        </w:rPr>
        <w:t>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F37E88">
        <w:t xml:space="preserve"> «</w:t>
      </w:r>
      <w:proofErr w:type="spellStart"/>
      <w:r w:rsidR="00F37E88" w:rsidRPr="00D81884">
        <w:rPr>
          <w:b/>
          <w:bCs/>
        </w:rPr>
        <w:t>Ароматизатор</w:t>
      </w:r>
      <w:proofErr w:type="spellEnd"/>
      <w:r w:rsidR="00F37E88" w:rsidRPr="00D81884">
        <w:rPr>
          <w:b/>
          <w:bCs/>
        </w:rPr>
        <w:t xml:space="preserve"> пищевой "Масло сливочное"</w:t>
      </w:r>
      <w:r w:rsidR="00F37E88">
        <w:rPr>
          <w:b/>
          <w:bCs/>
        </w:rPr>
        <w:t xml:space="preserve"> 6032 Р</w:t>
      </w:r>
      <w:r w:rsidR="00F37E88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20%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F37E88">
        <w:rPr>
          <w:rStyle w:val="a5"/>
          <w:b w:val="0"/>
          <w:color w:val="000000"/>
          <w:shd w:val="clear" w:color="auto" w:fill="FFFFFF"/>
        </w:rPr>
        <w:t>до «28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F37E88">
        <w:rPr>
          <w:rStyle w:val="a5"/>
          <w:b w:val="0"/>
          <w:color w:val="000000"/>
          <w:shd w:val="clear" w:color="auto" w:fill="FFFFFF"/>
        </w:rPr>
        <w:t>февраля 2027</w:t>
      </w:r>
      <w:r w:rsidRPr="004A475D">
        <w:rPr>
          <w:rStyle w:val="a5"/>
          <w:b w:val="0"/>
          <w:color w:val="000000"/>
          <w:shd w:val="clear" w:color="auto" w:fill="FFFFFF"/>
        </w:rPr>
        <w:t> года,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F37E88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F37E88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</w:t>
            </w:r>
            <w:r w:rsidR="00583EAF" w:rsidRPr="00583EAF">
              <w:rPr>
                <w:rFonts w:ascii="Times New Roman" w:hAnsi="Times New Roman" w:cs="Times New Roman"/>
                <w:sz w:val="20"/>
                <w:szCs w:val="20"/>
              </w:rPr>
              <w:t>504045001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 ОГРН 1026602962143 ОКПО 25057716 </w:t>
            </w:r>
          </w:p>
          <w:p w:rsidR="004A475D" w:rsidRPr="00A2622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26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26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A2622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A2622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A2622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A2622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103"/>
        <w:gridCol w:w="1275"/>
        <w:gridCol w:w="1560"/>
        <w:gridCol w:w="2087"/>
        <w:gridCol w:w="1949"/>
      </w:tblGrid>
      <w:tr w:rsidR="009024DC" w:rsidRPr="009024DC" w:rsidTr="00A26229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49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4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F37E88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F37E88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A26229">
        <w:tc>
          <w:tcPr>
            <w:tcW w:w="211" w:type="pct"/>
          </w:tcPr>
          <w:p w:rsidR="009024DC" w:rsidRPr="009024DC" w:rsidRDefault="00F37E8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490" w:type="pct"/>
          </w:tcPr>
          <w:p w:rsidR="00F37E88" w:rsidRDefault="00F37E88" w:rsidP="00A26229">
            <w:pPr>
              <w:pStyle w:val="Normalunindented"/>
              <w:keepNext/>
              <w:spacing w:after="0" w:line="240" w:lineRule="auto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Ароматизатор</w:t>
            </w:r>
            <w:proofErr w:type="spellEnd"/>
            <w:r>
              <w:rPr>
                <w:lang w:bidi="ru-RU"/>
              </w:rPr>
              <w:t xml:space="preserve"> пищевой "Масло сливочное" 6032 Р </w:t>
            </w:r>
          </w:p>
          <w:p w:rsidR="00A26229" w:rsidRDefault="00A26229" w:rsidP="00A26229">
            <w:pPr>
              <w:pStyle w:val="Normalunindented"/>
              <w:keepNext/>
              <w:spacing w:after="0" w:line="240" w:lineRule="auto"/>
              <w:jc w:val="center"/>
              <w:rPr>
                <w:lang w:bidi="ru-RU"/>
              </w:rPr>
            </w:pPr>
          </w:p>
          <w:p w:rsidR="009024DC" w:rsidRPr="009024DC" w:rsidRDefault="00F37E88" w:rsidP="00F37E88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Изготовитель: ООО «</w:t>
            </w:r>
            <w:proofErr w:type="spellStart"/>
            <w:r>
              <w:rPr>
                <w:lang w:bidi="ru-RU"/>
              </w:rPr>
              <w:t>Медил</w:t>
            </w:r>
            <w:proofErr w:type="spellEnd"/>
            <w:r>
              <w:rPr>
                <w:lang w:bidi="ru-RU"/>
              </w:rPr>
              <w:t>»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12" w:type="pct"/>
          </w:tcPr>
          <w:p w:rsidR="009024DC" w:rsidRPr="009024DC" w:rsidRDefault="00F37E8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  <w:bookmarkStart w:id="58" w:name="_GoBack"/>
            <w:bookmarkEnd w:id="58"/>
          </w:p>
        </w:tc>
        <w:tc>
          <w:tcPr>
            <w:tcW w:w="749" w:type="pct"/>
          </w:tcPr>
          <w:p w:rsidR="009024DC" w:rsidRPr="009024DC" w:rsidRDefault="00F37E88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37E88" w:rsidRPr="009024DC" w:rsidTr="00F37E88">
        <w:tc>
          <w:tcPr>
            <w:tcW w:w="4064" w:type="pct"/>
            <w:gridSpan w:val="5"/>
          </w:tcPr>
          <w:p w:rsidR="00F37E88" w:rsidRPr="009024DC" w:rsidRDefault="00F37E88" w:rsidP="00F37E88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F37E88" w:rsidRPr="009024DC" w:rsidRDefault="00F37E88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F37E88" w:rsidRPr="009024DC" w:rsidRDefault="00F37E88" w:rsidP="009024DC">
      <w:pPr>
        <w:spacing w:after="0" w:line="240" w:lineRule="auto"/>
        <w:rPr>
          <w:rFonts w:ascii="Times New Roman" w:hAnsi="Times New Roman" w:cs="Times New Roman"/>
        </w:rPr>
      </w:pPr>
    </w:p>
    <w:p w:rsidR="00F37E88" w:rsidRPr="00F37E88" w:rsidRDefault="00F37E88" w:rsidP="00F37E88">
      <w:pPr>
        <w:pStyle w:val="ad"/>
        <w:rPr>
          <w:sz w:val="22"/>
          <w:szCs w:val="22"/>
        </w:rPr>
      </w:pPr>
      <w:r w:rsidRPr="00D81884">
        <w:rPr>
          <w:sz w:val="22"/>
          <w:szCs w:val="22"/>
        </w:rPr>
        <w:t>* Заказчик имеет право на неполную выборку товара, без изменения при этом условий договора.</w:t>
      </w:r>
    </w:p>
    <w:p w:rsidR="009024DC" w:rsidRPr="00F37E88" w:rsidRDefault="009024DC" w:rsidP="00F37E88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Pr="00F37E88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F37E88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F37E88" w:rsidRPr="00F37E88" w:rsidRDefault="009024DC" w:rsidP="00F37E88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F37E88">
        <w:rPr>
          <w:rFonts w:ascii="Times New Roman" w:hAnsi="Times New Roman" w:cs="Times New Roman"/>
        </w:rPr>
        <w:t>п</w:t>
      </w:r>
      <w:r w:rsidR="00F37E88" w:rsidRPr="00F37E88">
        <w:rPr>
          <w:rFonts w:ascii="Times New Roman" w:hAnsi="Times New Roman" w:cs="Times New Roman"/>
        </w:rPr>
        <w:t>ластиковые канистры, вес нетто одной канистры не менее 5 кг и не более 25 кг</w:t>
      </w:r>
      <w:r w:rsidR="00F37E88">
        <w:rPr>
          <w:rFonts w:ascii="Times New Roman" w:hAnsi="Times New Roman" w:cs="Times New Roman"/>
        </w:rPr>
        <w:t>. Поставка а</w:t>
      </w:r>
      <w:r w:rsidR="00F37E88" w:rsidRPr="00F37E88">
        <w:rPr>
          <w:rFonts w:ascii="Times New Roman" w:hAnsi="Times New Roman" w:cs="Times New Roman"/>
        </w:rPr>
        <w:t xml:space="preserve">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производится на деревянных поддонах размера: 1,2 м. х 0,8 м, поддоны должны соответствовать ГОСТ 33757-2016. </w:t>
      </w:r>
      <w:proofErr w:type="spellStart"/>
      <w:r w:rsidR="00F37E88" w:rsidRPr="00F37E88">
        <w:rPr>
          <w:rFonts w:ascii="Times New Roman" w:hAnsi="Times New Roman" w:cs="Times New Roman"/>
        </w:rPr>
        <w:t>Ароматизатор</w:t>
      </w:r>
      <w:proofErr w:type="spellEnd"/>
      <w:r w:rsidR="00F37E88" w:rsidRPr="00F37E88">
        <w:rPr>
          <w:rFonts w:ascii="Times New Roman" w:hAnsi="Times New Roman" w:cs="Times New Roman"/>
        </w:rPr>
        <w:t xml:space="preserve"> пищевой "Масло сливочное» 6032 Р на поддоне должен быть </w:t>
      </w:r>
      <w:proofErr w:type="spellStart"/>
      <w:r w:rsidR="00F37E88" w:rsidRPr="00F37E88">
        <w:rPr>
          <w:rFonts w:ascii="Times New Roman" w:hAnsi="Times New Roman" w:cs="Times New Roman"/>
        </w:rPr>
        <w:t>опалечен</w:t>
      </w:r>
      <w:proofErr w:type="spellEnd"/>
      <w:r w:rsidR="00F37E88" w:rsidRPr="00F37E88">
        <w:rPr>
          <w:rFonts w:ascii="Times New Roman" w:hAnsi="Times New Roman" w:cs="Times New Roman"/>
        </w:rPr>
        <w:t xml:space="preserve">, чтобы исключить смещение канистр на поддоне при транспортировке и выгрузке. </w:t>
      </w:r>
      <w:r w:rsidR="00F37E88" w:rsidRPr="00F37E88">
        <w:rPr>
          <w:rFonts w:ascii="Times New Roman" w:hAnsi="Times New Roman" w:cs="Times New Roman"/>
          <w:b/>
        </w:rPr>
        <w:t>Поставка на поддонах до 600 кг для возможности размещения на стеллажах (ограничение по высоте и весу).</w:t>
      </w:r>
    </w:p>
    <w:p w:rsidR="009024DC" w:rsidRPr="009024DC" w:rsidRDefault="00F37E88" w:rsidP="00F37E88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37E88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  <w:r w:rsidRPr="00F37E88">
        <w:t xml:space="preserve"> </w:t>
      </w:r>
      <w:r>
        <w:rPr>
          <w:rFonts w:ascii="Times New Roman" w:hAnsi="Times New Roman" w:cs="Times New Roman"/>
        </w:rPr>
        <w:t>Т</w:t>
      </w:r>
      <w:r w:rsidRPr="00F37E88">
        <w:rPr>
          <w:rFonts w:ascii="Times New Roman" w:hAnsi="Times New Roman" w:cs="Times New Roman"/>
        </w:rPr>
        <w:t>ранспорт, используемый для перевозки продукта, должен быть чистым, сухим, поддерживающим температуру от +6°С до +25°С, в плотно закрытой упаковке</w:t>
      </w:r>
      <w:r>
        <w:rPr>
          <w:rFonts w:ascii="Times New Roman" w:hAnsi="Times New Roman" w:cs="Times New Roman"/>
        </w:rPr>
        <w:t>.</w:t>
      </w:r>
    </w:p>
    <w:p w:rsidR="00F37E88" w:rsidRPr="00F37E88" w:rsidRDefault="009024DC" w:rsidP="00F37E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</w:t>
      </w:r>
    </w:p>
    <w:p w:rsidR="00F37E88" w:rsidRPr="00F37E88" w:rsidRDefault="00F37E88" w:rsidP="00F37E88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37E88">
        <w:rPr>
          <w:rFonts w:ascii="Times New Roman" w:hAnsi="Times New Roman" w:cs="Times New Roman"/>
        </w:rPr>
        <w:t>- По заявкам заказчика;</w:t>
      </w:r>
    </w:p>
    <w:p w:rsidR="00F37E88" w:rsidRPr="00F37E88" w:rsidRDefault="00F37E88" w:rsidP="00F37E88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37E88">
        <w:rPr>
          <w:rFonts w:ascii="Times New Roman" w:hAnsi="Times New Roman" w:cs="Times New Roman"/>
        </w:rPr>
        <w:t>- Поставка товара осуществляется в течение 1 (одного) календарного дня после получения заявки (если иное не предусмотрено графиком поставки).</w:t>
      </w:r>
    </w:p>
    <w:p w:rsidR="009024DC" w:rsidRPr="009024DC" w:rsidRDefault="00F37E88" w:rsidP="00F37E88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</w:t>
      </w:r>
      <w:r w:rsidRPr="00F37E88">
        <w:rPr>
          <w:rFonts w:ascii="Times New Roman" w:hAnsi="Times New Roman" w:cs="Times New Roman"/>
          <w:lang w:val="uk-UA"/>
        </w:rPr>
        <w:t xml:space="preserve">оставка </w:t>
      </w:r>
      <w:proofErr w:type="spellStart"/>
      <w:r w:rsidRPr="00F37E88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Pr="00F37E88">
        <w:rPr>
          <w:rFonts w:ascii="Times New Roman" w:hAnsi="Times New Roman" w:cs="Times New Roman"/>
          <w:lang w:val="uk-UA"/>
        </w:rPr>
        <w:t>Заказчика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Pr="00F37E88">
        <w:rPr>
          <w:rFonts w:ascii="Times New Roman" w:hAnsi="Times New Roman" w:cs="Times New Roman"/>
          <w:lang w:val="uk-UA"/>
        </w:rPr>
        <w:t>основании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производственных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потребностей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Pr="00F37E88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Pr="00F37E88">
        <w:rPr>
          <w:rFonts w:ascii="Times New Roman" w:hAnsi="Times New Roman" w:cs="Times New Roman"/>
          <w:lang w:val="uk-UA"/>
        </w:rPr>
        <w:t>графиком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поставки (</w:t>
      </w:r>
      <w:proofErr w:type="spellStart"/>
      <w:r w:rsidRPr="00F37E88">
        <w:rPr>
          <w:rFonts w:ascii="Times New Roman" w:hAnsi="Times New Roman" w:cs="Times New Roman"/>
          <w:lang w:val="uk-UA"/>
        </w:rPr>
        <w:t>график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поставки </w:t>
      </w:r>
      <w:proofErr w:type="spellStart"/>
      <w:r w:rsidRPr="00F37E88">
        <w:rPr>
          <w:rFonts w:ascii="Times New Roman" w:hAnsi="Times New Roman" w:cs="Times New Roman"/>
          <w:lang w:val="uk-UA"/>
        </w:rPr>
        <w:t>составляется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после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заключения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договора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37E88">
        <w:rPr>
          <w:rFonts w:ascii="Times New Roman" w:hAnsi="Times New Roman" w:cs="Times New Roman"/>
          <w:lang w:val="uk-UA"/>
        </w:rPr>
        <w:t>может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меняться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Pr="00F37E88">
        <w:rPr>
          <w:rFonts w:ascii="Times New Roman" w:hAnsi="Times New Roman" w:cs="Times New Roman"/>
          <w:lang w:val="uk-UA"/>
        </w:rPr>
        <w:t>согласованию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37E88">
        <w:rPr>
          <w:rFonts w:ascii="Times New Roman" w:hAnsi="Times New Roman" w:cs="Times New Roman"/>
          <w:lang w:val="uk-UA"/>
        </w:rPr>
        <w:t>Заказчика</w:t>
      </w:r>
      <w:proofErr w:type="spellEnd"/>
      <w:r w:rsidRPr="00F37E88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Pr="00F37E88">
        <w:rPr>
          <w:rFonts w:ascii="Times New Roman" w:hAnsi="Times New Roman" w:cs="Times New Roman"/>
          <w:lang w:val="uk-UA"/>
        </w:rPr>
        <w:t>Поставщиком</w:t>
      </w:r>
      <w:proofErr w:type="spellEnd"/>
      <w:r w:rsidRPr="00F37E88">
        <w:rPr>
          <w:rFonts w:ascii="Times New Roman" w:hAnsi="Times New Roman" w:cs="Times New Roman"/>
          <w:lang w:val="uk-UA"/>
        </w:rPr>
        <w:t>).</w:t>
      </w:r>
    </w:p>
    <w:p w:rsidR="00F37E88" w:rsidRPr="00F37E88" w:rsidRDefault="009024DC" w:rsidP="00F37E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lastRenderedPageBreak/>
        <w:t xml:space="preserve">Место поставки: </w:t>
      </w:r>
      <w:r w:rsidR="00F37E88" w:rsidRPr="00F37E88">
        <w:rPr>
          <w:rFonts w:ascii="Times New Roman" w:hAnsi="Times New Roman" w:cs="Times New Roman"/>
        </w:rPr>
        <w:t xml:space="preserve">АО "СМАК" ОП производственная площадка РАМКОН, 140103, Московская </w:t>
      </w:r>
      <w:proofErr w:type="spellStart"/>
      <w:r w:rsidR="00F37E88" w:rsidRPr="00F37E88">
        <w:rPr>
          <w:rFonts w:ascii="Times New Roman" w:hAnsi="Times New Roman" w:cs="Times New Roman"/>
        </w:rPr>
        <w:t>обл</w:t>
      </w:r>
      <w:proofErr w:type="spellEnd"/>
      <w:r w:rsidR="00F37E88" w:rsidRPr="00F37E88">
        <w:rPr>
          <w:rFonts w:ascii="Times New Roman" w:hAnsi="Times New Roman" w:cs="Times New Roman"/>
        </w:rPr>
        <w:t xml:space="preserve">, Раменский </w:t>
      </w:r>
      <w:proofErr w:type="spellStart"/>
      <w:r w:rsidR="00F37E88" w:rsidRPr="00F37E88">
        <w:rPr>
          <w:rFonts w:ascii="Times New Roman" w:hAnsi="Times New Roman" w:cs="Times New Roman"/>
        </w:rPr>
        <w:t>г.о</w:t>
      </w:r>
      <w:proofErr w:type="spellEnd"/>
      <w:r w:rsidR="00F37E88" w:rsidRPr="00F37E88">
        <w:rPr>
          <w:rFonts w:ascii="Times New Roman" w:hAnsi="Times New Roman" w:cs="Times New Roman"/>
        </w:rPr>
        <w:t xml:space="preserve">., Раменское г, 4-й км </w:t>
      </w:r>
      <w:proofErr w:type="spellStart"/>
      <w:r w:rsidR="00F37E88" w:rsidRPr="00F37E88">
        <w:rPr>
          <w:rFonts w:ascii="Times New Roman" w:hAnsi="Times New Roman" w:cs="Times New Roman"/>
        </w:rPr>
        <w:t>Донинское</w:t>
      </w:r>
      <w:proofErr w:type="spellEnd"/>
      <w:r w:rsidR="00F37E88" w:rsidRPr="00F37E88">
        <w:rPr>
          <w:rFonts w:ascii="Times New Roman" w:hAnsi="Times New Roman" w:cs="Times New Roman"/>
        </w:rPr>
        <w:t xml:space="preserve"> ш, стр. 14 офис 1</w:t>
      </w:r>
    </w:p>
    <w:p w:rsidR="009024DC" w:rsidRPr="00F37E88" w:rsidRDefault="00F37E88" w:rsidP="00F37E88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F37E88">
        <w:rPr>
          <w:rFonts w:ascii="Times New Roman" w:hAnsi="Times New Roman" w:cs="Times New Roman"/>
        </w:rPr>
        <w:t>Время поставки: в рабочие дни с 08:00 до 14:00</w:t>
      </w:r>
      <w:r>
        <w:rPr>
          <w:rFonts w:ascii="Times New Roman" w:hAnsi="Times New Roman" w:cs="Times New Roman"/>
        </w:rPr>
        <w:t>.</w:t>
      </w:r>
    </w:p>
    <w:p w:rsidR="009024DC" w:rsidRPr="00F37E88" w:rsidRDefault="009024DC" w:rsidP="00F37E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</w:t>
      </w:r>
      <w:r w:rsidR="00F37E88">
        <w:rPr>
          <w:rFonts w:ascii="Times New Roman" w:hAnsi="Times New Roman" w:cs="Times New Roman"/>
          <w:b/>
        </w:rPr>
        <w:t xml:space="preserve"> 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F37E88" w:rsidRPr="00F37E88">
        <w:rPr>
          <w:rFonts w:ascii="Times New Roman" w:hAnsi="Times New Roman" w:cs="Times New Roman"/>
        </w:rPr>
        <w:t>с даты заключения договора</w:t>
      </w:r>
      <w:r w:rsidR="00F37E88">
        <w:rPr>
          <w:rFonts w:ascii="Times New Roman" w:hAnsi="Times New Roman" w:cs="Times New Roman"/>
        </w:rPr>
        <w:t xml:space="preserve"> </w:t>
      </w:r>
      <w:r w:rsidR="00F37E88" w:rsidRPr="00F37E88">
        <w:rPr>
          <w:rFonts w:ascii="Times New Roman" w:hAnsi="Times New Roman" w:cs="Times New Roman"/>
        </w:rPr>
        <w:t>по 31.01.2027 г.</w:t>
      </w:r>
    </w:p>
    <w:p w:rsidR="00F37E88" w:rsidRPr="00F37E88" w:rsidRDefault="009024DC" w:rsidP="00F37E88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F37E88" w:rsidRPr="00F37E88">
        <w:rPr>
          <w:szCs w:val="22"/>
        </w:rPr>
        <w:t>остаточный срок годности на момент поставки продукта должен быть не менее 75% от даты производства</w:t>
      </w:r>
      <w:r w:rsidR="00F37E88">
        <w:rPr>
          <w:szCs w:val="22"/>
        </w:rPr>
        <w:t>.</w:t>
      </w:r>
    </w:p>
    <w:p w:rsidR="009024DC" w:rsidRPr="00F37E88" w:rsidRDefault="009024DC" w:rsidP="00F37E88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>Приемка то</w:t>
      </w:r>
      <w:r w:rsidR="00F37E88">
        <w:rPr>
          <w:b/>
        </w:rPr>
        <w:t xml:space="preserve">вара: </w:t>
      </w:r>
      <w:r w:rsidR="00F37E88" w:rsidRPr="00F37E88">
        <w:t>в течение</w:t>
      </w:r>
      <w:r w:rsidRPr="00F37E88">
        <w:t xml:space="preserve"> </w:t>
      </w:r>
      <w:r w:rsidR="00F37E88" w:rsidRPr="00F37E88">
        <w:t>2 (двух) рабочих дней.</w:t>
      </w:r>
    </w:p>
    <w:p w:rsidR="009024DC" w:rsidRPr="009024DC" w:rsidRDefault="00F37E88" w:rsidP="00F37E88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</w:t>
      </w:r>
      <w:r w:rsidR="009024DC" w:rsidRPr="009024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F37E88" w:rsidP="00F37E88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  <w:r>
        <w:rPr>
          <w:rFonts w:ascii="Times New Roman" w:hAnsi="Times New Roman" w:cs="Times New Roman"/>
          <w:i/>
        </w:rPr>
        <w:t>.</w:t>
      </w:r>
    </w:p>
    <w:p w:rsidR="009024DC" w:rsidRPr="009024DC" w:rsidRDefault="009024DC" w:rsidP="00F37E88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F37E88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F37E88" w:rsidRDefault="00F37E88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F37E88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Default="004A475D" w:rsidP="00F37E88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252"/>
        <w:gridCol w:w="960"/>
        <w:gridCol w:w="6564"/>
      </w:tblGrid>
      <w:tr w:rsidR="00F37E88" w:rsidRPr="00D81884" w:rsidTr="009D15CA">
        <w:trPr>
          <w:trHeight w:val="6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37E88" w:rsidRPr="00D81884" w:rsidRDefault="00F37E88" w:rsidP="00F37E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1884">
              <w:rPr>
                <w:rFonts w:ascii="Times New Roman" w:hAnsi="Times New Roman" w:cs="Times New Roman"/>
                <w:b/>
                <w:bCs/>
              </w:rPr>
              <w:t>Ароматизатор</w:t>
            </w:r>
            <w:proofErr w:type="spellEnd"/>
            <w:r w:rsidRPr="00D81884">
              <w:rPr>
                <w:rFonts w:ascii="Times New Roman" w:hAnsi="Times New Roman" w:cs="Times New Roman"/>
                <w:b/>
                <w:bCs/>
              </w:rPr>
              <w:t xml:space="preserve"> пищевой «Масло сливочное" 6032 Р изготовитель ООО «</w:t>
            </w:r>
            <w:proofErr w:type="spellStart"/>
            <w:r w:rsidRPr="00D81884">
              <w:rPr>
                <w:rFonts w:ascii="Times New Roman" w:hAnsi="Times New Roman" w:cs="Times New Roman"/>
                <w:b/>
                <w:bCs/>
              </w:rPr>
              <w:t>Медил</w:t>
            </w:r>
            <w:proofErr w:type="spellEnd"/>
            <w:r w:rsidRPr="00D8188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F37E88" w:rsidRPr="00D81884" w:rsidRDefault="00F37E88" w:rsidP="00F37E8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 xml:space="preserve">  для хлебобулочных и кондитерских изделий.</w:t>
            </w:r>
          </w:p>
        </w:tc>
      </w:tr>
      <w:tr w:rsidR="00F37E88" w:rsidRPr="00D81884" w:rsidTr="009D15CA">
        <w:trPr>
          <w:trHeight w:val="433"/>
        </w:trPr>
        <w:tc>
          <w:tcPr>
            <w:tcW w:w="3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>Функциональное назначение товара:</w:t>
            </w:r>
          </w:p>
        </w:tc>
        <w:tc>
          <w:tcPr>
            <w:tcW w:w="65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F37E88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Для внесения в тесто до выпечки при производстве хлебобулочных и кондитерских изделий. Срок годности хлебобулочных изделий 60 суток до 5 месяцев, срок годности кондитерских изделий 5 месяцев</w:t>
            </w:r>
          </w:p>
        </w:tc>
      </w:tr>
      <w:tr w:rsidR="00F37E88" w:rsidRPr="00D81884" w:rsidTr="009D15CA">
        <w:trPr>
          <w:trHeight w:val="840"/>
        </w:trPr>
        <w:tc>
          <w:tcPr>
            <w:tcW w:w="3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F37E88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7E88" w:rsidRPr="00D81884" w:rsidTr="009D15CA">
        <w:trPr>
          <w:trHeight w:val="585"/>
        </w:trPr>
        <w:tc>
          <w:tcPr>
            <w:tcW w:w="97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F37E88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>Качественные характеристики</w:t>
            </w:r>
          </w:p>
        </w:tc>
      </w:tr>
      <w:tr w:rsidR="00F37E88" w:rsidRPr="00D81884" w:rsidTr="009D15CA">
        <w:trPr>
          <w:trHeight w:val="55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t>Характеристика нормы. Ед. измерения</w:t>
            </w:r>
          </w:p>
        </w:tc>
      </w:tr>
      <w:tr w:rsidR="00F37E88" w:rsidRPr="00D81884" w:rsidTr="009D15CA">
        <w:trPr>
          <w:trHeight w:val="45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Натуральные </w:t>
            </w:r>
            <w:proofErr w:type="spellStart"/>
            <w:r w:rsidRPr="00D81884">
              <w:rPr>
                <w:rFonts w:ascii="Times New Roman" w:hAnsi="Times New Roman" w:cs="Times New Roman"/>
              </w:rPr>
              <w:t>вкусоароматические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 вещества</w:t>
            </w:r>
          </w:p>
        </w:tc>
      </w:tr>
      <w:tr w:rsidR="00F37E88" w:rsidRPr="00D81884" w:rsidTr="009D15CA">
        <w:trPr>
          <w:trHeight w:val="61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Пластиковые канистры, вес нетто одной канистры не менее 5 кг и не более 25 кг</w:t>
            </w:r>
          </w:p>
        </w:tc>
      </w:tr>
      <w:tr w:rsidR="00F37E88" w:rsidRPr="00D81884" w:rsidTr="009D15CA">
        <w:trPr>
          <w:trHeight w:val="46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Органолептические и физико-химические характеристики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Внешний вид: жидкость. Не допускаются включения любого характера</w:t>
            </w:r>
          </w:p>
        </w:tc>
      </w:tr>
      <w:tr w:rsidR="00F37E88" w:rsidRPr="00D81884" w:rsidTr="009D15CA">
        <w:trPr>
          <w:trHeight w:val="45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Цвет: Однородный, желтый</w:t>
            </w:r>
          </w:p>
        </w:tc>
      </w:tr>
      <w:tr w:rsidR="00F37E88" w:rsidRPr="00D81884" w:rsidTr="009D15CA">
        <w:trPr>
          <w:trHeight w:val="36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Профиль: сладкий, масляный</w:t>
            </w:r>
          </w:p>
        </w:tc>
      </w:tr>
      <w:tr w:rsidR="00F37E88" w:rsidRPr="00D81884" w:rsidTr="009D15CA">
        <w:trPr>
          <w:trHeight w:val="66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Запах: ярко выраженные, свойственный сливочному маслу, без посторонних привкусов и запахов</w:t>
            </w:r>
          </w:p>
        </w:tc>
      </w:tr>
      <w:tr w:rsidR="00F37E88" w:rsidRPr="00D81884" w:rsidTr="009D15CA">
        <w:trPr>
          <w:trHeight w:val="5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Вкус (в растворе): ярко выраженные, свойственный сливочному маслу, без посторонних привкусов и запахов</w:t>
            </w:r>
          </w:p>
        </w:tc>
      </w:tr>
      <w:tr w:rsidR="00F37E88" w:rsidRPr="00D81884" w:rsidTr="009D15CA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Плотность при 20°С - от 1,14 до 1,16 кг/л</w:t>
            </w:r>
          </w:p>
        </w:tc>
      </w:tr>
      <w:tr w:rsidR="00F37E88" w:rsidRPr="00D81884" w:rsidTr="009D15CA">
        <w:trPr>
          <w:trHeight w:val="3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Показатель преломления при 20°С - от 1,26 до 1,425</w:t>
            </w:r>
          </w:p>
        </w:tc>
      </w:tr>
      <w:tr w:rsidR="00F37E88" w:rsidRPr="00D81884" w:rsidTr="009D15CA">
        <w:trPr>
          <w:trHeight w:val="69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Не допускается содержание в составе аллергены и иные компоненты, перечисленные в п. 14 ст. 4.4 Технического регламента ТР ТС 022/2011</w:t>
            </w:r>
          </w:p>
        </w:tc>
      </w:tr>
      <w:tr w:rsidR="00F37E88" w:rsidRPr="00D81884" w:rsidTr="009D15CA">
        <w:trPr>
          <w:trHeight w:val="872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Не допускается содержание следов аллергенов и иных компонентов, перечисленных в п. 14 ст. 4.4 Технического регламента ТР ТС 022/2011, вследствие перекрестного загрязнения </w:t>
            </w:r>
          </w:p>
        </w:tc>
      </w:tr>
      <w:tr w:rsidR="00F37E88" w:rsidRPr="00D81884" w:rsidTr="009D15CA">
        <w:trPr>
          <w:trHeight w:val="4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Не допускается наличие ГМО</w:t>
            </w:r>
          </w:p>
        </w:tc>
      </w:tr>
      <w:tr w:rsidR="00F37E88" w:rsidRPr="00D81884" w:rsidTr="009D15CA">
        <w:trPr>
          <w:trHeight w:val="1118"/>
        </w:trPr>
        <w:tc>
          <w:tcPr>
            <w:tcW w:w="9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  <w:b/>
                <w:bCs/>
              </w:rPr>
              <w:lastRenderedPageBreak/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F37E88" w:rsidRPr="00D81884" w:rsidTr="009D15CA">
        <w:trPr>
          <w:trHeight w:val="465"/>
        </w:trPr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Показатели безопасности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Токсичные элементы, не более, мг/кг:</w:t>
            </w:r>
          </w:p>
        </w:tc>
      </w:tr>
      <w:tr w:rsidR="00F37E88" w:rsidRPr="00D81884" w:rsidTr="009D15CA">
        <w:trPr>
          <w:trHeight w:val="315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Мышьяк - 3,0</w:t>
            </w:r>
          </w:p>
        </w:tc>
      </w:tr>
      <w:tr w:rsidR="00F37E88" w:rsidRPr="00D81884" w:rsidTr="009D15CA">
        <w:trPr>
          <w:trHeight w:val="315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Кадмий - 1,0</w:t>
            </w:r>
          </w:p>
        </w:tc>
      </w:tr>
      <w:tr w:rsidR="00F37E88" w:rsidRPr="00D81884" w:rsidTr="009D15CA">
        <w:trPr>
          <w:trHeight w:val="390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Ртуть - 1,0</w:t>
            </w:r>
          </w:p>
        </w:tc>
      </w:tr>
      <w:tr w:rsidR="00F37E88" w:rsidRPr="00D81884" w:rsidTr="009D15CA">
        <w:trPr>
          <w:trHeight w:val="360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Свинец -5,0</w:t>
            </w:r>
          </w:p>
        </w:tc>
      </w:tr>
      <w:tr w:rsidR="00F37E88" w:rsidRPr="00D81884" w:rsidTr="009D15CA">
        <w:trPr>
          <w:trHeight w:val="360"/>
        </w:trPr>
        <w:tc>
          <w:tcPr>
            <w:tcW w:w="225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Диоксид серы - 0</w:t>
            </w:r>
          </w:p>
        </w:tc>
      </w:tr>
      <w:tr w:rsidR="00F37E88" w:rsidRPr="00D81884" w:rsidTr="009D15CA">
        <w:trPr>
          <w:trHeight w:val="660"/>
        </w:trPr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Микробиологические 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ТР ТС 029/2012 "Требования безопасности пищевых добавок, </w:t>
            </w:r>
            <w:proofErr w:type="spellStart"/>
            <w:r w:rsidRPr="00D81884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 и технологических вспомогательных средств".</w:t>
            </w:r>
          </w:p>
        </w:tc>
      </w:tr>
      <w:tr w:rsidR="00F37E88" w:rsidRPr="00D81884" w:rsidTr="009D15CA">
        <w:trPr>
          <w:trHeight w:val="40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 12 месяцев </w:t>
            </w:r>
          </w:p>
        </w:tc>
      </w:tr>
      <w:tr w:rsidR="00F37E88" w:rsidRPr="00D81884" w:rsidTr="009D15CA">
        <w:trPr>
          <w:trHeight w:val="64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в сухом прохладном помещение, при температуре от +6°С до +25°С </w:t>
            </w:r>
          </w:p>
        </w:tc>
      </w:tr>
      <w:tr w:rsidR="00F37E88" w:rsidRPr="00D81884" w:rsidTr="009D15CA">
        <w:trPr>
          <w:trHeight w:val="66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Требования к поставке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1884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</w:tr>
      <w:tr w:rsidR="00F37E88" w:rsidRPr="00D81884" w:rsidTr="009D15CA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Не допускается к приемке товар:</w:t>
            </w:r>
          </w:p>
        </w:tc>
      </w:tr>
      <w:tr w:rsidR="00F37E88" w:rsidRPr="00D81884" w:rsidTr="009D15CA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 загрязнением упаковки;</w:t>
            </w:r>
          </w:p>
        </w:tc>
      </w:tr>
      <w:tr w:rsidR="00F37E88" w:rsidRPr="00D81884" w:rsidTr="009D15CA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 нарушением целостности упаковки;</w:t>
            </w:r>
          </w:p>
        </w:tc>
      </w:tr>
      <w:tr w:rsidR="00F37E88" w:rsidRPr="00D81884" w:rsidTr="009D15CA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F37E88" w:rsidRPr="00D81884" w:rsidTr="009D15CA">
        <w:trPr>
          <w:trHeight w:val="3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Продукция должна соответствовать </w:t>
            </w:r>
            <w:proofErr w:type="gramStart"/>
            <w:r w:rsidRPr="00D81884">
              <w:rPr>
                <w:rFonts w:ascii="Times New Roman" w:hAnsi="Times New Roman" w:cs="Times New Roman"/>
              </w:rPr>
              <w:t xml:space="preserve">требованиям:   </w:t>
            </w:r>
            <w:proofErr w:type="gramEnd"/>
            <w:r w:rsidRPr="00D8188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</w:p>
        </w:tc>
      </w:tr>
      <w:tr w:rsidR="00F37E88" w:rsidRPr="00D81884" w:rsidTr="009D15CA">
        <w:trPr>
          <w:trHeight w:val="39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 ТС 021/2011 "О безопасности пищевой продукции</w:t>
            </w:r>
            <w:proofErr w:type="gramStart"/>
            <w:r w:rsidRPr="00D81884">
              <w:rPr>
                <w:rFonts w:ascii="Times New Roman" w:hAnsi="Times New Roman" w:cs="Times New Roman"/>
              </w:rPr>
              <w:t xml:space="preserve">",   </w:t>
            </w:r>
            <w:proofErr w:type="gramEnd"/>
            <w:r w:rsidRPr="00D818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E88" w:rsidRPr="00D81884" w:rsidTr="009D15CA">
        <w:trPr>
          <w:trHeight w:val="4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 ТС 022/2011 "Пищевая продукция в части ее маркировки",</w:t>
            </w:r>
          </w:p>
        </w:tc>
      </w:tr>
      <w:tr w:rsidR="00F37E88" w:rsidRPr="00D81884" w:rsidTr="009D15CA">
        <w:trPr>
          <w:trHeight w:val="7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ТР ТС 029/2012 "Требования безопасности пищевых добавок, </w:t>
            </w:r>
            <w:proofErr w:type="spellStart"/>
            <w:r w:rsidRPr="00D81884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 и технологических вспомогательных средств".</w:t>
            </w:r>
          </w:p>
        </w:tc>
      </w:tr>
      <w:tr w:rsidR="00F37E88" w:rsidRPr="00D81884" w:rsidTr="009D15CA">
        <w:trPr>
          <w:trHeight w:val="7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F37E88" w:rsidRPr="00D81884" w:rsidTr="009D15CA">
        <w:trPr>
          <w:trHeight w:val="106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транспорт, используемый для перевозки продукта, должен быть чистым, сухим, поддерживающим температуру от +6°С до +25°С, в плотно закрытой упаковке</w:t>
            </w:r>
          </w:p>
        </w:tc>
      </w:tr>
      <w:tr w:rsidR="00F37E88" w:rsidRPr="00D81884" w:rsidTr="009D15CA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F37E88" w:rsidRPr="00D81884" w:rsidTr="009D15CA">
        <w:trPr>
          <w:trHeight w:val="15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Товар поставляется па деревянных поддонах 800х1200 мм. Поддон с товаром должен быть обмотан </w:t>
            </w:r>
            <w:proofErr w:type="spellStart"/>
            <w:r w:rsidRPr="00D81884">
              <w:rPr>
                <w:rFonts w:ascii="Times New Roman" w:hAnsi="Times New Roman" w:cs="Times New Roman"/>
              </w:rPr>
              <w:t>стрейч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-пленкой для возможности перемещения поддона с товаром посредством </w:t>
            </w:r>
            <w:proofErr w:type="spellStart"/>
            <w:r w:rsidRPr="00D81884">
              <w:rPr>
                <w:rFonts w:ascii="Times New Roman" w:hAnsi="Times New Roman" w:cs="Times New Roman"/>
              </w:rPr>
              <w:t>электропогрузчика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 или штабелера. Высота поддона с товаром не более 150 см, общим весом нетто не более 600 кг.</w:t>
            </w:r>
          </w:p>
        </w:tc>
      </w:tr>
      <w:tr w:rsidR="00F37E88" w:rsidRPr="00D81884" w:rsidTr="009D15CA">
        <w:trPr>
          <w:trHeight w:val="1018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Требование к маркировке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Общие требования содержания информации в соответствии с ГОСТ Р 51074-2003 "Информация для потребителя" п.4.13.2</w:t>
            </w:r>
            <w:r w:rsidRPr="00D81884">
              <w:rPr>
                <w:rFonts w:ascii="Times New Roman" w:hAnsi="Times New Roman" w:cs="Times New Roman"/>
              </w:rPr>
              <w:br/>
              <w:t>В соответствии с ТР ТС 022/2011 "Пищевая продукция в части ее маркировки"</w:t>
            </w:r>
          </w:p>
        </w:tc>
      </w:tr>
      <w:tr w:rsidR="00F37E88" w:rsidRPr="00D81884" w:rsidTr="009D15CA">
        <w:trPr>
          <w:trHeight w:val="183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Маркировка упаковки в части знаков, надписей, пиктограмм, символов, наносимых на упаковку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Маркировка должна быть нанесена на каждую единицу упаковки типографским способом или путем наклеивания этикетки. Маркировка должна соответствовать требованиям ТР ТС 022/2011, ТР ТС 005/2011.</w:t>
            </w:r>
            <w:r w:rsidRPr="00D81884">
              <w:rPr>
                <w:rFonts w:ascii="Times New Roman" w:hAnsi="Times New Roman" w:cs="Times New Roman"/>
              </w:rPr>
              <w:br/>
              <w:t xml:space="preserve">Знак «Материал, предназначенный для контакта с пищевой продукцией». </w:t>
            </w:r>
            <w:r w:rsidRPr="00D81884">
              <w:rPr>
                <w:rFonts w:ascii="Times New Roman" w:hAnsi="Times New Roman" w:cs="Times New Roman"/>
              </w:rPr>
              <w:br/>
              <w:t>Знак обращения на территории Таможенного союза ЕАС.</w:t>
            </w:r>
            <w:r w:rsidRPr="00D81884">
              <w:rPr>
                <w:rFonts w:ascii="Times New Roman" w:hAnsi="Times New Roman" w:cs="Times New Roman"/>
              </w:rPr>
              <w:br/>
              <w:t>Обозначение материала упаковки в «Петле Мебиуса»:</w:t>
            </w:r>
            <w:r w:rsidRPr="00D81884">
              <w:rPr>
                <w:rFonts w:ascii="Times New Roman" w:hAnsi="Times New Roman" w:cs="Times New Roman"/>
              </w:rPr>
              <w:br/>
              <w:t>Пластиковая канистра – 07 О.</w:t>
            </w:r>
          </w:p>
        </w:tc>
      </w:tr>
      <w:tr w:rsidR="00F37E88" w:rsidRPr="00D81884" w:rsidTr="009D15CA">
        <w:trPr>
          <w:trHeight w:val="4799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Требования к сопроводительным документам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E88" w:rsidRPr="00D81884" w:rsidRDefault="00F37E88" w:rsidP="009D15CA">
            <w:pPr>
              <w:jc w:val="center"/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F37E88" w:rsidRPr="00D81884" w:rsidRDefault="00F37E88" w:rsidP="009D15CA">
            <w:pPr>
              <w:rPr>
                <w:rFonts w:ascii="Times New Roman" w:hAnsi="Times New Roman" w:cs="Times New Roman"/>
              </w:rPr>
            </w:pPr>
            <w:r w:rsidRPr="00D81884">
              <w:rPr>
                <w:rFonts w:ascii="Times New Roman" w:hAnsi="Times New Roman" w:cs="Times New Roman"/>
              </w:rPr>
              <w:t xml:space="preserve">Полный пакет документов </w:t>
            </w:r>
            <w:r w:rsidRPr="00D81884">
              <w:rPr>
                <w:rFonts w:ascii="Times New Roman" w:hAnsi="Times New Roman" w:cs="Times New Roman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D81884">
              <w:rPr>
                <w:rFonts w:ascii="Times New Roman" w:hAnsi="Times New Roman" w:cs="Times New Roman"/>
              </w:rPr>
              <w:br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D81884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D81884">
              <w:rPr>
                <w:rFonts w:ascii="Times New Roman" w:hAnsi="Times New Roman" w:cs="Times New Roman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D81884">
              <w:rPr>
                <w:rFonts w:ascii="Times New Roman" w:hAnsi="Times New Roman" w:cs="Times New Roman"/>
              </w:rPr>
              <w:br/>
              <w:t>3. Удостоверение качества и безопасности</w:t>
            </w:r>
            <w:r w:rsidRPr="00D81884">
              <w:rPr>
                <w:rFonts w:ascii="Times New Roman" w:hAnsi="Times New Roman" w:cs="Times New Roman"/>
              </w:rPr>
              <w:br/>
              <w:t>4. Протокол испытаний на генно-модифицированные источники</w:t>
            </w:r>
            <w:r w:rsidRPr="00D81884">
              <w:rPr>
                <w:rFonts w:ascii="Times New Roman" w:hAnsi="Times New Roman" w:cs="Times New Roman"/>
              </w:rPr>
              <w:br/>
              <w:t>5. Выписка из ТУ</w:t>
            </w:r>
            <w:r w:rsidRPr="00D81884">
              <w:rPr>
                <w:rFonts w:ascii="Times New Roman" w:hAnsi="Times New Roman" w:cs="Times New Roman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</w:tbl>
    <w:p w:rsidR="00F37E88" w:rsidRPr="004A475D" w:rsidRDefault="00F37E88" w:rsidP="00F37E88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37E88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2622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2622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2622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2622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26229">
      <w:rPr>
        <w:noProof/>
      </w:rPr>
      <w:t>8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26229">
      <w:rPr>
        <w:noProof/>
      </w:rPr>
      <w:t>8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2622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26229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A2622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83EAF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2622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37E88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6369</Words>
  <Characters>36307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10</cp:revision>
  <dcterms:created xsi:type="dcterms:W3CDTF">2025-12-11T05:35:00Z</dcterms:created>
  <dcterms:modified xsi:type="dcterms:W3CDTF">2026-06-15T10:30:00Z</dcterms:modified>
</cp:coreProperties>
</file>