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3393" w:leader="none"/>
        </w:tabs>
        <w:spacing w:lineRule="auto" w:line="240" w:before="0" w:after="0"/>
        <w:jc w:val="center"/>
        <w:rPr>
          <w:rFonts w:ascii="Times New Roman" w:hAnsi="Times New Roman" w:eastAsia="Times New Roman" w:cs="Times New Roman"/>
          <w:lang w:eastAsia="ar-SA"/>
        </w:rPr>
      </w:pPr>
      <w:r>
        <w:rPr>
          <w:rFonts w:eastAsia="Times New Roman" w:cs="Times New Roman" w:ascii="Times New Roman" w:hAnsi="Times New Roman"/>
          <w:b/>
          <w:lang w:eastAsia="ar-SA"/>
        </w:rPr>
        <w:t>ТЕХНИЧЕСКОЕ ЗАДАНИЕ</w:t>
      </w:r>
    </w:p>
    <w:p>
      <w:pPr>
        <w:pStyle w:val="Normal"/>
        <w:widowControl w:val="false"/>
        <w:spacing w:lineRule="auto" w:line="240" w:before="0" w:after="0"/>
        <w:jc w:val="center"/>
        <w:rPr>
          <w:rFonts w:ascii="Times New Roman" w:hAnsi="Times New Roman" w:eastAsia="Times New Roman" w:cs="Times New Roman"/>
          <w:lang w:eastAsia="ar-SA"/>
        </w:rPr>
      </w:pPr>
      <w:r>
        <w:rPr>
          <w:rFonts w:eastAsia="Times New Roman" w:cs="Times New Roman" w:ascii="Times New Roman" w:hAnsi="Times New Roman"/>
          <w:bCs/>
          <w:lang w:eastAsia="ar-SA"/>
        </w:rPr>
        <w:t xml:space="preserve">на </w:t>
      </w:r>
      <w:r>
        <w:rPr>
          <w:rFonts w:eastAsia="Times New Roman" w:cs="Times New Roman" w:ascii="Times New Roman" w:hAnsi="Times New Roman"/>
          <w:lang w:eastAsia="ar-SA"/>
        </w:rPr>
        <w:t xml:space="preserve">поставку горюче-смазочных материалов (ГСМ) с использованием пластиковых карт через сеть АЗС </w:t>
      </w:r>
    </w:p>
    <w:p>
      <w:pPr>
        <w:pStyle w:val="ListParagraph"/>
        <w:widowControl w:val="false"/>
        <w:numPr>
          <w:ilvl w:val="0"/>
          <w:numId w:val="1"/>
        </w:numPr>
        <w:tabs>
          <w:tab w:val="clear" w:pos="708"/>
          <w:tab w:val="left" w:pos="567" w:leader="none"/>
        </w:tabs>
        <w:spacing w:lineRule="auto" w:line="240" w:before="0" w:after="0"/>
        <w:ind w:hanging="0" w:left="0" w:right="-1"/>
        <w:contextualSpacing/>
        <w:jc w:val="both"/>
        <w:rPr>
          <w:rFonts w:ascii="Times New Roman" w:hAnsi="Times New Roman" w:eastAsia="Times New Roman" w:cs="Times New Roman"/>
          <w:b/>
          <w:bCs/>
          <w:lang w:eastAsia="ar-SA"/>
        </w:rPr>
      </w:pPr>
      <w:r>
        <w:rPr>
          <w:rFonts w:eastAsia="Times New Roman" w:cs="Times New Roman" w:ascii="Times New Roman" w:hAnsi="Times New Roman"/>
          <w:b/>
          <w:bCs/>
          <w:lang w:eastAsia="ar-SA"/>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pPr>
        <w:pStyle w:val="ListParagraph"/>
        <w:numPr>
          <w:ilvl w:val="0"/>
          <w:numId w:val="0"/>
        </w:numPr>
        <w:spacing w:lineRule="atLeast" w:line="20" w:before="0" w:after="0"/>
        <w:ind w:hanging="0" w:left="0" w:right="-1"/>
        <w:contextualSpacing/>
        <w:jc w:val="both"/>
        <w:outlineLvl w:val="0"/>
        <w:rPr>
          <w:rFonts w:ascii="Times New Roman" w:hAnsi="Times New Roman"/>
          <w:i/>
          <w:i/>
          <w:iCs/>
          <w:sz w:val="18"/>
          <w:szCs w:val="18"/>
        </w:rPr>
      </w:pPr>
      <w:r>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8968" w:type="dxa"/>
        <w:jc w:val="left"/>
        <w:tblInd w:w="383" w:type="dxa"/>
        <w:tblLayout w:type="fixed"/>
        <w:tblCellMar>
          <w:top w:w="0" w:type="dxa"/>
          <w:left w:w="108" w:type="dxa"/>
          <w:bottom w:w="0" w:type="dxa"/>
          <w:right w:w="108" w:type="dxa"/>
        </w:tblCellMar>
        <w:tblLook w:noVBand="1" w:val="04a0" w:noHBand="0" w:lastColumn="0" w:firstColumn="1" w:lastRow="0" w:firstRow="1"/>
      </w:tblPr>
      <w:tblGrid>
        <w:gridCol w:w="149"/>
        <w:gridCol w:w="1371"/>
        <w:gridCol w:w="2775"/>
        <w:gridCol w:w="1116"/>
        <w:gridCol w:w="1703"/>
        <w:gridCol w:w="1853"/>
      </w:tblGrid>
      <w:tr>
        <w:trPr>
          <w:tblHeader w:val="true"/>
          <w:trHeight w:val="300" w:hRule="atLeast"/>
        </w:trPr>
        <w:tc>
          <w:tcPr>
            <w:tcW w:w="14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t xml:space="preserve">№ </w:t>
            </w:r>
            <w:r>
              <w:rPr>
                <w:rFonts w:ascii="Times New Roman" w:hAnsi="Times New Roman"/>
                <w:b/>
                <w:bCs/>
              </w:rPr>
              <w:t>п/п</w:t>
            </w:r>
          </w:p>
        </w:tc>
        <w:tc>
          <w:tcPr>
            <w:tcW w:w="137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t>ОКПД 2</w:t>
            </w:r>
          </w:p>
        </w:tc>
        <w:tc>
          <w:tcPr>
            <w:tcW w:w="27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t>Наименование</w:t>
            </w:r>
          </w:p>
        </w:tc>
        <w:tc>
          <w:tcPr>
            <w:tcW w:w="4672" w:type="dxa"/>
            <w:gridSpan w:val="3"/>
            <w:tcBorders>
              <w:top w:val="single" w:sz="4" w:space="0" w:color="000000"/>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t>На‌​⁠</w:t>
            </w:r>
            <w:r>
              <w:rPr>
                <w:rFonts w:ascii="Times New Roman" w:hAnsi="Times New Roman"/>
                <w:b/>
                <w:b/>
                <w:bCs/>
              </w:rPr>
              <w:t>﻿‍‍‌‌​﻿⁠⁠﻿⁠﻿‌‌⁠﻿‍﻿⁠​﻿﻿﻿⁠‍‍‍‍​⁠⁠‌⁠⁠⁠﻿⁠​​‍‍</w:t>
            </w:r>
            <w:r>
              <w:rPr>
                <w:rFonts w:ascii="Times New Roman" w:hAnsi="Times New Roman"/>
                <w:b/>
                <w:bCs/>
              </w:rPr>
              <w:t>циональный режим</w:t>
            </w:r>
          </w:p>
        </w:tc>
      </w:tr>
      <w:tr>
        <w:trPr>
          <w:tblHeader w:val="true"/>
          <w:trHeight w:val="526" w:hRule="atLeast"/>
        </w:trPr>
        <w:tc>
          <w:tcPr>
            <w:tcW w:w="1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before="0" w:after="0"/>
              <w:rPr>
                <w:rFonts w:ascii="Times New Roman" w:hAnsi="Times New Roman"/>
                <w:b/>
                <w:bCs/>
              </w:rPr>
            </w:pPr>
            <w:r>
              <w:rPr>
                <w:rFonts w:ascii="Times New Roman" w:hAnsi="Times New Roman"/>
                <w:b/>
                <w:bCs/>
              </w:rPr>
            </w:r>
          </w:p>
        </w:tc>
        <w:tc>
          <w:tcPr>
            <w:tcW w:w="13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before="0" w:after="0"/>
              <w:rPr>
                <w:rFonts w:ascii="Times New Roman" w:hAnsi="Times New Roman"/>
                <w:b/>
                <w:bCs/>
              </w:rPr>
            </w:pPr>
            <w:r>
              <w:rPr>
                <w:rFonts w:ascii="Times New Roman" w:hAnsi="Times New Roman"/>
                <w:b/>
                <w:bCs/>
              </w:rPr>
            </w:r>
          </w:p>
        </w:tc>
        <w:tc>
          <w:tcPr>
            <w:tcW w:w="2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20" w:before="0" w:after="0"/>
              <w:rPr>
                <w:rFonts w:ascii="Times New Roman" w:hAnsi="Times New Roman"/>
                <w:b/>
                <w:bCs/>
              </w:rPr>
            </w:pPr>
            <w:r>
              <w:rPr>
                <w:rFonts w:ascii="Times New Roman" w:hAnsi="Times New Roman"/>
                <w:b/>
                <w:bCs/>
              </w:rPr>
            </w:r>
          </w:p>
        </w:tc>
        <w:tc>
          <w:tcPr>
            <w:tcW w:w="1116" w:type="dxa"/>
            <w:tcBorders>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t>1875</w:t>
            </w:r>
          </w:p>
          <w:p>
            <w:pPr>
              <w:pStyle w:val="Normal"/>
              <w:spacing w:lineRule="atLeast" w:line="20" w:before="0" w:after="0"/>
              <w:jc w:val="center"/>
              <w:rPr>
                <w:rFonts w:ascii="Times New Roman" w:hAnsi="Times New Roman"/>
                <w:b/>
                <w:bCs/>
              </w:rPr>
            </w:pPr>
            <w:r>
              <w:rPr>
                <w:rFonts w:ascii="Times New Roman" w:hAnsi="Times New Roman"/>
                <w:b/>
                <w:bCs/>
              </w:rPr>
              <w:t>(Запрет)</w:t>
            </w:r>
          </w:p>
        </w:tc>
        <w:tc>
          <w:tcPr>
            <w:tcW w:w="1703" w:type="dxa"/>
            <w:tcBorders>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t>1875 (Ограничение)</w:t>
            </w:r>
          </w:p>
        </w:tc>
        <w:tc>
          <w:tcPr>
            <w:tcW w:w="1853" w:type="dxa"/>
            <w:tcBorders>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t>1875 (Преимущество)</w:t>
            </w:r>
          </w:p>
        </w:tc>
      </w:tr>
      <w:tr>
        <w:trPr>
          <w:tblHeader w:val="true"/>
          <w:trHeight w:val="272" w:hRule="atLeast"/>
        </w:trPr>
        <w:tc>
          <w:tcPr>
            <w:tcW w:w="149" w:type="dxa"/>
            <w:tcBorders>
              <w:top w:val="single" w:sz="4" w:space="0" w:color="000000"/>
              <w:left w:val="single" w:sz="4" w:space="0" w:color="000000"/>
              <w:bottom w:val="single" w:sz="4" w:space="0" w:color="000000"/>
              <w:right w:val="single" w:sz="4" w:space="0" w:color="000000"/>
            </w:tcBorders>
          </w:tcPr>
          <w:p>
            <w:pPr>
              <w:pStyle w:val="ListParagraph"/>
              <w:numPr>
                <w:ilvl w:val="0"/>
                <w:numId w:val="2"/>
              </w:numPr>
              <w:spacing w:lineRule="atLeast" w:line="20" w:before="0" w:after="0"/>
              <w:ind w:hanging="357" w:left="357"/>
              <w:contextualSpacing/>
              <w:rPr>
                <w:rFonts w:ascii="Times New Roman" w:hAnsi="Times New Roman"/>
                <w:b/>
                <w:bCs/>
              </w:rPr>
            </w:pPr>
            <w:r>
              <w:rPr>
                <w:rFonts w:ascii="Times New Roman" w:hAnsi="Times New Roman"/>
                <w:b/>
                <w:bCs/>
              </w:rPr>
            </w:r>
          </w:p>
        </w:tc>
        <w:tc>
          <w:tcPr>
            <w:tcW w:w="1371"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0" w:after="0"/>
              <w:jc w:val="center"/>
              <w:rPr>
                <w:rFonts w:ascii="Times New Roman" w:hAnsi="Times New Roman"/>
                <w:b/>
                <w:bCs/>
              </w:rPr>
            </w:pPr>
            <w:r>
              <w:rPr>
                <w:rFonts w:ascii="Times New Roman" w:hAnsi="Times New Roman"/>
              </w:rPr>
              <w:t>19.20.21.325</w:t>
            </w:r>
          </w:p>
        </w:tc>
        <w:tc>
          <w:tcPr>
            <w:tcW w:w="2775"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0" w:after="0"/>
              <w:rPr>
                <w:rFonts w:ascii="Times New Roman" w:hAnsi="Times New Roman"/>
                <w:b/>
                <w:bCs/>
              </w:rPr>
            </w:pPr>
            <w:r>
              <w:rPr>
                <w:rFonts w:ascii="Times New Roman" w:hAnsi="Times New Roman"/>
              </w:rPr>
              <w:t>Дизельное топливо</w:t>
            </w:r>
          </w:p>
        </w:tc>
        <w:tc>
          <w:tcPr>
            <w:tcW w:w="1116" w:type="dxa"/>
            <w:tcBorders>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r>
          </w:p>
        </w:tc>
        <w:tc>
          <w:tcPr>
            <w:tcW w:w="1703" w:type="dxa"/>
            <w:tcBorders>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r>
          </w:p>
        </w:tc>
        <w:tc>
          <w:tcPr>
            <w:tcW w:w="1853" w:type="dxa"/>
            <w:tcBorders>
              <w:bottom w:val="single" w:sz="4" w:space="0" w:color="000000"/>
              <w:right w:val="single" w:sz="4" w:space="0" w:color="000000"/>
            </w:tcBorders>
            <w:shd w:color="auto" w:fill="auto" w:val="clear"/>
          </w:tcPr>
          <w:p>
            <w:pPr>
              <w:pStyle w:val="Normal"/>
              <w:spacing w:lineRule="atLeast" w:line="20" w:before="0" w:after="0"/>
              <w:jc w:val="center"/>
              <w:rPr>
                <w:rFonts w:ascii="Times New Roman" w:hAnsi="Times New Roman"/>
                <w:b/>
                <w:bCs/>
              </w:rPr>
            </w:pPr>
            <w:r>
              <w:rPr>
                <w:rFonts w:cs="Segoe UI Symbol" w:ascii="Segoe UI Symbol" w:hAnsi="Segoe UI Symbol"/>
                <w:color w:val="00B050"/>
              </w:rPr>
              <w:t>✓</w:t>
            </w:r>
          </w:p>
        </w:tc>
      </w:tr>
      <w:tr>
        <w:trPr>
          <w:tblHeader w:val="true"/>
          <w:trHeight w:val="247" w:hRule="atLeast"/>
        </w:trPr>
        <w:tc>
          <w:tcPr>
            <w:tcW w:w="149" w:type="dxa"/>
            <w:tcBorders>
              <w:top w:val="single" w:sz="4" w:space="0" w:color="000000"/>
              <w:left w:val="single" w:sz="4" w:space="0" w:color="000000"/>
              <w:bottom w:val="single" w:sz="4" w:space="0" w:color="000000"/>
              <w:right w:val="single" w:sz="4" w:space="0" w:color="000000"/>
            </w:tcBorders>
          </w:tcPr>
          <w:p>
            <w:pPr>
              <w:pStyle w:val="ListParagraph"/>
              <w:numPr>
                <w:ilvl w:val="0"/>
                <w:numId w:val="2"/>
              </w:numPr>
              <w:spacing w:lineRule="atLeast" w:line="20" w:before="0" w:after="0"/>
              <w:ind w:hanging="357" w:left="357"/>
              <w:contextualSpacing/>
              <w:rPr>
                <w:rFonts w:ascii="Times New Roman" w:hAnsi="Times New Roman"/>
                <w:b/>
                <w:bCs/>
              </w:rPr>
            </w:pPr>
            <w:r>
              <w:rPr>
                <w:rFonts w:ascii="Times New Roman" w:hAnsi="Times New Roman"/>
                <w:b/>
                <w:bCs/>
              </w:rPr>
            </w:r>
          </w:p>
        </w:tc>
        <w:tc>
          <w:tcPr>
            <w:tcW w:w="1371"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0" w:after="0"/>
              <w:jc w:val="center"/>
              <w:rPr>
                <w:rFonts w:ascii="Times New Roman" w:hAnsi="Times New Roman"/>
                <w:b/>
                <w:bCs/>
              </w:rPr>
            </w:pPr>
            <w:r>
              <w:rPr>
                <w:rFonts w:ascii="Times New Roman" w:hAnsi="Times New Roman"/>
              </w:rPr>
              <w:t>19.20.21.315</w:t>
            </w:r>
          </w:p>
        </w:tc>
        <w:tc>
          <w:tcPr>
            <w:tcW w:w="2775"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0" w:after="0"/>
              <w:rPr>
                <w:rFonts w:ascii="Times New Roman" w:hAnsi="Times New Roman"/>
                <w:b/>
                <w:bCs/>
              </w:rPr>
            </w:pPr>
            <w:r>
              <w:rPr>
                <w:rFonts w:ascii="Times New Roman" w:hAnsi="Times New Roman"/>
              </w:rPr>
              <w:t>Дизельное топливо</w:t>
            </w:r>
          </w:p>
        </w:tc>
        <w:tc>
          <w:tcPr>
            <w:tcW w:w="1116" w:type="dxa"/>
            <w:tcBorders>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r>
          </w:p>
        </w:tc>
        <w:tc>
          <w:tcPr>
            <w:tcW w:w="1703" w:type="dxa"/>
            <w:tcBorders>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r>
          </w:p>
        </w:tc>
        <w:tc>
          <w:tcPr>
            <w:tcW w:w="1853" w:type="dxa"/>
            <w:tcBorders>
              <w:bottom w:val="single" w:sz="4" w:space="0" w:color="000000"/>
              <w:right w:val="single" w:sz="4" w:space="0" w:color="000000"/>
            </w:tcBorders>
            <w:shd w:color="auto" w:fill="auto" w:val="clear"/>
          </w:tcPr>
          <w:p>
            <w:pPr>
              <w:pStyle w:val="Normal"/>
              <w:spacing w:lineRule="atLeast" w:line="20" w:before="0" w:after="0"/>
              <w:jc w:val="center"/>
              <w:rPr>
                <w:rFonts w:ascii="Times New Roman" w:hAnsi="Times New Roman"/>
                <w:b/>
                <w:bCs/>
              </w:rPr>
            </w:pPr>
            <w:r>
              <w:rPr>
                <w:rFonts w:cs="Segoe UI Symbol" w:ascii="Segoe UI Symbol" w:hAnsi="Segoe UI Symbol"/>
                <w:color w:val="00B050"/>
              </w:rPr>
              <w:t>✓</w:t>
            </w:r>
          </w:p>
        </w:tc>
      </w:tr>
      <w:tr>
        <w:trPr>
          <w:tblHeader w:val="true"/>
          <w:trHeight w:val="262" w:hRule="atLeast"/>
        </w:trPr>
        <w:tc>
          <w:tcPr>
            <w:tcW w:w="149" w:type="dxa"/>
            <w:tcBorders>
              <w:top w:val="single" w:sz="4" w:space="0" w:color="000000"/>
              <w:left w:val="single" w:sz="4" w:space="0" w:color="000000"/>
              <w:bottom w:val="single" w:sz="4" w:space="0" w:color="000000"/>
              <w:right w:val="single" w:sz="4" w:space="0" w:color="000000"/>
            </w:tcBorders>
          </w:tcPr>
          <w:p>
            <w:pPr>
              <w:pStyle w:val="ListParagraph"/>
              <w:numPr>
                <w:ilvl w:val="0"/>
                <w:numId w:val="2"/>
              </w:numPr>
              <w:spacing w:lineRule="atLeast" w:line="20" w:before="0" w:after="0"/>
              <w:ind w:hanging="357" w:left="357"/>
              <w:contextualSpacing/>
              <w:rPr>
                <w:rFonts w:ascii="Times New Roman" w:hAnsi="Times New Roman"/>
                <w:b/>
                <w:bCs/>
              </w:rPr>
            </w:pPr>
            <w:r>
              <w:rPr>
                <w:rFonts w:ascii="Times New Roman" w:hAnsi="Times New Roman"/>
                <w:b/>
                <w:bCs/>
              </w:rPr>
            </w:r>
          </w:p>
        </w:tc>
        <w:tc>
          <w:tcPr>
            <w:tcW w:w="1371"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0" w:after="0"/>
              <w:jc w:val="center"/>
              <w:rPr>
                <w:rFonts w:ascii="Times New Roman" w:hAnsi="Times New Roman"/>
                <w:b/>
                <w:bCs/>
              </w:rPr>
            </w:pPr>
            <w:r>
              <w:rPr>
                <w:rFonts w:ascii="Times New Roman" w:hAnsi="Times New Roman"/>
              </w:rPr>
              <w:t>19.20.21.125</w:t>
            </w:r>
          </w:p>
        </w:tc>
        <w:tc>
          <w:tcPr>
            <w:tcW w:w="2775"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rPr>
            </w:pPr>
            <w:r>
              <w:rPr>
                <w:rFonts w:ascii="Times New Roman" w:hAnsi="Times New Roman"/>
              </w:rPr>
              <w:t>Бензин автомобильный АИ-92</w:t>
            </w:r>
          </w:p>
        </w:tc>
        <w:tc>
          <w:tcPr>
            <w:tcW w:w="1116" w:type="dxa"/>
            <w:tcBorders>
              <w:top w:val="single" w:sz="4" w:space="0" w:color="000000"/>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r>
          </w:p>
        </w:tc>
        <w:tc>
          <w:tcPr>
            <w:tcW w:w="1703" w:type="dxa"/>
            <w:tcBorders>
              <w:top w:val="single" w:sz="4" w:space="0" w:color="000000"/>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r>
          </w:p>
        </w:tc>
        <w:tc>
          <w:tcPr>
            <w:tcW w:w="1853" w:type="dxa"/>
            <w:tcBorders>
              <w:top w:val="single" w:sz="4" w:space="0" w:color="000000"/>
              <w:bottom w:val="single" w:sz="4" w:space="0" w:color="000000"/>
              <w:right w:val="single" w:sz="4" w:space="0" w:color="000000"/>
            </w:tcBorders>
            <w:shd w:color="auto" w:fill="auto" w:val="clear"/>
          </w:tcPr>
          <w:p>
            <w:pPr>
              <w:pStyle w:val="Normal"/>
              <w:spacing w:lineRule="atLeast" w:line="20" w:before="0" w:after="0"/>
              <w:jc w:val="center"/>
              <w:rPr>
                <w:rFonts w:ascii="Times New Roman" w:hAnsi="Times New Roman"/>
                <w:b/>
                <w:bCs/>
                <w:color w:val="00B050"/>
              </w:rPr>
            </w:pPr>
            <w:r>
              <w:rPr>
                <w:rFonts w:cs="Segoe UI Symbol" w:ascii="Segoe UI Symbol" w:hAnsi="Segoe UI Symbol"/>
                <w:color w:val="00B050"/>
              </w:rPr>
              <w:t>✓</w:t>
            </w:r>
          </w:p>
        </w:tc>
      </w:tr>
      <w:tr>
        <w:trPr>
          <w:tblHeader w:val="true"/>
          <w:trHeight w:val="262" w:hRule="atLeast"/>
        </w:trPr>
        <w:tc>
          <w:tcPr>
            <w:tcW w:w="149" w:type="dxa"/>
            <w:tcBorders>
              <w:top w:val="single" w:sz="4" w:space="0" w:color="000000"/>
              <w:left w:val="single" w:sz="4" w:space="0" w:color="000000"/>
              <w:bottom w:val="single" w:sz="4" w:space="0" w:color="000000"/>
              <w:right w:val="single" w:sz="4" w:space="0" w:color="000000"/>
            </w:tcBorders>
          </w:tcPr>
          <w:p>
            <w:pPr>
              <w:pStyle w:val="ListParagraph"/>
              <w:numPr>
                <w:ilvl w:val="0"/>
                <w:numId w:val="2"/>
              </w:numPr>
              <w:spacing w:lineRule="atLeast" w:line="20" w:before="0" w:after="0"/>
              <w:ind w:hanging="357" w:left="357"/>
              <w:contextualSpacing/>
              <w:rPr>
                <w:rFonts w:ascii="Times New Roman" w:hAnsi="Times New Roman"/>
                <w:b/>
                <w:bCs/>
              </w:rPr>
            </w:pPr>
            <w:r>
              <w:rPr>
                <w:rFonts w:ascii="Times New Roman" w:hAnsi="Times New Roman"/>
                <w:b/>
                <w:bCs/>
              </w:rPr>
            </w:r>
          </w:p>
        </w:tc>
        <w:tc>
          <w:tcPr>
            <w:tcW w:w="1371"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0" w:after="0"/>
              <w:jc w:val="center"/>
              <w:rPr>
                <w:rFonts w:ascii="Times New Roman" w:hAnsi="Times New Roman"/>
              </w:rPr>
            </w:pPr>
            <w:r>
              <w:rPr>
                <w:rFonts w:ascii="Times New Roman" w:hAnsi="Times New Roman"/>
              </w:rPr>
              <w:t>19.20.21.135</w:t>
            </w:r>
          </w:p>
        </w:tc>
        <w:tc>
          <w:tcPr>
            <w:tcW w:w="2775"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rPr>
            </w:pPr>
            <w:r>
              <w:rPr>
                <w:rFonts w:ascii="Times New Roman" w:hAnsi="Times New Roman"/>
              </w:rPr>
              <w:t>Бензин автомобильный АИ-95</w:t>
            </w:r>
          </w:p>
        </w:tc>
        <w:tc>
          <w:tcPr>
            <w:tcW w:w="1116" w:type="dxa"/>
            <w:tcBorders>
              <w:top w:val="single" w:sz="4" w:space="0" w:color="000000"/>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r>
          </w:p>
        </w:tc>
        <w:tc>
          <w:tcPr>
            <w:tcW w:w="1703" w:type="dxa"/>
            <w:tcBorders>
              <w:top w:val="single" w:sz="4" w:space="0" w:color="000000"/>
              <w:bottom w:val="single" w:sz="4" w:space="0" w:color="000000"/>
              <w:right w:val="single" w:sz="4" w:space="0" w:color="000000"/>
            </w:tcBorders>
            <w:shd w:color="auto" w:fill="auto" w:val="clear"/>
            <w:vAlign w:val="center"/>
          </w:tcPr>
          <w:p>
            <w:pPr>
              <w:pStyle w:val="Normal"/>
              <w:spacing w:lineRule="atLeast" w:line="20" w:before="0" w:after="0"/>
              <w:jc w:val="center"/>
              <w:rPr>
                <w:rFonts w:ascii="Times New Roman" w:hAnsi="Times New Roman"/>
                <w:b/>
                <w:bCs/>
              </w:rPr>
            </w:pPr>
            <w:r>
              <w:rPr>
                <w:rFonts w:ascii="Times New Roman" w:hAnsi="Times New Roman"/>
                <w:b/>
                <w:bCs/>
              </w:rPr>
            </w:r>
          </w:p>
        </w:tc>
        <w:tc>
          <w:tcPr>
            <w:tcW w:w="1853" w:type="dxa"/>
            <w:tcBorders>
              <w:top w:val="single" w:sz="4" w:space="0" w:color="000000"/>
              <w:bottom w:val="single" w:sz="4" w:space="0" w:color="000000"/>
              <w:right w:val="single" w:sz="4" w:space="0" w:color="000000"/>
            </w:tcBorders>
            <w:shd w:color="auto" w:fill="auto" w:val="clear"/>
          </w:tcPr>
          <w:p>
            <w:pPr>
              <w:pStyle w:val="Normal"/>
              <w:spacing w:lineRule="atLeast" w:line="20" w:before="0" w:after="0"/>
              <w:jc w:val="center"/>
              <w:rPr>
                <w:rFonts w:ascii="Segoe UI Symbol" w:hAnsi="Segoe UI Symbol" w:cs="Segoe UI Symbol"/>
                <w:color w:val="00B050"/>
              </w:rPr>
            </w:pPr>
            <w:r>
              <w:rPr>
                <w:rFonts w:cs="Segoe UI Symbol" w:ascii="Segoe UI Symbol" w:hAnsi="Segoe UI Symbol"/>
                <w:color w:val="00B050"/>
              </w:rPr>
              <w:t>✓</w:t>
            </w:r>
          </w:p>
        </w:tc>
      </w:tr>
    </w:tbl>
    <w:p>
      <w:pPr>
        <w:pStyle w:val="Normal"/>
        <w:widowControl w:val="false"/>
        <w:spacing w:lineRule="auto" w:line="240" w:before="0" w:after="0"/>
        <w:jc w:val="both"/>
        <w:rPr>
          <w:rFonts w:ascii="Times New Roman" w:hAnsi="Times New Roman" w:eastAsia="Times New Roman" w:cs="Times New Roman"/>
          <w:i/>
          <w:i/>
          <w:iCs/>
          <w:sz w:val="20"/>
          <w:szCs w:val="20"/>
          <w:lang w:eastAsia="ar-SA"/>
        </w:rPr>
      </w:pPr>
      <w:r>
        <w:rPr>
          <w:rFonts w:eastAsia="Times New Roman" w:cs="Times New Roman" w:ascii="Times New Roman" w:hAnsi="Times New Roman"/>
          <w:i/>
          <w:iCs/>
          <w:sz w:val="20"/>
          <w:szCs w:val="20"/>
          <w:lang w:eastAsia="ar-SA"/>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9356" w:type="dxa"/>
        <w:jc w:val="left"/>
        <w:tblInd w:w="-5" w:type="dxa"/>
        <w:tblLayout w:type="fixed"/>
        <w:tblCellMar>
          <w:top w:w="0" w:type="dxa"/>
          <w:left w:w="108" w:type="dxa"/>
          <w:bottom w:w="0" w:type="dxa"/>
          <w:right w:w="108" w:type="dxa"/>
        </w:tblCellMar>
        <w:tblLook w:noVBand="1" w:val="04a0" w:noHBand="0" w:lastColumn="0" w:firstColumn="1" w:lastRow="0" w:firstRow="1"/>
      </w:tblPr>
      <w:tblGrid>
        <w:gridCol w:w="624"/>
        <w:gridCol w:w="1813"/>
        <w:gridCol w:w="6209"/>
        <w:gridCol w:w="709"/>
      </w:tblGrid>
      <w:tr>
        <w:trPr>
          <w:tblHeader w:val="true"/>
          <w:trHeight w:val="484"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lang w:eastAsia="ru-RU"/>
              </w:rPr>
            </w:pPr>
            <w:r>
              <w:rPr>
                <w:rFonts w:eastAsia="Times New Roman" w:cs="Times New Roman" w:ascii="Times New Roman" w:hAnsi="Times New Roman"/>
                <w:b/>
                <w:bCs/>
                <w:lang w:eastAsia="ru-RU"/>
              </w:rPr>
              <w:t>№</w:t>
            </w:r>
            <w:r>
              <w:rPr>
                <w:rFonts w:eastAsia="Times New Roman" w:cs="Times New Roman" w:ascii="Times New Roman" w:hAnsi="Times New Roman"/>
                <w:b/>
                <w:bCs/>
                <w:lang w:eastAsia="ru-RU"/>
              </w:rPr>
              <w:br/>
              <w:t>п/п</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lang w:eastAsia="ru-RU"/>
              </w:rPr>
            </w:pPr>
            <w:r>
              <w:rPr>
                <w:rFonts w:eastAsia="Times New Roman" w:cs="Times New Roman" w:ascii="Times New Roman" w:hAnsi="Times New Roman"/>
                <w:b/>
                <w:bCs/>
                <w:lang w:eastAsia="ru-RU"/>
              </w:rPr>
              <w:t>Наименование товара</w:t>
            </w:r>
          </w:p>
        </w:tc>
        <w:tc>
          <w:tcPr>
            <w:tcW w:w="6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lang w:eastAsia="ru-RU"/>
              </w:rPr>
            </w:pPr>
            <w:r>
              <w:rPr>
                <w:rFonts w:eastAsia="Times New Roman" w:cs="Times New Roman" w:ascii="Times New Roman" w:hAnsi="Times New Roman"/>
                <w:b/>
                <w:bCs/>
                <w:lang w:eastAsia="ar-SA"/>
              </w:rPr>
              <w:t>Требования к качеству закупаемой продукции</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lang w:eastAsia="ru-RU"/>
              </w:rPr>
            </w:pPr>
            <w:r>
              <w:rPr>
                <w:rFonts w:eastAsia="Times New Roman" w:cs="Times New Roman" w:ascii="Times New Roman" w:hAnsi="Times New Roman"/>
                <w:b/>
                <w:bCs/>
                <w:lang w:eastAsia="ru-RU"/>
              </w:rPr>
              <w:t>Ед.</w:t>
              <w:br/>
              <w:t>изм.</w:t>
            </w:r>
          </w:p>
        </w:tc>
      </w:tr>
      <w:tr>
        <w:trPr>
          <w:trHeight w:val="484" w:hRule="atLeast"/>
        </w:trPr>
        <w:tc>
          <w:tcPr>
            <w:tcW w:w="62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0"/>
              <w:ind w:hanging="357" w:left="357"/>
              <w:contextualSpacing/>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tc>
        <w:tc>
          <w:tcPr>
            <w:tcW w:w="18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lang w:eastAsia="ar-SA"/>
              </w:rPr>
              <w:t>Дизельное топливо</w:t>
            </w:r>
          </w:p>
        </w:tc>
        <w:tc>
          <w:tcPr>
            <w:tcW w:w="62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Times New Roman" w:hAnsi="Times New Roman"/>
              </w:rPr>
            </w:pPr>
            <w:r>
              <w:rPr>
                <w:rFonts w:ascii="Times New Roman" w:hAnsi="Times New Roman"/>
              </w:rPr>
              <w:t>Соответствие качества поставляемого Товара ГОСТ 32511-2013 «Топливо дизельное ЕВРО. Технические условия (с Поправкой, с Изменением №1)</w:t>
            </w:r>
          </w:p>
          <w:p>
            <w:pPr>
              <w:pStyle w:val="Normal"/>
              <w:widowControl w:val="false"/>
              <w:spacing w:lineRule="auto" w:line="252" w:before="0" w:after="0"/>
              <w:rPr>
                <w:rFonts w:ascii="Times New Roman" w:hAnsi="Times New Roman"/>
              </w:rPr>
            </w:pPr>
            <w:r>
              <w:rPr>
                <w:rFonts w:ascii="Times New Roman" w:hAnsi="Times New Roman"/>
              </w:rPr>
              <w:t>- Сезонность топлива</w:t>
            </w:r>
            <w:r>
              <w:rPr>
                <w:rFonts w:eastAsia="Times New Roman" w:cs="Times New Roman" w:ascii="Times New Roman" w:hAnsi="Times New Roman"/>
                <w:lang w:eastAsia="ar-SA"/>
              </w:rPr>
              <w:t xml:space="preserve"> топливо: зимнее</w:t>
            </w:r>
            <w:r>
              <w:rPr>
                <w:rFonts w:ascii="Times New Roman" w:hAnsi="Times New Roman"/>
              </w:rPr>
              <w:br/>
              <w:t>- Массовая доля серы, мг/кг: не более 10,0</w:t>
            </w:r>
          </w:p>
          <w:p>
            <w:pPr>
              <w:pStyle w:val="Normal"/>
              <w:widowControl w:val="false"/>
              <w:spacing w:lineRule="auto" w:line="240" w:before="0" w:after="0"/>
              <w:rPr>
                <w:rFonts w:ascii="Times New Roman" w:hAnsi="Times New Roman" w:eastAsia="Times New Roman" w:cs="Times New Roman"/>
                <w:b/>
                <w:bCs/>
                <w:lang w:eastAsia="ar-SA"/>
              </w:rPr>
            </w:pPr>
            <w:r>
              <w:rPr>
                <w:rFonts w:cs="Times New Roman" w:ascii="Times New Roman" w:hAnsi="Times New Roman"/>
                <w:color w:val="000000"/>
              </w:rPr>
              <w:t>Экологический класс –не ниже К5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lang w:eastAsia="ru-RU"/>
              </w:rPr>
              <w:t>литр</w:t>
            </w:r>
          </w:p>
        </w:tc>
      </w:tr>
      <w:tr>
        <w:trPr>
          <w:trHeight w:val="484" w:hRule="atLeast"/>
        </w:trPr>
        <w:tc>
          <w:tcPr>
            <w:tcW w:w="62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0"/>
              <w:ind w:hanging="357" w:left="357"/>
              <w:contextualSpacing/>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tc>
        <w:tc>
          <w:tcPr>
            <w:tcW w:w="18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lang w:eastAsia="ar-SA"/>
              </w:rPr>
              <w:t>Дизельное топливо</w:t>
            </w:r>
          </w:p>
        </w:tc>
        <w:tc>
          <w:tcPr>
            <w:tcW w:w="62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Times New Roman" w:hAnsi="Times New Roman"/>
              </w:rPr>
            </w:pPr>
            <w:r>
              <w:rPr>
                <w:rFonts w:ascii="Times New Roman" w:hAnsi="Times New Roman"/>
              </w:rPr>
              <w:t>Соответствие качества поставляемого Товара ГОСТ 32511-2013 «Топливо дизельное ЕВРО. Технические условия (с Поправкой, с Изменением №1)</w:t>
            </w:r>
          </w:p>
          <w:p>
            <w:pPr>
              <w:pStyle w:val="Normal"/>
              <w:widowControl w:val="false"/>
              <w:spacing w:lineRule="auto" w:line="252" w:before="0" w:after="0"/>
              <w:rPr>
                <w:rFonts w:ascii="Times New Roman" w:hAnsi="Times New Roman"/>
              </w:rPr>
            </w:pPr>
            <w:r>
              <w:rPr>
                <w:rFonts w:ascii="Times New Roman" w:hAnsi="Times New Roman"/>
              </w:rPr>
              <w:t>- Сезонность топлива</w:t>
            </w:r>
            <w:r>
              <w:rPr>
                <w:rFonts w:eastAsia="Times New Roman" w:cs="Times New Roman" w:ascii="Times New Roman" w:hAnsi="Times New Roman"/>
                <w:lang w:eastAsia="ar-SA"/>
              </w:rPr>
              <w:t xml:space="preserve"> топливо: летнее</w:t>
            </w:r>
            <w:r>
              <w:rPr>
                <w:rFonts w:ascii="Times New Roman" w:hAnsi="Times New Roman"/>
              </w:rPr>
              <w:br/>
              <w:t>- Массовая доля серы, мг/кг: не более 10,0</w:t>
            </w:r>
          </w:p>
          <w:p>
            <w:pPr>
              <w:pStyle w:val="Normal"/>
              <w:widowControl w:val="false"/>
              <w:spacing w:lineRule="auto" w:line="240" w:before="0" w:after="0"/>
              <w:rPr>
                <w:rFonts w:ascii="Times New Roman" w:hAnsi="Times New Roman" w:eastAsia="Times New Roman" w:cs="Times New Roman"/>
                <w:b/>
                <w:bCs/>
                <w:lang w:eastAsia="ar-SA"/>
              </w:rPr>
            </w:pPr>
            <w:r>
              <w:rPr>
                <w:rFonts w:cs="Times New Roman" w:ascii="Times New Roman" w:hAnsi="Times New Roman"/>
                <w:color w:val="000000"/>
              </w:rPr>
              <w:t>Экологический класс –не ниже К5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lang w:eastAsia="ru-RU"/>
              </w:rPr>
              <w:t>литр</w:t>
            </w:r>
          </w:p>
        </w:tc>
      </w:tr>
      <w:tr>
        <w:trPr>
          <w:trHeight w:val="743" w:hRule="atLeast"/>
        </w:trPr>
        <w:tc>
          <w:tcPr>
            <w:tcW w:w="62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0"/>
              <w:ind w:hanging="357" w:left="357"/>
              <w:contextualSpacing/>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tc>
        <w:tc>
          <w:tcPr>
            <w:tcW w:w="18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lang w:eastAsia="ar-SA"/>
              </w:rPr>
              <w:t>Бензин автомобильный АИ-92</w:t>
            </w:r>
          </w:p>
        </w:tc>
        <w:tc>
          <w:tcPr>
            <w:tcW w:w="6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rPr>
                <w:rFonts w:ascii="Times New Roman" w:hAnsi="Times New Roman"/>
              </w:rPr>
            </w:pPr>
            <w:r>
              <w:rPr>
                <w:rFonts w:ascii="Times New Roman" w:hAnsi="Times New Roman"/>
              </w:rPr>
              <w:t>Соответствие качества поставляемого Товара ГОСТ 32513-2023 «Топлива моторные, бензин неэтилированный. Технические условия»</w:t>
            </w:r>
          </w:p>
          <w:p>
            <w:pPr>
              <w:pStyle w:val="Normal"/>
              <w:widowControl w:val="false"/>
              <w:spacing w:lineRule="auto" w:line="252" w:before="0" w:after="0"/>
              <w:rPr>
                <w:rFonts w:ascii="Times New Roman" w:hAnsi="Times New Roman"/>
              </w:rPr>
            </w:pPr>
            <w:r>
              <w:rPr>
                <w:rFonts w:ascii="Times New Roman" w:hAnsi="Times New Roman"/>
              </w:rPr>
              <w:t>- Экологический класс – не ниже К5;</w:t>
            </w:r>
          </w:p>
          <w:p>
            <w:pPr>
              <w:pStyle w:val="Normal"/>
              <w:widowControl w:val="false"/>
              <w:spacing w:lineRule="auto" w:line="252" w:before="0" w:after="0"/>
              <w:rPr>
                <w:rFonts w:ascii="Times New Roman" w:hAnsi="Times New Roman"/>
              </w:rPr>
            </w:pPr>
            <w:r>
              <w:rPr>
                <w:rFonts w:ascii="Times New Roman" w:hAnsi="Times New Roman"/>
              </w:rPr>
              <w:t>- Октановое число:</w:t>
            </w:r>
          </w:p>
          <w:p>
            <w:pPr>
              <w:pStyle w:val="Normal"/>
              <w:widowControl w:val="false"/>
              <w:spacing w:lineRule="auto" w:line="252" w:before="0" w:after="0"/>
              <w:rPr>
                <w:rFonts w:ascii="Times New Roman" w:hAnsi="Times New Roman"/>
              </w:rPr>
            </w:pPr>
            <w:r>
              <w:rPr>
                <w:rFonts w:ascii="Times New Roman" w:hAnsi="Times New Roman"/>
                <w:shd w:fill="FFFFFF" w:val="clear"/>
              </w:rPr>
              <w:t>- по исследовательскому методу:</w:t>
            </w:r>
            <w:r>
              <w:rPr>
                <w:rFonts w:ascii="Times New Roman" w:hAnsi="Times New Roman"/>
              </w:rPr>
              <w:t xml:space="preserve"> не менее 92,0</w:t>
            </w:r>
          </w:p>
          <w:p>
            <w:pPr>
              <w:pStyle w:val="Normal"/>
              <w:widowControl w:val="false"/>
              <w:spacing w:lineRule="auto" w:line="252" w:before="0" w:after="0"/>
              <w:rPr>
                <w:rFonts w:ascii="Times New Roman" w:hAnsi="Times New Roman"/>
                <w:shd w:fill="FFFFFF" w:val="clear"/>
              </w:rPr>
            </w:pPr>
            <w:r>
              <w:rPr>
                <w:rFonts w:ascii="Times New Roman" w:hAnsi="Times New Roman"/>
                <w:shd w:fill="FFFFFF" w:val="clear"/>
              </w:rPr>
              <w:t>- по моторному методу: не менее 83,0</w:t>
            </w:r>
          </w:p>
          <w:p>
            <w:pPr>
              <w:pStyle w:val="Normal"/>
              <w:widowControl w:val="false"/>
              <w:spacing w:lineRule="auto" w:line="252" w:before="0" w:after="0"/>
              <w:rPr>
                <w:rFonts w:ascii="Times New Roman" w:hAnsi="Times New Roman"/>
              </w:rPr>
            </w:pPr>
            <w:r>
              <w:rPr>
                <w:rFonts w:ascii="Times New Roman" w:hAnsi="Times New Roman"/>
              </w:rPr>
              <w:t>- Массовая доля серы, мг/кг: не более 10,0</w:t>
            </w:r>
          </w:p>
          <w:p>
            <w:pPr>
              <w:pStyle w:val="Normal"/>
              <w:widowControl w:val="false"/>
              <w:spacing w:lineRule="auto" w:line="252" w:before="0" w:after="0"/>
              <w:rPr>
                <w:rFonts w:ascii="Times New Roman" w:hAnsi="Times New Roman"/>
              </w:rPr>
            </w:pPr>
            <w:r>
              <w:rPr>
                <w:rFonts w:eastAsia="Calibri" w:cs="Times New Roman" w:ascii="Times New Roman" w:hAnsi="Times New Roman"/>
              </w:rPr>
              <w:t>Отсутствие механических примесей.</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литр</w:t>
            </w:r>
          </w:p>
        </w:tc>
      </w:tr>
      <w:tr>
        <w:trPr>
          <w:trHeight w:val="743" w:hRule="atLeast"/>
        </w:trPr>
        <w:tc>
          <w:tcPr>
            <w:tcW w:w="62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0"/>
              <w:ind w:hanging="357" w:left="357"/>
              <w:contextualSpacing/>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tc>
        <w:tc>
          <w:tcPr>
            <w:tcW w:w="18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ar-SA"/>
              </w:rPr>
              <w:t>Бензин автомобильный АИ-95</w:t>
            </w:r>
          </w:p>
        </w:tc>
        <w:tc>
          <w:tcPr>
            <w:tcW w:w="6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rPr>
                <w:rFonts w:ascii="Times New Roman" w:hAnsi="Times New Roman"/>
              </w:rPr>
            </w:pPr>
            <w:r>
              <w:rPr>
                <w:rFonts w:ascii="Times New Roman" w:hAnsi="Times New Roman"/>
              </w:rPr>
              <w:t>Соответствие качества поставляемого Товара ГОСТ 32513-2023 «Топлива моторные, бензин неэтилированный. Технические условия»</w:t>
            </w:r>
          </w:p>
          <w:p>
            <w:pPr>
              <w:pStyle w:val="Normal"/>
              <w:widowControl w:val="false"/>
              <w:spacing w:lineRule="auto" w:line="252" w:before="0" w:after="0"/>
              <w:rPr>
                <w:rFonts w:ascii="Times New Roman" w:hAnsi="Times New Roman"/>
              </w:rPr>
            </w:pPr>
            <w:r>
              <w:rPr>
                <w:rFonts w:ascii="Times New Roman" w:hAnsi="Times New Roman"/>
              </w:rPr>
              <w:t>- Экологический класс – не ниже К5;</w:t>
            </w:r>
          </w:p>
          <w:p>
            <w:pPr>
              <w:pStyle w:val="Normal"/>
              <w:widowControl w:val="false"/>
              <w:spacing w:lineRule="auto" w:line="252" w:before="0" w:after="0"/>
              <w:rPr>
                <w:rFonts w:ascii="Times New Roman" w:hAnsi="Times New Roman"/>
              </w:rPr>
            </w:pPr>
            <w:r>
              <w:rPr>
                <w:rFonts w:ascii="Times New Roman" w:hAnsi="Times New Roman"/>
              </w:rPr>
              <w:t>- Октановое число:</w:t>
            </w:r>
          </w:p>
          <w:p>
            <w:pPr>
              <w:pStyle w:val="Normal"/>
              <w:widowControl w:val="false"/>
              <w:spacing w:lineRule="auto" w:line="252" w:before="0" w:after="0"/>
              <w:rPr>
                <w:rFonts w:ascii="Times New Roman" w:hAnsi="Times New Roman"/>
              </w:rPr>
            </w:pPr>
            <w:r>
              <w:rPr>
                <w:rFonts w:ascii="Times New Roman" w:hAnsi="Times New Roman"/>
              </w:rPr>
              <w:t>- по исследовательскому методу: не менее 95,0</w:t>
            </w:r>
          </w:p>
          <w:p>
            <w:pPr>
              <w:pStyle w:val="Normal"/>
              <w:widowControl w:val="false"/>
              <w:spacing w:lineRule="auto" w:line="252" w:before="0" w:after="0"/>
              <w:rPr>
                <w:rFonts w:ascii="Times New Roman" w:hAnsi="Times New Roman"/>
              </w:rPr>
            </w:pPr>
            <w:r>
              <w:rPr>
                <w:rFonts w:ascii="Times New Roman" w:hAnsi="Times New Roman"/>
              </w:rPr>
              <w:t>- по моторному методу: не менее 85,0</w:t>
            </w:r>
          </w:p>
          <w:p>
            <w:pPr>
              <w:pStyle w:val="Normal"/>
              <w:widowControl w:val="false"/>
              <w:spacing w:lineRule="auto" w:line="252" w:before="0" w:after="0"/>
              <w:rPr>
                <w:rFonts w:ascii="Times New Roman" w:hAnsi="Times New Roman"/>
              </w:rPr>
            </w:pPr>
            <w:r>
              <w:rPr>
                <w:rFonts w:ascii="Times New Roman" w:hAnsi="Times New Roman"/>
              </w:rPr>
              <w:t>- Массовая доля серы, мг/кг: не более 10,0</w:t>
            </w:r>
          </w:p>
          <w:p>
            <w:pPr>
              <w:pStyle w:val="Normal"/>
              <w:widowControl w:val="false"/>
              <w:spacing w:lineRule="auto" w:line="252" w:before="0" w:after="0"/>
              <w:rPr>
                <w:rFonts w:ascii="Times New Roman" w:hAnsi="Times New Roman"/>
              </w:rPr>
            </w:pPr>
            <w:r>
              <w:rPr>
                <w:rFonts w:eastAsia="Calibri" w:cs="Times New Roman" w:ascii="Times New Roman" w:hAnsi="Times New Roman"/>
              </w:rPr>
              <w:t>Отсутствие механических примесей.</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литр</w:t>
            </w:r>
          </w:p>
        </w:tc>
      </w:tr>
    </w:tbl>
    <w:p>
      <w:pPr>
        <w:pStyle w:val="Normal"/>
        <w:widowControl w:val="false"/>
        <w:spacing w:lineRule="auto" w:line="240" w:before="0" w:after="0"/>
        <w:jc w:val="both"/>
        <w:rPr>
          <w:rFonts w:ascii="Times New Roman" w:hAnsi="Times New Roman" w:eastAsia="Times New Roman" w:cs="Times New Roman"/>
          <w:b/>
          <w:bCs/>
          <w:lang w:eastAsia="ar-SA"/>
        </w:rPr>
      </w:pPr>
      <w:r>
        <w:rPr>
          <w:rFonts w:eastAsia="Times New Roman" w:cs="Times New Roman" w:ascii="Times New Roman" w:hAnsi="Times New Roman"/>
          <w:b/>
          <w:bCs/>
          <w:lang w:eastAsia="ar-SA"/>
        </w:rPr>
        <w:t>2. Требования к качественным характеристикам товаров:</w:t>
      </w:r>
    </w:p>
    <w:p>
      <w:pPr>
        <w:pStyle w:val="Normal"/>
        <w:widowControl w:val="false"/>
        <w:spacing w:lineRule="auto" w:line="240" w:before="0" w:after="0"/>
        <w:jc w:val="both"/>
        <w:rPr>
          <w:rFonts w:ascii="Times New Roman" w:hAnsi="Times New Roman" w:eastAsia="Times New Roman" w:cs="Times New Roman"/>
          <w:lang w:eastAsia="ar-SA"/>
        </w:rPr>
      </w:pPr>
      <w:r>
        <w:rPr>
          <w:rFonts w:eastAsia="Times New Roman" w:cs="Times New Roman" w:ascii="Times New Roman" w:hAnsi="Times New Roman"/>
          <w:lang w:eastAsia="ar-SA"/>
        </w:rPr>
        <w:t>Поставляемый Товар должен соответствовать требованиям, установленным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pPr>
        <w:pStyle w:val="Normal"/>
        <w:widowControl w:val="false"/>
        <w:spacing w:lineRule="auto" w:line="240" w:before="0" w:after="0"/>
        <w:jc w:val="both"/>
        <w:rPr>
          <w:rFonts w:ascii="Times New Roman" w:hAnsi="Times New Roman" w:eastAsia="Times New Roman" w:cs="Times New Roman"/>
          <w:bCs/>
          <w:iCs/>
          <w:lang w:eastAsia="ar-SA"/>
        </w:rPr>
      </w:pPr>
      <w:r>
        <w:rPr>
          <w:rFonts w:eastAsia="Times New Roman" w:cs="Times New Roman" w:ascii="Times New Roman" w:hAnsi="Times New Roman"/>
          <w:bCs/>
          <w:iCs/>
          <w:lang w:eastAsia="ar-SA"/>
        </w:rPr>
        <w:t xml:space="preserve">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w:t>
      </w:r>
    </w:p>
    <w:p>
      <w:pPr>
        <w:pStyle w:val="Normal"/>
        <w:widowControl w:val="false"/>
        <w:spacing w:lineRule="auto" w:line="240" w:before="0" w:after="0"/>
        <w:jc w:val="both"/>
        <w:rPr>
          <w:rFonts w:ascii="Times New Roman" w:hAnsi="Times New Roman" w:eastAsia="Times New Roman" w:cs="Times New Roman"/>
          <w:bCs/>
          <w:lang w:eastAsia="ar-SA"/>
        </w:rPr>
      </w:pPr>
      <w:r>
        <w:rPr>
          <w:rFonts w:eastAsia="Times New Roman" w:cs="Times New Roman" w:ascii="Times New Roman" w:hAnsi="Times New Roman"/>
          <w:bCs/>
          <w:lang w:eastAsia="ar-SA"/>
        </w:rPr>
        <w:t>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pPr>
        <w:pStyle w:val="Normal"/>
        <w:widowControl w:val="false"/>
        <w:spacing w:lineRule="auto" w:line="240" w:before="0" w:after="0"/>
        <w:jc w:val="both"/>
        <w:rPr>
          <w:rFonts w:ascii="Times New Roman" w:hAnsi="Times New Roman" w:eastAsia="Times New Roman" w:cs="Times New Roman"/>
          <w:bCs/>
          <w:lang w:eastAsia="ar-SA"/>
        </w:rPr>
      </w:pPr>
      <w:r>
        <w:rPr>
          <w:rFonts w:eastAsia="Times New Roman" w:cs="Times New Roman" w:ascii="Times New Roman" w:hAnsi="Times New Roman"/>
          <w:bCs/>
          <w:lang w:eastAsia="ar-SA"/>
        </w:rPr>
        <w:t xml:space="preserve">При обнаружении каких-либо расхождений, стороны составляют двухсторонний акт, в котором отражают все расхождения и в течение 3 дней устраняют выявленные несоответствия. </w:t>
      </w:r>
    </w:p>
    <w:p>
      <w:pPr>
        <w:pStyle w:val="Normal"/>
        <w:widowControl w:val="false"/>
        <w:spacing w:lineRule="auto" w:line="240" w:before="0" w:after="0"/>
        <w:jc w:val="both"/>
        <w:rPr>
          <w:rFonts w:ascii="Times New Roman" w:hAnsi="Times New Roman" w:eastAsia="Times New Roman" w:cs="Times New Roman"/>
          <w:bCs/>
          <w:lang w:eastAsia="ar-SA"/>
        </w:rPr>
      </w:pPr>
      <w:r>
        <w:rPr>
          <w:rFonts w:eastAsia="Times New Roman" w:cs="Times New Roman" w:ascii="Times New Roman" w:hAnsi="Times New Roman"/>
          <w:bCs/>
          <w:lang w:eastAsia="ar-SA"/>
        </w:rPr>
        <w:t>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p>
    <w:p>
      <w:pPr>
        <w:pStyle w:val="Normal"/>
        <w:widowControl w:val="false"/>
        <w:spacing w:lineRule="auto" w:line="240" w:before="0" w:after="0"/>
        <w:jc w:val="both"/>
        <w:rPr>
          <w:rFonts w:ascii="Times New Roman" w:hAnsi="Times New Roman" w:eastAsia="Times New Roman" w:cs="Times New Roman"/>
          <w:lang w:eastAsia="ar-SA"/>
        </w:rPr>
      </w:pPr>
      <w:r>
        <w:rPr>
          <w:rFonts w:eastAsia="Times New Roman" w:cs="Times New Roman" w:ascii="Times New Roman" w:hAnsi="Times New Roman"/>
          <w:b/>
          <w:bCs/>
          <w:lang w:eastAsia="ar-SA"/>
        </w:rPr>
        <w:t xml:space="preserve">3. </w:t>
      </w:r>
      <w:r>
        <w:rPr>
          <w:rFonts w:eastAsia="Times New Roman" w:cs="Times New Roman" w:ascii="Times New Roman" w:hAnsi="Times New Roman"/>
          <w:b/>
          <w:lang w:eastAsia="ar-SA"/>
        </w:rPr>
        <w:t>Условия поставки</w:t>
      </w:r>
      <w:r>
        <w:rPr>
          <w:rFonts w:eastAsia="Times New Roman" w:cs="Times New Roman" w:ascii="Times New Roman" w:hAnsi="Times New Roman"/>
          <w:lang w:eastAsia="ar-SA"/>
        </w:rPr>
        <w:t xml:space="preserve"> – Поставка горюче-смазочных материалов (ГСМ) с использованием пластиковых карт путем безналичных расчетов на АЗС, включенных в систему обслуживания по электронно-пластиковым (топливным) картам. Топливная карта должна представлять собой номерную пластиковую карту с встроенной микросхемой, предназначенной для приобретения ГСМ на АЗС Поставщика, в пределах количества денежных средств на карте с учетом установленных лимитов, с обеспечением возможности срочной блокировки утерянной карты. </w:t>
      </w:r>
    </w:p>
    <w:p>
      <w:pPr>
        <w:pStyle w:val="Normal"/>
        <w:widowControl w:val="false"/>
        <w:spacing w:lineRule="auto" w:line="240" w:before="0" w:after="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Поставщик обязуется обеспечить постоянное наличие всех видов топлива на корпоративном литровом счете Заказчика. Учет потребленных нефтепродуктов в литровом выражении ведется на корпоративном литровом счете Заказчика. </w:t>
      </w:r>
    </w:p>
    <w:p>
      <w:pPr>
        <w:pStyle w:val="Normal"/>
        <w:widowControl w:val="false"/>
        <w:spacing w:lineRule="auto" w:line="240" w:before="0" w:after="0"/>
        <w:jc w:val="both"/>
        <w:rPr>
          <w:rFonts w:ascii="Times New Roman" w:hAnsi="Times New Roman" w:eastAsia="Times New Roman" w:cs="Times New Roman"/>
          <w:lang w:eastAsia="ar-SA"/>
        </w:rPr>
      </w:pPr>
      <w:r>
        <w:rPr>
          <w:rFonts w:eastAsia="Times New Roman" w:cs="Times New Roman" w:ascii="Times New Roman" w:hAnsi="Times New Roman"/>
          <w:lang w:eastAsia="ar-SA"/>
        </w:rPr>
        <w:t>Поставщик гарантирует единую цену на нефтепродукты на всех АЗС, указанных в списке.</w:t>
      </w:r>
    </w:p>
    <w:p>
      <w:pPr>
        <w:pStyle w:val="Normal"/>
        <w:widowControl w:val="false"/>
        <w:spacing w:lineRule="auto" w:line="240" w:before="0" w:after="0"/>
        <w:jc w:val="both"/>
        <w:rPr>
          <w:rFonts w:ascii="Times New Roman" w:hAnsi="Times New Roman" w:eastAsia="Times New Roman" w:cs="Times New Roman"/>
          <w:lang w:eastAsia="ar-SA"/>
        </w:rPr>
      </w:pPr>
      <w:r>
        <w:rPr>
          <w:rFonts w:eastAsia="Times New Roman" w:cs="Times New Roman" w:ascii="Times New Roman" w:hAnsi="Times New Roman"/>
          <w:lang w:eastAsia="ar-SA"/>
        </w:rPr>
        <w:t>Поставка топлива осуществляется ежедневно и круглосуточно.</w:t>
      </w:r>
    </w:p>
    <w:p>
      <w:pPr>
        <w:pStyle w:val="Normal"/>
        <w:widowControl w:val="false"/>
        <w:spacing w:lineRule="auto" w:line="240" w:before="0" w:after="0"/>
        <w:jc w:val="both"/>
        <w:rPr>
          <w:rFonts w:ascii="Times New Roman" w:hAnsi="Times New Roman" w:eastAsia="Times New Roman" w:cs="Times New Roman"/>
          <w:lang w:eastAsia="ar-SA"/>
        </w:rPr>
      </w:pPr>
      <w:r>
        <w:rPr>
          <w:rFonts w:eastAsia="Times New Roman" w:cs="Times New Roman" w:ascii="Times New Roman" w:hAnsi="Times New Roman"/>
          <w:b/>
          <w:bCs/>
          <w:color w:val="000000"/>
          <w:spacing w:val="4"/>
          <w:lang w:eastAsia="ar-SA"/>
        </w:rPr>
        <w:t xml:space="preserve">4. Срок поставки: </w:t>
      </w:r>
      <w:bookmarkStart w:id="0" w:name="_Hlk107582700"/>
      <w:r>
        <w:rPr>
          <w:rFonts w:eastAsia="Times New Roman" w:cs="Times New Roman" w:ascii="Times New Roman" w:hAnsi="Times New Roman"/>
          <w:lang w:eastAsia="ar-SA"/>
        </w:rPr>
        <w:t>с момента заключения договора по 31 декабря 2026 года.</w:t>
      </w:r>
      <w:bookmarkEnd w:id="0"/>
    </w:p>
    <w:p>
      <w:pPr>
        <w:pStyle w:val="Normal"/>
        <w:widowControl w:val="false"/>
        <w:spacing w:lineRule="auto" w:line="240" w:before="0" w:after="0"/>
        <w:jc w:val="both"/>
        <w:rPr/>
      </w:pPr>
      <w:r>
        <w:rPr>
          <w:rFonts w:eastAsia="Times New Roman" w:cs="Times New Roman" w:ascii="Times New Roman" w:hAnsi="Times New Roman"/>
          <w:b/>
          <w:bCs/>
          <w:lang w:eastAsia="ar-SA"/>
        </w:rPr>
        <w:t>5. Место поставки:</w:t>
      </w:r>
      <w:r>
        <w:rPr>
          <w:rFonts w:eastAsia="Times New Roman" w:cs="Times New Roman" w:ascii="Times New Roman" w:hAnsi="Times New Roman"/>
          <w:lang w:eastAsia="ar-SA"/>
        </w:rPr>
        <w:t xml:space="preserve"> </w:t>
      </w:r>
      <w:r>
        <w:rPr>
          <w:rFonts w:cs="Times New Roman" w:ascii="Times New Roman" w:hAnsi="Times New Roman"/>
        </w:rPr>
        <w:t xml:space="preserve">через сеть Автозаправочных станций Поставщика, а также на АЗС Контрагентов Поставщика (обязательное наличие заправочных станций на территории АЗС </w:t>
      </w:r>
      <w:r>
        <w:rPr>
          <w:rFonts w:eastAsia="Times New Roman" w:cs="Times New Roman" w:ascii="Times New Roman" w:hAnsi="Times New Roman"/>
          <w:lang w:eastAsia="ar-SA"/>
        </w:rPr>
        <w:t>Кемеровская области и города Топки.)</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Segoe UI Symbo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7577"/>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Абзац списка Знак"/>
    <w:link w:val="ListParagraph"/>
    <w:qFormat/>
    <w:rsid w:val="006c0c93"/>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ListParagraph">
    <w:name w:val="List Paragraph"/>
    <w:basedOn w:val="Normal"/>
    <w:link w:val="Style14"/>
    <w:qFormat/>
    <w:rsid w:val="006c0c93"/>
    <w:pPr>
      <w:spacing w:before="0" w:after="160"/>
      <w:ind w:left="72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LibreOffice/7.6.7.2$Linux_X86_64 LibreOffice_project/60$Build-2</Application>
  <AppVersion>15.0000</AppVersion>
  <Pages>2</Pages>
  <Words>647</Words>
  <Characters>4621</Characters>
  <CharactersWithSpaces>5249</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2026-05-18T04:22:00Z</dcterms:created>
  <dc:creator>Низаметдинов Айназ Раисович</dc:creator>
  <dc:description>DOC-MARKER-QCrkO84n1t4EN-rW8134Zw</dc:description>
  <dc:language>ru-RU</dc:language>
  <cp:lastModifiedBy/>
  <dcterms:modified xsi:type="dcterms:W3CDTF">2026-06-15T18:28:48Z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