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2D47E7E6"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0DC53566"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w:t>
      </w:r>
      <w:r w:rsidR="00096B49">
        <w:rPr>
          <w:rFonts w:ascii="Times New Roman" w:eastAsia="Times New Roman" w:hAnsi="Times New Roman" w:cs="Times New Roman"/>
          <w:b/>
          <w:lang w:eastAsia="ru-RU"/>
        </w:rPr>
        <w:t>В</w:t>
      </w:r>
      <w:r w:rsidRPr="000C554A">
        <w:rPr>
          <w:rFonts w:ascii="Times New Roman" w:eastAsia="Times New Roman" w:hAnsi="Times New Roman" w:cs="Times New Roman"/>
          <w:b/>
          <w:lang w:eastAsia="ru-RU"/>
        </w:rPr>
        <w:t>ОР ⁠№______</w:t>
      </w:r>
    </w:p>
    <w:p w14:paraId="5ACC3662" w14:textId="7FAD5CD6" w:rsidR="00985C88" w:rsidRPr="00F51F1B" w:rsidRDefault="003A22E0" w:rsidP="00985C88">
      <w:pPr>
        <w:tabs>
          <w:tab w:val="left" w:pos="1843"/>
        </w:tabs>
        <w:spacing w:after="0" w:line="240" w:lineRule="auto"/>
        <w:jc w:val="center"/>
        <w:rPr>
          <w:rFonts w:ascii="Times New Roman" w:eastAsia="Times New Roman" w:hAnsi="Times New Roman" w:cs="Times New Roman"/>
          <w:b/>
          <w:bCs/>
          <w:lang w:eastAsia="ru-RU"/>
        </w:rPr>
      </w:pPr>
      <w:r w:rsidRPr="003A22E0">
        <w:rPr>
          <w:rFonts w:ascii="Times New Roman" w:eastAsia="Times New Roman" w:hAnsi="Times New Roman" w:cs="Times New Roman"/>
          <w:b/>
          <w:bCs/>
          <w:lang w:eastAsia="ru-RU"/>
        </w:rPr>
        <w:t xml:space="preserve">на </w:t>
      </w:r>
      <w:proofErr w:type="spellStart"/>
      <w:r w:rsidRPr="003A22E0">
        <w:rPr>
          <w:rFonts w:ascii="Times New Roman" w:eastAsia="Times New Roman" w:hAnsi="Times New Roman" w:cs="Times New Roman"/>
          <w:b/>
          <w:bCs/>
          <w:lang w:eastAsia="ru-RU"/>
        </w:rPr>
        <w:t>пос</w:t>
      </w:r>
      <w:proofErr w:type="spellEnd"/>
      <w:r w:rsidRPr="003A22E0">
        <w:rPr>
          <w:rFonts w:ascii="Times New Roman" w:eastAsia="Times New Roman" w:hAnsi="Times New Roman" w:cs="Times New Roman"/>
          <w:b/>
          <w:bCs/>
          <w:lang w:eastAsia="ru-RU"/>
        </w:rPr>
        <w:t>⁠⁠⁠⁠⁠⁠⁠⁠⁠тавк⁠⁠у продуктов (картофель очищенный)</w:t>
      </w: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338463FA"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EF3177">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38EE160"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F51F1B" w:rsidRPr="00F51F1B">
        <w:rPr>
          <w:rFonts w:ascii="Times New Roman" w:eastAsia="Times New Roman" w:hAnsi="Times New Roman" w:cs="Times New Roman"/>
          <w:lang w:eastAsia="ar-SA"/>
        </w:rPr>
        <w:t>на поставку продуктов питания 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6A5F83EC" w14:textId="5B19D5A7" w:rsidR="003A22E0" w:rsidRDefault="000C554A" w:rsidP="003A22E0">
      <w:pPr>
        <w:tabs>
          <w:tab w:val="left" w:pos="-426"/>
        </w:tabs>
        <w:suppressAutoHyphens/>
        <w:spacing w:after="0"/>
        <w:ind w:right="-285" w:firstLine="567"/>
        <w:jc w:val="both"/>
        <w:rPr>
          <w:rFonts w:ascii="Times New Roman" w:eastAsia="Times New Roman" w:hAnsi="Times New Roman" w:cs="Times New Roman"/>
          <w:lang w:eastAsia="ar-SA"/>
        </w:rPr>
      </w:pPr>
      <w:r w:rsidRPr="00985C88">
        <w:rPr>
          <w:rFonts w:ascii="Times New Roman" w:eastAsia="Times New Roman" w:hAnsi="Times New Roman" w:cs="Times New Roman"/>
          <w:b/>
          <w:bCs/>
          <w:lang w:eastAsia="ar-SA"/>
        </w:rPr>
        <w:lastRenderedPageBreak/>
        <w:t>3.1. Период поставки</w:t>
      </w:r>
      <w:r w:rsidR="00242D25" w:rsidRPr="00985C88">
        <w:rPr>
          <w:rFonts w:ascii="Times New Roman" w:eastAsia="Times New Roman" w:hAnsi="Times New Roman" w:cs="Times New Roman"/>
          <w:b/>
          <w:bCs/>
          <w:lang w:eastAsia="ar-SA"/>
        </w:rPr>
        <w:t>:</w:t>
      </w:r>
      <w:r w:rsidR="00EF3177" w:rsidRPr="00EF3177">
        <w:t xml:space="preserve"> </w:t>
      </w:r>
      <w:r w:rsidR="00EF3177" w:rsidRPr="00EF3177">
        <w:rPr>
          <w:rFonts w:ascii="Times New Roman" w:eastAsia="Times New Roman" w:hAnsi="Times New Roman" w:cs="Times New Roman"/>
          <w:lang w:eastAsia="ar-SA"/>
        </w:rPr>
        <w:t>с момента заключения договора и по 31.12.2026 года</w:t>
      </w:r>
      <w:r w:rsidR="003A22E0">
        <w:rPr>
          <w:rFonts w:ascii="Times New Roman" w:eastAsia="Times New Roman" w:hAnsi="Times New Roman" w:cs="Times New Roman"/>
          <w:lang w:eastAsia="ar-SA"/>
        </w:rPr>
        <w:t>, по заявкам Заказчика</w:t>
      </w:r>
      <w:r w:rsidR="00EF3177" w:rsidRPr="00EF3177">
        <w:rPr>
          <w:rFonts w:ascii="Times New Roman" w:eastAsia="Times New Roman" w:hAnsi="Times New Roman" w:cs="Times New Roman"/>
          <w:lang w:eastAsia="ar-SA"/>
        </w:rPr>
        <w:t xml:space="preserve">. </w:t>
      </w:r>
      <w:r w:rsidR="006D67CD" w:rsidRPr="00C85DE1">
        <w:rPr>
          <w:rFonts w:ascii="Times New Roman" w:eastAsia="Times New Roman" w:hAnsi="Times New Roman" w:cs="Times New Roman"/>
          <w:lang w:eastAsia="ar-SA"/>
        </w:rPr>
        <w:t xml:space="preserve"> </w:t>
      </w:r>
      <w:r w:rsidR="003A22E0" w:rsidRPr="003A22E0">
        <w:rPr>
          <w:rFonts w:ascii="Times New Roman" w:eastAsia="Times New Roman" w:hAnsi="Times New Roman" w:cs="Times New Roman"/>
          <w:lang w:eastAsia="ar-SA"/>
        </w:rPr>
        <w:t xml:space="preserve">Поставка осуществляется на следующий рабочий день после подачи заявки </w:t>
      </w:r>
    </w:p>
    <w:p w14:paraId="7B37C058" w14:textId="70683FAB" w:rsidR="008D04E6" w:rsidRPr="008D04E6" w:rsidRDefault="008D04E6" w:rsidP="003A22E0">
      <w:pPr>
        <w:tabs>
          <w:tab w:val="left" w:pos="-426"/>
        </w:tabs>
        <w:suppressAutoHyphens/>
        <w:spacing w:after="0"/>
        <w:ind w:right="-285" w:firstLine="567"/>
        <w:jc w:val="both"/>
        <w:rPr>
          <w:rFonts w:ascii="Times New Roman" w:eastAsia="Calibri" w:hAnsi="Times New Roman" w:cs="Times New Roman"/>
        </w:rPr>
      </w:pPr>
      <w:r w:rsidRPr="008D04E6">
        <w:rPr>
          <w:rFonts w:ascii="Times New Roman" w:eastAsia="Calibri"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985C88">
      <w:pPr>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586958FB"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При поставке товара Поставщик обязан соблюдать требования к транспортировке пищевых продуктов, установленные </w:t>
      </w:r>
      <w:r w:rsidR="00F16FDA" w:rsidRPr="00F16FDA">
        <w:rPr>
          <w:rFonts w:ascii="Times New Roman" w:eastAsia="Times New Roman" w:hAnsi="Times New Roman" w:cs="Times New Roman"/>
          <w:lang w:eastAsia="ar-SA"/>
        </w:rPr>
        <w:t>СП 2.1.3678-20 «Санитарно-эпидемиологические требования к организациям, осуществляющим деятельность по предоставлению продуктов питания населению»</w:t>
      </w:r>
    </w:p>
    <w:p w14:paraId="5D1F7093"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3FE7D4BC" w:rsidR="00242D25" w:rsidRPr="007C5892" w:rsidRDefault="000C554A" w:rsidP="00F259D1">
      <w:pPr>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r w:rsidR="00412A4B">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42A21EF8"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08ADE8B"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Федеральным закон от 30.03.1999 № 52-ФЗ «О санитарно-эпидемиологическом благополучии населения»;</w:t>
      </w:r>
    </w:p>
    <w:p w14:paraId="4A885B27"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C1DCD25"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4E53E672"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3BC93BC"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ТР ТС 021/2011 «О безопасности пищевой продукции»;</w:t>
      </w:r>
    </w:p>
    <w:p w14:paraId="747C517C"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ТР ТС 022/2011 «Пищевая продукция в части ее маркировки»;</w:t>
      </w:r>
    </w:p>
    <w:p w14:paraId="604EF91B" w14:textId="77777777" w:rsidR="003A22E0" w:rsidRPr="003A22E0" w:rsidRDefault="003A22E0" w:rsidP="003A22E0">
      <w:pPr>
        <w:widowControl w:val="0"/>
        <w:spacing w:after="0" w:line="240" w:lineRule="auto"/>
        <w:ind w:firstLine="709"/>
        <w:contextualSpacing/>
        <w:jc w:val="both"/>
        <w:rPr>
          <w:rFonts w:ascii="Times New Roman" w:eastAsia="Times New Roman" w:hAnsi="Times New Roman" w:cs="Times New Roman"/>
          <w:lang w:eastAsia="ar-SA"/>
        </w:rPr>
      </w:pPr>
      <w:r w:rsidRPr="003A22E0">
        <w:rPr>
          <w:rFonts w:ascii="Times New Roman" w:eastAsia="Times New Roman" w:hAnsi="Times New Roman" w:cs="Times New Roman"/>
          <w:lang w:eastAsia="ar-SA"/>
        </w:rPr>
        <w:t>- ТР ТС 005/2011 «О безопасности упаковки»;</w:t>
      </w:r>
    </w:p>
    <w:p w14:paraId="5348EADA" w14:textId="5344498C" w:rsidR="00FC761C" w:rsidRPr="00FC761C" w:rsidRDefault="003A22E0" w:rsidP="003A22E0">
      <w:pPr>
        <w:widowControl w:val="0"/>
        <w:spacing w:after="0" w:line="240" w:lineRule="auto"/>
        <w:ind w:firstLine="709"/>
        <w:contextualSpacing/>
        <w:jc w:val="both"/>
        <w:rPr>
          <w:rFonts w:ascii="Times New Roman" w:eastAsia="Times New Roman" w:hAnsi="Times New Roman" w:cs="Times New Roman"/>
          <w:snapToGrid w:val="0"/>
          <w:lang w:eastAsia="ru-RU"/>
        </w:rPr>
      </w:pPr>
      <w:r w:rsidRPr="003A22E0">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1120F090" w:rsidR="00FC761C" w:rsidRPr="00FC761C" w:rsidRDefault="003A22E0"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4.2. </w:t>
      </w:r>
      <w:r w:rsidR="00FC761C"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4E08FEE6" w:rsidR="00FC761C" w:rsidRPr="00FC761C" w:rsidRDefault="003A22E0"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4.3. </w:t>
      </w:r>
      <w:r w:rsidR="00FC761C"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40C56B7D" w:rsidR="00FC761C" w:rsidRPr="00FC761C" w:rsidRDefault="003A22E0" w:rsidP="00FC761C">
      <w:pPr>
        <w:widowControl w:val="0"/>
        <w:spacing w:after="0" w:line="240" w:lineRule="auto"/>
        <w:ind w:firstLine="709"/>
        <w:contextualSpacing/>
        <w:jc w:val="both"/>
        <w:rPr>
          <w:rFonts w:ascii="Times New Roman" w:eastAsia="Calibri" w:hAnsi="Times New Roman" w:cs="Times New Roman"/>
          <w:color w:val="000000"/>
        </w:rPr>
      </w:pPr>
      <w:r>
        <w:rPr>
          <w:rFonts w:ascii="Times New Roman" w:eastAsia="Times New Roman" w:hAnsi="Times New Roman" w:cs="Times New Roman"/>
          <w:snapToGrid w:val="0"/>
          <w:lang w:eastAsia="ru-RU"/>
        </w:rPr>
        <w:t xml:space="preserve">4.4. </w:t>
      </w:r>
      <w:r w:rsidR="00FC761C" w:rsidRPr="00FC761C">
        <w:rPr>
          <w:rFonts w:ascii="Times New Roman" w:eastAsia="Times New Roman" w:hAnsi="Times New Roman" w:cs="Times New Roman"/>
          <w:snapToGrid w:val="0"/>
          <w:lang w:eastAsia="ru-RU"/>
        </w:rPr>
        <w:t xml:space="preserve">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w:t>
      </w:r>
      <w:r w:rsidR="00FC761C" w:rsidRPr="00FC761C">
        <w:rPr>
          <w:rFonts w:ascii="Times New Roman" w:eastAsia="Times New Roman" w:hAnsi="Times New Roman" w:cs="Times New Roman"/>
          <w:snapToGrid w:val="0"/>
          <w:lang w:eastAsia="ru-RU"/>
        </w:rPr>
        <w:lastRenderedPageBreak/>
        <w:t>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w:t>
      </w:r>
      <w:r w:rsidRPr="008B21A4">
        <w:rPr>
          <w:rFonts w:ascii="Times New Roman" w:eastAsia="Times New Roman" w:hAnsi="Times New Roman" w:cs="Times New Roman"/>
          <w:lang w:eastAsia="ru-RU"/>
        </w:rPr>
        <w:lastRenderedPageBreak/>
        <w:t>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6.4. За каждый факт просрочки исполнения обязательства, а также в случаях неисполнения или </w:t>
      </w:r>
      <w:r w:rsidRPr="000C554A">
        <w:rPr>
          <w:rFonts w:ascii="Times New Roman" w:eastAsia="Times New Roman" w:hAnsi="Times New Roman" w:cs="Times New Roman"/>
          <w:lang w:eastAsia="ar-SA"/>
        </w:rPr>
        <w:lastRenderedPageBreak/>
        <w:t>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01F86014" w:rsidR="00DC61FC" w:rsidRPr="00033575" w:rsidRDefault="00DC61FC" w:rsidP="00033575">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033575">
        <w:rPr>
          <w:rFonts w:ascii="Times New Roman" w:eastAsia="Times New Roman" w:hAnsi="Times New Roman" w:cs="Times New Roman"/>
          <w:lang w:eastAsia="ar-SA"/>
        </w:rPr>
        <w:t xml:space="preserve"> </w:t>
      </w:r>
      <w:r w:rsidRPr="00033575">
        <w:rPr>
          <w:rFonts w:ascii="Times New Roman" w:eastAsia="Times New Roman" w:hAnsi="Times New Roman" w:cs="Times New Roman"/>
          <w:lang w:eastAsia="ar-SA"/>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033575" w:rsidRDefault="00DC61FC" w:rsidP="00033575">
      <w:pPr>
        <w:widowControl w:val="0"/>
        <w:spacing w:after="0" w:line="240" w:lineRule="auto"/>
        <w:ind w:firstLine="539"/>
        <w:jc w:val="both"/>
        <w:rPr>
          <w:rFonts w:ascii="Times New Roman" w:eastAsia="Times New Roman" w:hAnsi="Times New Roman" w:cs="Times New Roman"/>
          <w:lang w:eastAsia="ar-SA"/>
        </w:rPr>
      </w:pPr>
      <w:r w:rsidRPr="00033575">
        <w:rPr>
          <w:rFonts w:ascii="Times New Roman" w:eastAsia="Times New Roman" w:hAnsi="Times New Roman" w:cs="Times New Roman"/>
          <w:lang w:eastAsia="ar-SA"/>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033575" w:rsidRDefault="00DC61FC" w:rsidP="00033575">
      <w:pPr>
        <w:widowControl w:val="0"/>
        <w:spacing w:after="0" w:line="240" w:lineRule="auto"/>
        <w:ind w:firstLine="539"/>
        <w:jc w:val="both"/>
        <w:rPr>
          <w:rFonts w:ascii="Times New Roman" w:eastAsia="Times New Roman" w:hAnsi="Times New Roman" w:cs="Times New Roman"/>
          <w:lang w:eastAsia="ar-SA"/>
        </w:rPr>
      </w:pPr>
      <w:r w:rsidRPr="00033575">
        <w:rPr>
          <w:rFonts w:ascii="Times New Roman" w:eastAsia="Times New Roman" w:hAnsi="Times New Roman" w:cs="Times New Roman"/>
          <w:lang w:eastAsia="ar-SA"/>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602EEB8F" w:rsidR="00DC61FC" w:rsidRPr="00823652" w:rsidRDefault="00DC61FC" w:rsidP="00985C88">
      <w:pPr>
        <w:shd w:val="clear" w:color="auto" w:fill="FFFFFF"/>
        <w:spacing w:after="0" w:line="240" w:lineRule="auto"/>
        <w:ind w:firstLine="708"/>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w:t>
      </w:r>
      <w:r w:rsidRPr="00823652">
        <w:rPr>
          <w:rFonts w:ascii="Times New Roman" w:eastAsia="Times New Roman" w:hAnsi="Times New Roman" w:cs="Times New Roman"/>
          <w:lang w:eastAsia="ru-RU"/>
        </w:rPr>
        <w:lastRenderedPageBreak/>
        <w:t xml:space="preserve">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033575">
      <w:pPr>
        <w:shd w:val="clear" w:color="auto" w:fill="FFFFFF"/>
        <w:spacing w:after="0" w:line="240" w:lineRule="auto"/>
        <w:ind w:firstLine="567"/>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73002" w:rsidRPr="00A73002">
        <w:rPr>
          <w:rFonts w:ascii="Times New Roman" w:eastAsia="Times New Roman" w:hAnsi="Times New Roman" w:cs="Times New Roman"/>
          <w:lang w:eastAsia="ru-RU"/>
        </w:rPr>
        <w:t xml:space="preserve">.1. </w:t>
      </w:r>
      <w:r w:rsidR="00A73002" w:rsidRPr="003A22E0">
        <w:rPr>
          <w:rFonts w:ascii="Times New Roman" w:eastAsia="Times New Roman" w:hAnsi="Times New Roman" w:cs="Times New Roman"/>
          <w:lang w:eastAsia="ru-RU"/>
        </w:rPr>
        <w:t>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A22E0" w:rsidRDefault="00015A3F" w:rsidP="00321AB1">
      <w:pPr>
        <w:ind w:right="-108"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73002" w:rsidRPr="00A73002">
        <w:rPr>
          <w:rFonts w:ascii="Times New Roman" w:eastAsia="Times New Roman" w:hAnsi="Times New Roman" w:cs="Times New Roman"/>
          <w:lang w:eastAsia="ru-RU"/>
        </w:rPr>
        <w:t xml:space="preserve">.2. </w:t>
      </w:r>
      <w:r w:rsidR="00321AB1" w:rsidRPr="003A22E0">
        <w:rPr>
          <w:rFonts w:ascii="Times New Roman" w:eastAsia="Times New Roman" w:hAnsi="Times New Roman" w:cs="Times New Roman"/>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lastRenderedPageBreak/>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165AD4D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 xml:space="preserve">.1. Договор заключен сроком </w:t>
      </w:r>
      <w:r w:rsidR="000C554A" w:rsidRPr="00985C88">
        <w:rPr>
          <w:rFonts w:ascii="Times New Roman" w:eastAsia="Times New Roman" w:hAnsi="Times New Roman" w:cs="Times New Roman"/>
          <w:b/>
          <w:bCs/>
          <w:lang w:eastAsia="ar-SA"/>
        </w:rPr>
        <w:t xml:space="preserve">с даты </w:t>
      </w:r>
      <w:r w:rsidR="00985C88" w:rsidRPr="00985C88">
        <w:rPr>
          <w:rFonts w:ascii="Times New Roman" w:eastAsia="Times New Roman" w:hAnsi="Times New Roman" w:cs="Times New Roman"/>
          <w:b/>
          <w:bCs/>
          <w:lang w:eastAsia="ar-SA"/>
        </w:rPr>
        <w:t>заключения</w:t>
      </w:r>
      <w:r w:rsidR="000C554A" w:rsidRPr="00985C88">
        <w:rPr>
          <w:rFonts w:ascii="Times New Roman" w:eastAsia="Times New Roman" w:hAnsi="Times New Roman" w:cs="Times New Roman"/>
          <w:b/>
          <w:bCs/>
          <w:lang w:eastAsia="ar-SA"/>
        </w:rPr>
        <w:t xml:space="preserve"> настоящего договора до 3</w:t>
      </w:r>
      <w:r w:rsidR="00F259D1" w:rsidRPr="00985C88">
        <w:rPr>
          <w:rFonts w:ascii="Times New Roman" w:eastAsia="Times New Roman" w:hAnsi="Times New Roman" w:cs="Times New Roman"/>
          <w:b/>
          <w:bCs/>
          <w:lang w:eastAsia="ar-SA"/>
        </w:rPr>
        <w:t>1</w:t>
      </w:r>
      <w:r w:rsidR="000C554A" w:rsidRPr="00985C88">
        <w:rPr>
          <w:rFonts w:ascii="Times New Roman" w:eastAsia="Times New Roman" w:hAnsi="Times New Roman" w:cs="Times New Roman"/>
          <w:b/>
          <w:bCs/>
          <w:lang w:eastAsia="ar-SA"/>
        </w:rPr>
        <w:t>.</w:t>
      </w:r>
      <w:r w:rsidR="00EF3177" w:rsidRPr="00985C88">
        <w:rPr>
          <w:rFonts w:ascii="Times New Roman" w:eastAsia="Times New Roman" w:hAnsi="Times New Roman" w:cs="Times New Roman"/>
          <w:b/>
          <w:bCs/>
          <w:lang w:eastAsia="ar-SA"/>
        </w:rPr>
        <w:t>12</w:t>
      </w:r>
      <w:r w:rsidR="000C554A" w:rsidRPr="00985C88">
        <w:rPr>
          <w:rFonts w:ascii="Times New Roman" w:eastAsia="Times New Roman" w:hAnsi="Times New Roman" w:cs="Times New Roman"/>
          <w:b/>
          <w:bCs/>
          <w:lang w:eastAsia="ar-SA"/>
        </w:rPr>
        <w:t>.202</w:t>
      </w:r>
      <w:r w:rsidR="00DF1A1E" w:rsidRPr="00985C88">
        <w:rPr>
          <w:rFonts w:ascii="Times New Roman" w:eastAsia="Times New Roman" w:hAnsi="Times New Roman" w:cs="Times New Roman"/>
          <w:b/>
          <w:bCs/>
          <w:lang w:eastAsia="ar-SA"/>
        </w:rPr>
        <w:t>6</w:t>
      </w:r>
      <w:r w:rsidR="00985C88" w:rsidRPr="00985C88">
        <w:rPr>
          <w:rFonts w:ascii="Times New Roman" w:eastAsia="Times New Roman" w:hAnsi="Times New Roman" w:cs="Times New Roman"/>
          <w:b/>
          <w:bCs/>
          <w:lang w:eastAsia="ar-SA"/>
        </w:rPr>
        <w:t xml:space="preserve"> </w:t>
      </w:r>
      <w:r w:rsidR="000C554A" w:rsidRPr="00985C88">
        <w:rPr>
          <w:rFonts w:ascii="Times New Roman" w:eastAsia="Times New Roman" w:hAnsi="Times New Roman" w:cs="Times New Roman"/>
          <w:b/>
          <w:bCs/>
          <w:lang w:eastAsia="ar-SA"/>
        </w:rPr>
        <w:t>г.</w:t>
      </w:r>
      <w:r w:rsidR="00985C88" w:rsidRPr="00985C88">
        <w:rPr>
          <w:rFonts w:ascii="Times New Roman" w:eastAsia="Times New Roman" w:hAnsi="Times New Roman" w:cs="Times New Roman"/>
          <w:b/>
          <w:bCs/>
          <w:lang w:eastAsia="ar-SA"/>
        </w:rPr>
        <w:t>,</w:t>
      </w:r>
      <w:r w:rsidR="000C554A" w:rsidRPr="00985C88">
        <w:rPr>
          <w:rFonts w:ascii="Times New Roman" w:eastAsia="Times New Roman" w:hAnsi="Times New Roman" w:cs="Times New Roman"/>
          <w:b/>
          <w:bCs/>
          <w:sz w:val="24"/>
          <w:szCs w:val="24"/>
          <w:lang w:eastAsia="ru-RU"/>
        </w:rPr>
        <w:t xml:space="preserve"> </w:t>
      </w:r>
      <w:r w:rsidR="000C554A" w:rsidRPr="00985C88">
        <w:rPr>
          <w:rFonts w:ascii="Times New Roman" w:eastAsia="Times New Roman" w:hAnsi="Times New Roman" w:cs="Times New Roman"/>
          <w:b/>
          <w:bCs/>
          <w:lang w:eastAsia="ar-SA"/>
        </w:rPr>
        <w:t>а</w:t>
      </w:r>
      <w:r w:rsidR="000C554A" w:rsidRPr="000C554A">
        <w:rPr>
          <w:rFonts w:ascii="Times New Roman" w:eastAsia="Times New Roman" w:hAnsi="Times New Roman" w:cs="Times New Roman"/>
          <w:lang w:eastAsia="ar-SA"/>
        </w:rPr>
        <w:t xml:space="preserve">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61737AD0" w14:textId="263B5DB3" w:rsidR="0049141B" w:rsidRDefault="0049141B" w:rsidP="000C554A">
      <w:pPr>
        <w:widowControl w:val="0"/>
        <w:spacing w:after="0" w:line="240" w:lineRule="auto"/>
        <w:rPr>
          <w:rFonts w:ascii="Times New Roman" w:eastAsia="Times New Roman" w:hAnsi="Times New Roman" w:cs="Times New Roman"/>
          <w:lang w:eastAsia="ar-SA"/>
        </w:rPr>
      </w:pPr>
    </w:p>
    <w:p w14:paraId="4E86513A" w14:textId="11E6F690" w:rsidR="0049141B" w:rsidRDefault="0049141B" w:rsidP="000C554A">
      <w:pPr>
        <w:widowControl w:val="0"/>
        <w:spacing w:after="0" w:line="240" w:lineRule="auto"/>
        <w:rPr>
          <w:rFonts w:ascii="Times New Roman" w:eastAsia="Times New Roman" w:hAnsi="Times New Roman" w:cs="Times New Roman"/>
          <w:lang w:eastAsia="ar-SA"/>
        </w:rPr>
      </w:pPr>
    </w:p>
    <w:p w14:paraId="648DB9A4" w14:textId="2C17C5C9" w:rsidR="0049141B" w:rsidRDefault="0049141B" w:rsidP="000C554A">
      <w:pPr>
        <w:widowControl w:val="0"/>
        <w:spacing w:after="0" w:line="240" w:lineRule="auto"/>
        <w:rPr>
          <w:rFonts w:ascii="Times New Roman" w:eastAsia="Times New Roman" w:hAnsi="Times New Roman" w:cs="Times New Roman"/>
          <w:lang w:eastAsia="ar-SA"/>
        </w:rPr>
      </w:pPr>
    </w:p>
    <w:p w14:paraId="270B7781" w14:textId="7DF44E46" w:rsidR="0049141B" w:rsidRDefault="0049141B" w:rsidP="000C554A">
      <w:pPr>
        <w:widowControl w:val="0"/>
        <w:spacing w:after="0" w:line="240" w:lineRule="auto"/>
        <w:rPr>
          <w:rFonts w:ascii="Times New Roman" w:eastAsia="Times New Roman" w:hAnsi="Times New Roman" w:cs="Times New Roman"/>
          <w:lang w:eastAsia="ar-SA"/>
        </w:rPr>
      </w:pPr>
    </w:p>
    <w:p w14:paraId="206BDF66" w14:textId="65660B38" w:rsidR="0049141B" w:rsidRDefault="0049141B" w:rsidP="000C554A">
      <w:pPr>
        <w:widowControl w:val="0"/>
        <w:spacing w:after="0" w:line="240" w:lineRule="auto"/>
        <w:rPr>
          <w:rFonts w:ascii="Times New Roman" w:eastAsia="Times New Roman" w:hAnsi="Times New Roman" w:cs="Times New Roman"/>
          <w:lang w:eastAsia="ar-SA"/>
        </w:rPr>
      </w:pPr>
    </w:p>
    <w:p w14:paraId="16C941E8" w14:textId="41F21D99" w:rsidR="0049141B" w:rsidRDefault="0049141B" w:rsidP="000C554A">
      <w:pPr>
        <w:widowControl w:val="0"/>
        <w:spacing w:after="0" w:line="240" w:lineRule="auto"/>
        <w:rPr>
          <w:rFonts w:ascii="Times New Roman" w:eastAsia="Times New Roman" w:hAnsi="Times New Roman" w:cs="Times New Roman"/>
          <w:lang w:eastAsia="ar-SA"/>
        </w:rPr>
      </w:pPr>
    </w:p>
    <w:p w14:paraId="006658E4" w14:textId="716CE24A" w:rsidR="0049141B" w:rsidRDefault="0049141B" w:rsidP="000C554A">
      <w:pPr>
        <w:widowControl w:val="0"/>
        <w:spacing w:after="0" w:line="240" w:lineRule="auto"/>
        <w:rPr>
          <w:rFonts w:ascii="Times New Roman" w:eastAsia="Times New Roman" w:hAnsi="Times New Roman" w:cs="Times New Roman"/>
          <w:lang w:eastAsia="ar-SA"/>
        </w:rPr>
      </w:pPr>
    </w:p>
    <w:p w14:paraId="79322B50" w14:textId="14B4A303" w:rsidR="0049141B" w:rsidRDefault="0049141B" w:rsidP="000C554A">
      <w:pPr>
        <w:widowControl w:val="0"/>
        <w:spacing w:after="0" w:line="240" w:lineRule="auto"/>
        <w:rPr>
          <w:rFonts w:ascii="Times New Roman" w:eastAsia="Times New Roman" w:hAnsi="Times New Roman" w:cs="Times New Roman"/>
          <w:lang w:eastAsia="ar-SA"/>
        </w:rPr>
      </w:pPr>
    </w:p>
    <w:p w14:paraId="70DE62CF" w14:textId="1E818C4C" w:rsidR="0049141B" w:rsidRDefault="0049141B" w:rsidP="000C554A">
      <w:pPr>
        <w:widowControl w:val="0"/>
        <w:spacing w:after="0" w:line="240" w:lineRule="auto"/>
        <w:rPr>
          <w:rFonts w:ascii="Times New Roman" w:eastAsia="Times New Roman" w:hAnsi="Times New Roman" w:cs="Times New Roman"/>
          <w:lang w:eastAsia="ar-SA"/>
        </w:rPr>
      </w:pPr>
    </w:p>
    <w:p w14:paraId="6AF00511" w14:textId="14FF45A1" w:rsidR="0049141B" w:rsidRDefault="0049141B" w:rsidP="000C554A">
      <w:pPr>
        <w:widowControl w:val="0"/>
        <w:spacing w:after="0" w:line="240" w:lineRule="auto"/>
        <w:rPr>
          <w:rFonts w:ascii="Times New Roman" w:eastAsia="Times New Roman" w:hAnsi="Times New Roman" w:cs="Times New Roman"/>
          <w:lang w:eastAsia="ar-SA"/>
        </w:rPr>
      </w:pPr>
    </w:p>
    <w:p w14:paraId="201EED0F" w14:textId="5D791B6F" w:rsidR="0049141B" w:rsidRDefault="0049141B" w:rsidP="000C554A">
      <w:pPr>
        <w:widowControl w:val="0"/>
        <w:spacing w:after="0" w:line="240" w:lineRule="auto"/>
        <w:rPr>
          <w:rFonts w:ascii="Times New Roman" w:eastAsia="Times New Roman" w:hAnsi="Times New Roman" w:cs="Times New Roman"/>
          <w:lang w:eastAsia="ar-SA"/>
        </w:rPr>
      </w:pPr>
    </w:p>
    <w:p w14:paraId="0A1E5A01" w14:textId="496F8253" w:rsidR="0049141B" w:rsidRDefault="0049141B" w:rsidP="000C554A">
      <w:pPr>
        <w:widowControl w:val="0"/>
        <w:spacing w:after="0" w:line="240" w:lineRule="auto"/>
        <w:rPr>
          <w:rFonts w:ascii="Times New Roman" w:eastAsia="Times New Roman" w:hAnsi="Times New Roman" w:cs="Times New Roman"/>
          <w:lang w:eastAsia="ar-SA"/>
        </w:rPr>
      </w:pPr>
    </w:p>
    <w:p w14:paraId="55E77933" w14:textId="2C218B92" w:rsidR="0049141B" w:rsidRDefault="0049141B" w:rsidP="000C554A">
      <w:pPr>
        <w:widowControl w:val="0"/>
        <w:spacing w:after="0" w:line="240" w:lineRule="auto"/>
        <w:rPr>
          <w:rFonts w:ascii="Times New Roman" w:eastAsia="Times New Roman" w:hAnsi="Times New Roman" w:cs="Times New Roman"/>
          <w:lang w:eastAsia="ar-SA"/>
        </w:rPr>
      </w:pPr>
    </w:p>
    <w:p w14:paraId="4C8CF506" w14:textId="77777777" w:rsidR="007B0D71" w:rsidRDefault="007B0D71" w:rsidP="000C554A">
      <w:pPr>
        <w:widowControl w:val="0"/>
        <w:spacing w:after="0" w:line="240" w:lineRule="auto"/>
        <w:rPr>
          <w:rFonts w:ascii="Times New Roman" w:eastAsia="Times New Roman" w:hAnsi="Times New Roman" w:cs="Times New Roman"/>
          <w:lang w:eastAsia="ar-SA"/>
        </w:rPr>
      </w:pPr>
    </w:p>
    <w:p w14:paraId="4EE07395" w14:textId="2144CAD2" w:rsidR="00F43050" w:rsidRDefault="00F43050" w:rsidP="000C554A">
      <w:pPr>
        <w:widowControl w:val="0"/>
        <w:spacing w:after="0" w:line="240" w:lineRule="auto"/>
        <w:rPr>
          <w:rFonts w:ascii="Times New Roman" w:eastAsia="Times New Roman" w:hAnsi="Times New Roman" w:cs="Times New Roman"/>
          <w:lang w:eastAsia="ar-SA"/>
        </w:rPr>
      </w:pPr>
    </w:p>
    <w:p w14:paraId="6725AE95" w14:textId="2BA7713B" w:rsidR="00D90F9D" w:rsidRDefault="00D90F9D" w:rsidP="000C554A">
      <w:pPr>
        <w:widowControl w:val="0"/>
        <w:spacing w:after="0" w:line="240" w:lineRule="auto"/>
        <w:rPr>
          <w:rFonts w:ascii="Times New Roman" w:eastAsia="Times New Roman" w:hAnsi="Times New Roman" w:cs="Times New Roman"/>
          <w:lang w:eastAsia="ar-SA"/>
        </w:rPr>
      </w:pPr>
    </w:p>
    <w:p w14:paraId="51AFBBE0" w14:textId="5DC7593D" w:rsidR="00D90F9D" w:rsidRDefault="00D90F9D" w:rsidP="000C554A">
      <w:pPr>
        <w:widowControl w:val="0"/>
        <w:spacing w:after="0" w:line="240" w:lineRule="auto"/>
        <w:rPr>
          <w:rFonts w:ascii="Times New Roman" w:eastAsia="Times New Roman" w:hAnsi="Times New Roman" w:cs="Times New Roman"/>
          <w:lang w:eastAsia="ar-SA"/>
        </w:rPr>
      </w:pPr>
    </w:p>
    <w:p w14:paraId="43B76355" w14:textId="6D6A9C7A" w:rsidR="00D90F9D" w:rsidRDefault="00D90F9D" w:rsidP="000C554A">
      <w:pPr>
        <w:widowControl w:val="0"/>
        <w:spacing w:after="0" w:line="240" w:lineRule="auto"/>
        <w:rPr>
          <w:rFonts w:ascii="Times New Roman" w:eastAsia="Times New Roman" w:hAnsi="Times New Roman" w:cs="Times New Roman"/>
          <w:lang w:eastAsia="ar-SA"/>
        </w:rPr>
      </w:pPr>
    </w:p>
    <w:p w14:paraId="2E01E40A" w14:textId="199626E1" w:rsidR="00D90F9D" w:rsidRDefault="00D90F9D" w:rsidP="000C554A">
      <w:pPr>
        <w:widowControl w:val="0"/>
        <w:spacing w:after="0" w:line="240" w:lineRule="auto"/>
        <w:rPr>
          <w:rFonts w:ascii="Times New Roman" w:eastAsia="Times New Roman" w:hAnsi="Times New Roman" w:cs="Times New Roman"/>
          <w:lang w:eastAsia="ar-SA"/>
        </w:rPr>
      </w:pPr>
    </w:p>
    <w:p w14:paraId="305E5803" w14:textId="62B2FA3E" w:rsidR="00D90F9D" w:rsidRDefault="00D90F9D" w:rsidP="000C554A">
      <w:pPr>
        <w:widowControl w:val="0"/>
        <w:spacing w:after="0" w:line="240" w:lineRule="auto"/>
        <w:rPr>
          <w:rFonts w:ascii="Times New Roman" w:eastAsia="Times New Roman" w:hAnsi="Times New Roman" w:cs="Times New Roman"/>
          <w:lang w:eastAsia="ar-SA"/>
        </w:rPr>
      </w:pPr>
    </w:p>
    <w:p w14:paraId="073700EE" w14:textId="642B6D38" w:rsidR="00654406" w:rsidRDefault="00654406" w:rsidP="000C554A">
      <w:pPr>
        <w:widowControl w:val="0"/>
        <w:spacing w:after="0" w:line="240" w:lineRule="auto"/>
        <w:rPr>
          <w:rFonts w:ascii="Times New Roman" w:eastAsia="Times New Roman" w:hAnsi="Times New Roman" w:cs="Times New Roman"/>
          <w:lang w:eastAsia="ar-SA"/>
        </w:rPr>
      </w:pPr>
    </w:p>
    <w:p w14:paraId="7109F779" w14:textId="2667E002" w:rsidR="00654406" w:rsidRDefault="00654406" w:rsidP="000C554A">
      <w:pPr>
        <w:widowControl w:val="0"/>
        <w:spacing w:after="0" w:line="240" w:lineRule="auto"/>
        <w:rPr>
          <w:rFonts w:ascii="Times New Roman" w:eastAsia="Times New Roman" w:hAnsi="Times New Roman" w:cs="Times New Roman"/>
          <w:lang w:eastAsia="ar-SA"/>
        </w:rPr>
      </w:pPr>
    </w:p>
    <w:p w14:paraId="7A097AB9" w14:textId="58B60EC8" w:rsidR="00654406" w:rsidRDefault="00654406" w:rsidP="000C554A">
      <w:pPr>
        <w:widowControl w:val="0"/>
        <w:spacing w:after="0" w:line="240" w:lineRule="auto"/>
        <w:rPr>
          <w:rFonts w:ascii="Times New Roman" w:eastAsia="Times New Roman" w:hAnsi="Times New Roman" w:cs="Times New Roman"/>
          <w:lang w:eastAsia="ar-SA"/>
        </w:rPr>
      </w:pPr>
    </w:p>
    <w:p w14:paraId="5B61E6FF" w14:textId="55E7A465" w:rsidR="00654406" w:rsidRDefault="00654406" w:rsidP="000C554A">
      <w:pPr>
        <w:widowControl w:val="0"/>
        <w:spacing w:after="0" w:line="240" w:lineRule="auto"/>
        <w:rPr>
          <w:rFonts w:ascii="Times New Roman" w:eastAsia="Times New Roman" w:hAnsi="Times New Roman" w:cs="Times New Roman"/>
          <w:lang w:eastAsia="ar-SA"/>
        </w:rPr>
      </w:pPr>
    </w:p>
    <w:p w14:paraId="329A95C7" w14:textId="6F70BA06" w:rsidR="00654406" w:rsidRDefault="00654406" w:rsidP="000C554A">
      <w:pPr>
        <w:widowControl w:val="0"/>
        <w:spacing w:after="0" w:line="240" w:lineRule="auto"/>
        <w:rPr>
          <w:rFonts w:ascii="Times New Roman" w:eastAsia="Times New Roman" w:hAnsi="Times New Roman" w:cs="Times New Roman"/>
          <w:lang w:eastAsia="ar-SA"/>
        </w:rPr>
      </w:pPr>
    </w:p>
    <w:p w14:paraId="529D6400" w14:textId="7B123C86" w:rsidR="00654406" w:rsidRDefault="00654406" w:rsidP="000C554A">
      <w:pPr>
        <w:widowControl w:val="0"/>
        <w:spacing w:after="0" w:line="240" w:lineRule="auto"/>
        <w:rPr>
          <w:rFonts w:ascii="Times New Roman" w:eastAsia="Times New Roman" w:hAnsi="Times New Roman" w:cs="Times New Roman"/>
          <w:lang w:eastAsia="ar-SA"/>
        </w:rPr>
      </w:pPr>
    </w:p>
    <w:p w14:paraId="05A8C96F" w14:textId="37445867" w:rsidR="00654406" w:rsidRDefault="00654406" w:rsidP="000C554A">
      <w:pPr>
        <w:widowControl w:val="0"/>
        <w:spacing w:after="0" w:line="240" w:lineRule="auto"/>
        <w:rPr>
          <w:rFonts w:ascii="Times New Roman" w:eastAsia="Times New Roman" w:hAnsi="Times New Roman" w:cs="Times New Roman"/>
          <w:lang w:eastAsia="ar-SA"/>
        </w:rPr>
      </w:pPr>
    </w:p>
    <w:p w14:paraId="54004048" w14:textId="28AEF455" w:rsidR="00654406" w:rsidRDefault="00654406" w:rsidP="000C554A">
      <w:pPr>
        <w:widowControl w:val="0"/>
        <w:spacing w:after="0" w:line="240" w:lineRule="auto"/>
        <w:rPr>
          <w:rFonts w:ascii="Times New Roman" w:eastAsia="Times New Roman" w:hAnsi="Times New Roman" w:cs="Times New Roman"/>
          <w:lang w:eastAsia="ar-SA"/>
        </w:rPr>
      </w:pPr>
    </w:p>
    <w:p w14:paraId="5AE0231D" w14:textId="63AFFF40" w:rsidR="00654406" w:rsidRDefault="00654406" w:rsidP="000C554A">
      <w:pPr>
        <w:widowControl w:val="0"/>
        <w:spacing w:after="0" w:line="240" w:lineRule="auto"/>
        <w:rPr>
          <w:rFonts w:ascii="Times New Roman" w:eastAsia="Times New Roman" w:hAnsi="Times New Roman" w:cs="Times New Roman"/>
          <w:lang w:eastAsia="ar-SA"/>
        </w:rPr>
      </w:pPr>
    </w:p>
    <w:p w14:paraId="71E033C8" w14:textId="412F7153" w:rsidR="00654406" w:rsidRDefault="00654406" w:rsidP="000C554A">
      <w:pPr>
        <w:widowControl w:val="0"/>
        <w:spacing w:after="0" w:line="240" w:lineRule="auto"/>
        <w:rPr>
          <w:rFonts w:ascii="Times New Roman" w:eastAsia="Times New Roman" w:hAnsi="Times New Roman" w:cs="Times New Roman"/>
          <w:lang w:eastAsia="ar-SA"/>
        </w:rPr>
      </w:pPr>
    </w:p>
    <w:p w14:paraId="541B45C2" w14:textId="354FFDB1" w:rsidR="00654406" w:rsidRDefault="00654406" w:rsidP="000C554A">
      <w:pPr>
        <w:widowControl w:val="0"/>
        <w:spacing w:after="0" w:line="240" w:lineRule="auto"/>
        <w:rPr>
          <w:rFonts w:ascii="Times New Roman" w:eastAsia="Times New Roman" w:hAnsi="Times New Roman" w:cs="Times New Roman"/>
          <w:lang w:eastAsia="ar-SA"/>
        </w:rPr>
      </w:pPr>
    </w:p>
    <w:p w14:paraId="58C43D73" w14:textId="7B764FEC" w:rsidR="00654406" w:rsidRDefault="00654406" w:rsidP="000C554A">
      <w:pPr>
        <w:widowControl w:val="0"/>
        <w:spacing w:after="0" w:line="240" w:lineRule="auto"/>
        <w:rPr>
          <w:rFonts w:ascii="Times New Roman" w:eastAsia="Times New Roman" w:hAnsi="Times New Roman" w:cs="Times New Roman"/>
          <w:lang w:eastAsia="ar-SA"/>
        </w:rPr>
      </w:pPr>
    </w:p>
    <w:p w14:paraId="04E50733" w14:textId="6151E9BF" w:rsidR="00654406" w:rsidRDefault="00654406" w:rsidP="000C554A">
      <w:pPr>
        <w:widowControl w:val="0"/>
        <w:spacing w:after="0" w:line="240" w:lineRule="auto"/>
        <w:rPr>
          <w:rFonts w:ascii="Times New Roman" w:eastAsia="Times New Roman" w:hAnsi="Times New Roman" w:cs="Times New Roman"/>
          <w:lang w:eastAsia="ar-SA"/>
        </w:rPr>
      </w:pPr>
    </w:p>
    <w:p w14:paraId="1E812366" w14:textId="5B37BFD1" w:rsidR="00654406" w:rsidRDefault="00654406" w:rsidP="000C554A">
      <w:pPr>
        <w:widowControl w:val="0"/>
        <w:spacing w:after="0" w:line="240" w:lineRule="auto"/>
        <w:rPr>
          <w:rFonts w:ascii="Times New Roman" w:eastAsia="Times New Roman" w:hAnsi="Times New Roman" w:cs="Times New Roman"/>
          <w:lang w:eastAsia="ar-SA"/>
        </w:rPr>
      </w:pPr>
    </w:p>
    <w:p w14:paraId="04C6A4DF" w14:textId="53AFC0B9" w:rsidR="00654406" w:rsidRDefault="00654406" w:rsidP="000C554A">
      <w:pPr>
        <w:widowControl w:val="0"/>
        <w:spacing w:after="0" w:line="240" w:lineRule="auto"/>
        <w:rPr>
          <w:rFonts w:ascii="Times New Roman" w:eastAsia="Times New Roman" w:hAnsi="Times New Roman" w:cs="Times New Roman"/>
          <w:lang w:eastAsia="ar-SA"/>
        </w:rPr>
      </w:pPr>
    </w:p>
    <w:p w14:paraId="18815E83" w14:textId="3613913F" w:rsidR="00654406" w:rsidRDefault="00654406" w:rsidP="000C554A">
      <w:pPr>
        <w:widowControl w:val="0"/>
        <w:spacing w:after="0" w:line="240" w:lineRule="auto"/>
        <w:rPr>
          <w:rFonts w:ascii="Times New Roman" w:eastAsia="Times New Roman" w:hAnsi="Times New Roman" w:cs="Times New Roman"/>
          <w:lang w:eastAsia="ar-SA"/>
        </w:rPr>
      </w:pPr>
    </w:p>
    <w:p w14:paraId="27B7E692" w14:textId="551529DB" w:rsidR="00654406" w:rsidRDefault="00654406" w:rsidP="000C554A">
      <w:pPr>
        <w:widowControl w:val="0"/>
        <w:spacing w:after="0" w:line="240" w:lineRule="auto"/>
        <w:rPr>
          <w:rFonts w:ascii="Times New Roman" w:eastAsia="Times New Roman" w:hAnsi="Times New Roman" w:cs="Times New Roman"/>
          <w:lang w:eastAsia="ar-SA"/>
        </w:rPr>
      </w:pPr>
    </w:p>
    <w:p w14:paraId="27F3A6F4" w14:textId="4958A3CD" w:rsidR="00654406" w:rsidRDefault="00654406" w:rsidP="000C554A">
      <w:pPr>
        <w:widowControl w:val="0"/>
        <w:spacing w:after="0" w:line="240" w:lineRule="auto"/>
        <w:rPr>
          <w:rFonts w:ascii="Times New Roman" w:eastAsia="Times New Roman" w:hAnsi="Times New Roman" w:cs="Times New Roman"/>
          <w:lang w:eastAsia="ar-SA"/>
        </w:rPr>
      </w:pPr>
    </w:p>
    <w:p w14:paraId="6890BC0C" w14:textId="138B0AA1" w:rsidR="00654406" w:rsidRDefault="00654406" w:rsidP="000C554A">
      <w:pPr>
        <w:widowControl w:val="0"/>
        <w:spacing w:after="0" w:line="240" w:lineRule="auto"/>
        <w:rPr>
          <w:rFonts w:ascii="Times New Roman" w:eastAsia="Times New Roman" w:hAnsi="Times New Roman" w:cs="Times New Roman"/>
          <w:lang w:eastAsia="ar-SA"/>
        </w:rPr>
      </w:pPr>
    </w:p>
    <w:p w14:paraId="5823760A" w14:textId="63743645" w:rsidR="00654406" w:rsidRDefault="00654406" w:rsidP="000C554A">
      <w:pPr>
        <w:widowControl w:val="0"/>
        <w:spacing w:after="0" w:line="240" w:lineRule="auto"/>
        <w:rPr>
          <w:rFonts w:ascii="Times New Roman" w:eastAsia="Times New Roman" w:hAnsi="Times New Roman" w:cs="Times New Roman"/>
          <w:lang w:eastAsia="ar-SA"/>
        </w:rPr>
      </w:pPr>
    </w:p>
    <w:p w14:paraId="7C52F0B2" w14:textId="14E8D1A1" w:rsidR="00654406" w:rsidRDefault="00654406" w:rsidP="000C554A">
      <w:pPr>
        <w:widowControl w:val="0"/>
        <w:spacing w:after="0" w:line="240" w:lineRule="auto"/>
        <w:rPr>
          <w:rFonts w:ascii="Times New Roman" w:eastAsia="Times New Roman" w:hAnsi="Times New Roman" w:cs="Times New Roman"/>
          <w:lang w:eastAsia="ar-SA"/>
        </w:rPr>
      </w:pPr>
    </w:p>
    <w:p w14:paraId="42BED5CB" w14:textId="2E1CB173" w:rsidR="00654406" w:rsidRDefault="00654406" w:rsidP="000C554A">
      <w:pPr>
        <w:widowControl w:val="0"/>
        <w:spacing w:after="0" w:line="240" w:lineRule="auto"/>
        <w:rPr>
          <w:rFonts w:ascii="Times New Roman" w:eastAsia="Times New Roman" w:hAnsi="Times New Roman" w:cs="Times New Roman"/>
          <w:lang w:eastAsia="ar-SA"/>
        </w:rPr>
      </w:pPr>
    </w:p>
    <w:p w14:paraId="1DD0676A" w14:textId="5F1C10CB" w:rsidR="00654406" w:rsidRDefault="00654406" w:rsidP="000C554A">
      <w:pPr>
        <w:widowControl w:val="0"/>
        <w:spacing w:after="0" w:line="240" w:lineRule="auto"/>
        <w:rPr>
          <w:rFonts w:ascii="Times New Roman" w:eastAsia="Times New Roman" w:hAnsi="Times New Roman" w:cs="Times New Roman"/>
          <w:lang w:eastAsia="ar-SA"/>
        </w:rPr>
      </w:pPr>
    </w:p>
    <w:p w14:paraId="52BD19EE" w14:textId="77777777" w:rsidR="00654406" w:rsidRPr="000C554A" w:rsidRDefault="00654406"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lastRenderedPageBreak/>
        <w:t xml:space="preserve">Приложение №1 </w:t>
      </w:r>
    </w:p>
    <w:p w14:paraId="6C7DF447" w14:textId="6A183B4E"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54406">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17231559" w14:textId="3B7D1BEC"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 xml:space="preserve">на поставку продуктов питания </w:t>
      </w:r>
    </w:p>
    <w:p w14:paraId="37F6A3C4" w14:textId="217F88D9"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для нужд для МАДОУ Г.НЯГАН</w:t>
      </w:r>
      <w:r w:rsidR="00427F3F">
        <w:rPr>
          <w:rFonts w:ascii="Times New Roman" w:eastAsia="Arial Unicode MS" w:hAnsi="Times New Roman" w:cs="Times New Roman"/>
          <w:b/>
        </w:rPr>
        <w:t>И</w:t>
      </w:r>
      <w:r w:rsidRPr="00C85DE1">
        <w:rPr>
          <w:rFonts w:ascii="Times New Roman" w:eastAsia="Arial Unicode MS" w:hAnsi="Times New Roman" w:cs="Times New Roman"/>
          <w:b/>
        </w:rPr>
        <w:t xml:space="preserve"> "Д</w:t>
      </w:r>
      <w:r w:rsidR="00427F3F">
        <w:rPr>
          <w:rFonts w:ascii="Times New Roman" w:eastAsia="Arial Unicode MS" w:hAnsi="Times New Roman" w:cs="Times New Roman"/>
          <w:b/>
        </w:rPr>
        <w:t>/</w:t>
      </w:r>
      <w:r w:rsidRPr="00C85DE1">
        <w:rPr>
          <w:rFonts w:ascii="Times New Roman" w:eastAsia="Arial Unicode MS" w:hAnsi="Times New Roman" w:cs="Times New Roman"/>
          <w:b/>
        </w:rPr>
        <w:t>С №2 "СКАЗКА"</w:t>
      </w:r>
    </w:p>
    <w:p w14:paraId="208DB9AD" w14:textId="73E94C1E" w:rsidR="00C85DE1" w:rsidRPr="00C85DE1" w:rsidRDefault="003A22E0" w:rsidP="00654406">
      <w:pPr>
        <w:tabs>
          <w:tab w:val="left" w:pos="709"/>
        </w:tabs>
        <w:spacing w:after="0" w:line="0" w:lineRule="atLeast"/>
        <w:ind w:left="-284" w:right="-285"/>
        <w:jc w:val="center"/>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Прилагается</w:t>
      </w:r>
      <w:r w:rsidR="00654406">
        <w:rPr>
          <w:rFonts w:ascii="Times New Roman" w:eastAsia="Times New Roman" w:hAnsi="Times New Roman" w:cs="Times New Roman"/>
          <w:b/>
          <w:bCs/>
          <w:color w:val="000000"/>
          <w:lang w:eastAsia="ru-RU"/>
        </w:rPr>
        <w:t xml:space="preserve"> отдельным файлом</w:t>
      </w:r>
    </w:p>
    <w:p w14:paraId="53A9DA6D" w14:textId="77777777" w:rsidR="00DF1A1E" w:rsidRPr="00DF1A1E" w:rsidRDefault="00DF1A1E" w:rsidP="00DF1A1E">
      <w:pPr>
        <w:spacing w:after="0" w:line="240" w:lineRule="auto"/>
        <w:jc w:val="both"/>
        <w:rPr>
          <w:rFonts w:ascii="Times New Roman" w:eastAsia="Times New Roman" w:hAnsi="Times New Roman" w:cs="Times New Roman"/>
          <w:b/>
          <w:bCs/>
          <w:lang w:eastAsia="ru-RU"/>
        </w:rPr>
      </w:pP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1EB83540"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w:t>
            </w:r>
            <w:proofErr w:type="gramStart"/>
            <w:r w:rsidRPr="000C554A">
              <w:rPr>
                <w:rFonts w:ascii="Times New Roman" w:eastAsia="Times New Roman" w:hAnsi="Times New Roman" w:cs="Times New Roman"/>
                <w:b/>
                <w:bCs/>
                <w:iCs/>
              </w:rPr>
              <w:t>_»  _</w:t>
            </w:r>
            <w:proofErr w:type="gramEnd"/>
            <w:r w:rsidRPr="000C554A">
              <w:rPr>
                <w:rFonts w:ascii="Times New Roman" w:eastAsia="Times New Roman" w:hAnsi="Times New Roman" w:cs="Times New Roman"/>
                <w:b/>
                <w:bCs/>
                <w:iCs/>
              </w:rPr>
              <w:t>_______ 202</w:t>
            </w:r>
            <w:r w:rsidR="00654406">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6B2D253D" w14:textId="49A4FF2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 xml:space="preserve">на поставку продуктов питания </w:t>
      </w:r>
    </w:p>
    <w:p w14:paraId="3DFA8FAB" w14:textId="7E1A497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для нужд для МАДОУ Г.НЯГАН</w:t>
      </w:r>
      <w:r w:rsidR="00427F3F">
        <w:rPr>
          <w:rFonts w:ascii="Times New Roman" w:eastAsia="Times New Roman" w:hAnsi="Times New Roman" w:cs="Times New Roman"/>
          <w:b/>
          <w:bCs/>
          <w:lang w:eastAsia="ru-RU"/>
        </w:rPr>
        <w:t>И</w:t>
      </w:r>
      <w:r w:rsidRPr="00D06D46">
        <w:rPr>
          <w:rFonts w:ascii="Times New Roman" w:eastAsia="Times New Roman" w:hAnsi="Times New Roman" w:cs="Times New Roman"/>
          <w:b/>
          <w:bCs/>
          <w:lang w:eastAsia="ru-RU"/>
        </w:rPr>
        <w:t xml:space="preserve"> "Д</w:t>
      </w:r>
      <w:r w:rsidR="00427F3F">
        <w:rPr>
          <w:rFonts w:ascii="Times New Roman" w:eastAsia="Times New Roman" w:hAnsi="Times New Roman" w:cs="Times New Roman"/>
          <w:b/>
          <w:bCs/>
          <w:lang w:eastAsia="ru-RU"/>
        </w:rPr>
        <w:t>/</w:t>
      </w:r>
      <w:r w:rsidRPr="00D06D46">
        <w:rPr>
          <w:rFonts w:ascii="Times New Roman" w:eastAsia="Times New Roman" w:hAnsi="Times New Roman" w:cs="Times New Roman"/>
          <w:b/>
          <w:bCs/>
          <w:lang w:eastAsia="ru-RU"/>
        </w:rPr>
        <w:t>С №2 "СКАЗКА"</w:t>
      </w:r>
    </w:p>
    <w:p w14:paraId="5BD0E4BF" w14:textId="77777777" w:rsidR="001E61AD" w:rsidRDefault="001E61AD" w:rsidP="000C554A">
      <w:pPr>
        <w:spacing w:after="0" w:line="240" w:lineRule="auto"/>
        <w:jc w:val="center"/>
        <w:rPr>
          <w:rFonts w:ascii="Times New Roman" w:eastAsia="Times New Roman" w:hAnsi="Times New Roman" w:cs="Times New Roman"/>
          <w:b/>
          <w:lang w:eastAsia="ru-RU"/>
        </w:rPr>
      </w:pP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7372" w14:textId="77777777" w:rsidR="00F47188" w:rsidRDefault="00F47188" w:rsidP="00A21F61">
      <w:pPr>
        <w:spacing w:after="0" w:line="240" w:lineRule="auto"/>
      </w:pPr>
      <w:r>
        <w:separator/>
      </w:r>
    </w:p>
  </w:endnote>
  <w:endnote w:type="continuationSeparator" w:id="0">
    <w:p w14:paraId="0A3CDEF3" w14:textId="77777777" w:rsidR="00F47188" w:rsidRDefault="00F47188"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AD80" w14:textId="77777777" w:rsidR="00F47188" w:rsidRDefault="00F47188" w:rsidP="00A21F61">
      <w:pPr>
        <w:spacing w:after="0" w:line="240" w:lineRule="auto"/>
      </w:pPr>
      <w:r>
        <w:separator/>
      </w:r>
    </w:p>
  </w:footnote>
  <w:footnote w:type="continuationSeparator" w:id="0">
    <w:p w14:paraId="6900083D" w14:textId="77777777" w:rsidR="00F47188" w:rsidRDefault="00F47188"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B321A4"/>
    <w:multiLevelType w:val="hybridMultilevel"/>
    <w:tmpl w:val="A746A35A"/>
    <w:lvl w:ilvl="0" w:tplc="3B0C973A">
      <w:start w:val="1"/>
      <w:numFmt w:val="decimal"/>
      <w:lvlText w:val="%1."/>
      <w:lvlJc w:val="left"/>
      <w:pPr>
        <w:ind w:left="501" w:hanging="360"/>
      </w:pPr>
      <w:rPr>
        <w:sz w:val="22"/>
        <w:szCs w:val="22"/>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8542868">
    <w:abstractNumId w:val="1"/>
  </w:num>
  <w:num w:numId="2" w16cid:durableId="1355158821">
    <w:abstractNumId w:val="3"/>
  </w:num>
  <w:num w:numId="3" w16cid:durableId="1918973808">
    <w:abstractNumId w:val="0"/>
  </w:num>
  <w:num w:numId="4" w16cid:durableId="167209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33575"/>
    <w:rsid w:val="00046241"/>
    <w:rsid w:val="0008708C"/>
    <w:rsid w:val="00096B49"/>
    <w:rsid w:val="000B6D85"/>
    <w:rsid w:val="000C554A"/>
    <w:rsid w:val="0010654C"/>
    <w:rsid w:val="00130E83"/>
    <w:rsid w:val="00132FB9"/>
    <w:rsid w:val="001403E4"/>
    <w:rsid w:val="00146FFE"/>
    <w:rsid w:val="00155A6E"/>
    <w:rsid w:val="00184509"/>
    <w:rsid w:val="00195A53"/>
    <w:rsid w:val="00195F25"/>
    <w:rsid w:val="001A6915"/>
    <w:rsid w:val="001B5269"/>
    <w:rsid w:val="001C7E8B"/>
    <w:rsid w:val="001E0E7F"/>
    <w:rsid w:val="001E61AD"/>
    <w:rsid w:val="00201428"/>
    <w:rsid w:val="00211291"/>
    <w:rsid w:val="00242D25"/>
    <w:rsid w:val="00243B02"/>
    <w:rsid w:val="00252B32"/>
    <w:rsid w:val="00275CC8"/>
    <w:rsid w:val="0029490E"/>
    <w:rsid w:val="00296710"/>
    <w:rsid w:val="002A22AD"/>
    <w:rsid w:val="002A2796"/>
    <w:rsid w:val="002B10A3"/>
    <w:rsid w:val="002E689C"/>
    <w:rsid w:val="0030731C"/>
    <w:rsid w:val="00321AB1"/>
    <w:rsid w:val="00322005"/>
    <w:rsid w:val="00322E9B"/>
    <w:rsid w:val="0036531E"/>
    <w:rsid w:val="00370305"/>
    <w:rsid w:val="00381868"/>
    <w:rsid w:val="00384FA3"/>
    <w:rsid w:val="003A22E0"/>
    <w:rsid w:val="003A6430"/>
    <w:rsid w:val="003B03F8"/>
    <w:rsid w:val="003C5F33"/>
    <w:rsid w:val="003D7B89"/>
    <w:rsid w:val="00410442"/>
    <w:rsid w:val="00412A4B"/>
    <w:rsid w:val="004136FC"/>
    <w:rsid w:val="00421D99"/>
    <w:rsid w:val="00427F3F"/>
    <w:rsid w:val="0049141B"/>
    <w:rsid w:val="004B2C87"/>
    <w:rsid w:val="004C6BCE"/>
    <w:rsid w:val="004F4EAF"/>
    <w:rsid w:val="0050569B"/>
    <w:rsid w:val="005136E4"/>
    <w:rsid w:val="005257C5"/>
    <w:rsid w:val="00532A65"/>
    <w:rsid w:val="00540F28"/>
    <w:rsid w:val="00544FD6"/>
    <w:rsid w:val="00546DF5"/>
    <w:rsid w:val="00561A92"/>
    <w:rsid w:val="00570FFB"/>
    <w:rsid w:val="005748C0"/>
    <w:rsid w:val="005778D7"/>
    <w:rsid w:val="005A3519"/>
    <w:rsid w:val="005D5769"/>
    <w:rsid w:val="005E39BB"/>
    <w:rsid w:val="006111F8"/>
    <w:rsid w:val="006210C8"/>
    <w:rsid w:val="0062411E"/>
    <w:rsid w:val="00654406"/>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C5892"/>
    <w:rsid w:val="007D6DEE"/>
    <w:rsid w:val="007E3BFF"/>
    <w:rsid w:val="007F250A"/>
    <w:rsid w:val="008035FE"/>
    <w:rsid w:val="00823652"/>
    <w:rsid w:val="0087753D"/>
    <w:rsid w:val="00893C5C"/>
    <w:rsid w:val="008A5779"/>
    <w:rsid w:val="008B21A4"/>
    <w:rsid w:val="008D04E6"/>
    <w:rsid w:val="008E07E6"/>
    <w:rsid w:val="008E6DC3"/>
    <w:rsid w:val="00924446"/>
    <w:rsid w:val="00941D8E"/>
    <w:rsid w:val="00957B96"/>
    <w:rsid w:val="00971B63"/>
    <w:rsid w:val="00985C88"/>
    <w:rsid w:val="00987630"/>
    <w:rsid w:val="009C6BC1"/>
    <w:rsid w:val="009C7D87"/>
    <w:rsid w:val="009D36D7"/>
    <w:rsid w:val="00A21F61"/>
    <w:rsid w:val="00A2418B"/>
    <w:rsid w:val="00A5212E"/>
    <w:rsid w:val="00A67732"/>
    <w:rsid w:val="00A73002"/>
    <w:rsid w:val="00A73230"/>
    <w:rsid w:val="00A81D07"/>
    <w:rsid w:val="00A8599F"/>
    <w:rsid w:val="00A935A1"/>
    <w:rsid w:val="00A948CF"/>
    <w:rsid w:val="00AC14D0"/>
    <w:rsid w:val="00AC1D2B"/>
    <w:rsid w:val="00AE4233"/>
    <w:rsid w:val="00B168AE"/>
    <w:rsid w:val="00B2318C"/>
    <w:rsid w:val="00B23539"/>
    <w:rsid w:val="00B36783"/>
    <w:rsid w:val="00B37476"/>
    <w:rsid w:val="00B4107D"/>
    <w:rsid w:val="00B4732F"/>
    <w:rsid w:val="00B641CC"/>
    <w:rsid w:val="00B74EF9"/>
    <w:rsid w:val="00B83791"/>
    <w:rsid w:val="00B925B6"/>
    <w:rsid w:val="00BB441A"/>
    <w:rsid w:val="00C0139C"/>
    <w:rsid w:val="00C04281"/>
    <w:rsid w:val="00C15998"/>
    <w:rsid w:val="00C31E72"/>
    <w:rsid w:val="00C837F9"/>
    <w:rsid w:val="00C85DE1"/>
    <w:rsid w:val="00CD1AF9"/>
    <w:rsid w:val="00CE3B03"/>
    <w:rsid w:val="00D06D46"/>
    <w:rsid w:val="00D200DA"/>
    <w:rsid w:val="00D30F85"/>
    <w:rsid w:val="00D33E96"/>
    <w:rsid w:val="00D36720"/>
    <w:rsid w:val="00D52B9A"/>
    <w:rsid w:val="00D65183"/>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32B1"/>
    <w:rsid w:val="00E519DD"/>
    <w:rsid w:val="00E56540"/>
    <w:rsid w:val="00E847CA"/>
    <w:rsid w:val="00E90E96"/>
    <w:rsid w:val="00EB31DA"/>
    <w:rsid w:val="00EC1952"/>
    <w:rsid w:val="00EC7E5E"/>
    <w:rsid w:val="00EE3555"/>
    <w:rsid w:val="00EE49F9"/>
    <w:rsid w:val="00EE6A5E"/>
    <w:rsid w:val="00EE72A5"/>
    <w:rsid w:val="00EF3177"/>
    <w:rsid w:val="00F16FDA"/>
    <w:rsid w:val="00F232B0"/>
    <w:rsid w:val="00F259D1"/>
    <w:rsid w:val="00F33628"/>
    <w:rsid w:val="00F43050"/>
    <w:rsid w:val="00F47188"/>
    <w:rsid w:val="00F51F1B"/>
    <w:rsid w:val="00F5296C"/>
    <w:rsid w:val="00F6455F"/>
    <w:rsid w:val="00F72C08"/>
    <w:rsid w:val="00F73D3B"/>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4397</Words>
  <Characters>25064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DOC-MARKER-pg9s6VeQagDbaN4WFw2n8g</dc:description>
  <cp:lastModifiedBy>1</cp:lastModifiedBy>
  <cp:revision>5</cp:revision>
  <dcterms:created xsi:type="dcterms:W3CDTF">2026-06-09T12:31:00Z</dcterms:created>
  <dcterms:modified xsi:type="dcterms:W3CDTF">2026-06-16T05:53:00Z</dcterms:modified>
</cp:coreProperties>
</file>