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A4E37" w14:textId="77777777" w:rsidR="001B3AEA" w:rsidRPr="00112605" w:rsidRDefault="001B3AE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2605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22D77F48" w14:textId="2E769CBA" w:rsidR="001B3AEA" w:rsidRPr="00112605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2605">
        <w:rPr>
          <w:rFonts w:ascii="Times New Roman" w:hAnsi="Times New Roman" w:cs="Times New Roman"/>
          <w:b/>
          <w:bCs/>
        </w:rPr>
        <w:t xml:space="preserve">на поставку </w:t>
      </w:r>
      <w:r w:rsidR="00730E6B" w:rsidRPr="00025D29">
        <w:rPr>
          <w:rFonts w:ascii="Times New Roman" w:eastAsia="MyriadPro-Cond" w:hAnsi="Times New Roman" w:cs="Times New Roman"/>
          <w:b/>
          <w:bCs/>
        </w:rPr>
        <w:t xml:space="preserve">нефтепродуктов </w:t>
      </w:r>
      <w:r w:rsidR="004874BA" w:rsidRPr="004874BA">
        <w:rPr>
          <w:rFonts w:ascii="Times New Roman" w:eastAsia="MyriadPro-Cond" w:hAnsi="Times New Roman" w:cs="Times New Roman"/>
          <w:b/>
          <w:bCs/>
        </w:rPr>
        <w:t>с использованием топливных электронных карт</w:t>
      </w:r>
    </w:p>
    <w:p w14:paraId="24D23148" w14:textId="549F43FC" w:rsidR="001B3AEA" w:rsidRPr="00515DD8" w:rsidRDefault="00386BFF" w:rsidP="008750CF">
      <w:pPr>
        <w:pStyle w:val="a4"/>
        <w:widowControl w:val="0"/>
        <w:numPr>
          <w:ilvl w:val="0"/>
          <w:numId w:val="1"/>
        </w:numPr>
        <w:tabs>
          <w:tab w:val="left" w:pos="142"/>
          <w:tab w:val="right" w:pos="9360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15DD8">
        <w:rPr>
          <w:rFonts w:ascii="Times New Roman" w:eastAsia="Times New Roman" w:hAnsi="Times New Roman" w:cs="Times New Roman"/>
          <w:b/>
          <w:bCs/>
          <w:lang w:eastAsia="ru-RU"/>
        </w:rPr>
        <w:t>Ф</w:t>
      </w:r>
      <w:r w:rsidRPr="00515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ункциональные </w:t>
      </w:r>
      <w:r w:rsidR="00112605" w:rsidRPr="00515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характеристики (потребительские свойства), технические и качественные﻿⁠​‍‌‍⁠⁠‌‌​⁠⁠‌⁠﻿‍​‌​⁠​﻿​‍⁠﻿‌​‍​⁠‍﻿‍⁠⁠‌‌﻿‍⁠‌﻿ характеристики, а также эксплуатационные характеристики (при необходимости) предмета закупки, установленные заказчиком</w:t>
      </w:r>
      <w:r w:rsidR="001B3AEA" w:rsidRPr="00515DD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6E1031E2" w14:textId="77777777" w:rsidR="00515DD8" w:rsidRPr="008750CF" w:rsidRDefault="00515DD8" w:rsidP="008750CF">
      <w:pPr>
        <w:spacing w:after="0" w:line="20" w:lineRule="atLeast"/>
        <w:ind w:left="-142" w:right="-143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8750C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20" w:type="dxa"/>
        <w:tblInd w:w="-147" w:type="dxa"/>
        <w:tblLook w:val="04A0" w:firstRow="1" w:lastRow="0" w:firstColumn="1" w:lastColumn="0" w:noHBand="0" w:noVBand="1"/>
      </w:tblPr>
      <w:tblGrid>
        <w:gridCol w:w="568"/>
        <w:gridCol w:w="1447"/>
        <w:gridCol w:w="3202"/>
        <w:gridCol w:w="1551"/>
        <w:gridCol w:w="1693"/>
        <w:gridCol w:w="1859"/>
      </w:tblGrid>
      <w:tr w:rsidR="00515DD8" w:rsidRPr="00115BDF" w14:paraId="4F0104A8" w14:textId="77777777" w:rsidTr="00191061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AF32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1A5B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0560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186D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515DD8" w:rsidRPr="00115BDF" w14:paraId="4F6893F0" w14:textId="77777777" w:rsidTr="00191061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92FF" w14:textId="77777777" w:rsidR="00515DD8" w:rsidRPr="00905C8E" w:rsidRDefault="00515DD8" w:rsidP="004A1EC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250A" w14:textId="77777777" w:rsidR="00515DD8" w:rsidRPr="00905C8E" w:rsidRDefault="00515DD8" w:rsidP="004A1EC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D9C3" w14:textId="77777777" w:rsidR="00515DD8" w:rsidRPr="00905C8E" w:rsidRDefault="00515DD8" w:rsidP="004A1EC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BB3F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BB33C93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A153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E9C3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515DD8" w:rsidRPr="00115BDF" w14:paraId="222B4CEB" w14:textId="77777777" w:rsidTr="00191061">
        <w:trPr>
          <w:trHeight w:val="2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071" w14:textId="7F0AA8FE" w:rsidR="00515DD8" w:rsidRPr="002D1D48" w:rsidRDefault="00515DD8" w:rsidP="002D1D48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113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03B" w14:textId="6885ECA8"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</w:rPr>
              <w:t xml:space="preserve">19.20.21.125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7D4" w14:textId="055541BB"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</w:rPr>
              <w:t xml:space="preserve">Бензин автомобильный АИ-92 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352D" w14:textId="77777777" w:rsidR="00515DD8" w:rsidRPr="00905C8E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CBED" w14:textId="77777777" w:rsidR="00515DD8" w:rsidRPr="00905C8E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0F00" w14:textId="54D8A3BD" w:rsidR="00515DD8" w:rsidRPr="00515DD8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515DD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515DD8" w:rsidRPr="00115BDF" w14:paraId="15EB050C" w14:textId="77777777" w:rsidTr="00191061">
        <w:trPr>
          <w:trHeight w:val="33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CC4" w14:textId="57020D3C" w:rsidR="00515DD8" w:rsidRPr="002D1D48" w:rsidRDefault="00515DD8" w:rsidP="002D1D48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113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5F9" w14:textId="5FDFD600"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</w:rPr>
              <w:t>19.20.21.3</w:t>
            </w:r>
            <w:r w:rsidR="00191061">
              <w:rPr>
                <w:rFonts w:ascii="Times New Roman" w:hAnsi="Times New Roman" w:cs="Times New Roman"/>
              </w:rPr>
              <w:t>00</w:t>
            </w:r>
            <w:r w:rsidRPr="001126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B72" w14:textId="23A41352"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  <w:color w:val="000000"/>
              </w:rPr>
              <w:t>Топливо дизельное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5CCD" w14:textId="77777777" w:rsidR="00515DD8" w:rsidRPr="00905C8E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FAA5" w14:textId="77777777" w:rsidR="00515DD8" w:rsidRPr="00905C8E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3B13" w14:textId="4519A87C" w:rsidR="00515DD8" w:rsidRPr="00515DD8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515DD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5388F605" w14:textId="77777777" w:rsidR="00515DD8" w:rsidRPr="008750CF" w:rsidRDefault="00515DD8" w:rsidP="008750CF">
      <w:pPr>
        <w:widowControl w:val="0"/>
        <w:tabs>
          <w:tab w:val="left" w:pos="426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522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807"/>
        <w:gridCol w:w="6416"/>
        <w:gridCol w:w="683"/>
        <w:gridCol w:w="875"/>
      </w:tblGrid>
      <w:tr w:rsidR="008750CF" w:rsidRPr="00112605" w14:paraId="1516BEFD" w14:textId="77777777" w:rsidTr="002D1D48">
        <w:tc>
          <w:tcPr>
            <w:tcW w:w="274" w:type="pct"/>
            <w:vAlign w:val="center"/>
          </w:tcPr>
          <w:p w14:paraId="2EB96FF3" w14:textId="77777777" w:rsidR="008750CF" w:rsidRPr="00112605" w:rsidRDefault="008750C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873" w:type="pct"/>
            <w:vAlign w:val="center"/>
          </w:tcPr>
          <w:p w14:paraId="1B087A1F" w14:textId="77777777" w:rsidR="008750CF" w:rsidRPr="00112605" w:rsidRDefault="008750C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3100" w:type="pct"/>
            <w:vAlign w:val="center"/>
          </w:tcPr>
          <w:p w14:paraId="081445BF" w14:textId="77777777" w:rsidR="008750CF" w:rsidRPr="00112605" w:rsidRDefault="008750C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330" w:type="pct"/>
            <w:vAlign w:val="center"/>
          </w:tcPr>
          <w:p w14:paraId="0CC460B8" w14:textId="77777777" w:rsidR="008750CF" w:rsidRPr="00112605" w:rsidRDefault="008750C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Ед.</w:t>
            </w: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изм.</w:t>
            </w:r>
          </w:p>
        </w:tc>
        <w:tc>
          <w:tcPr>
            <w:tcW w:w="423" w:type="pct"/>
            <w:vAlign w:val="center"/>
          </w:tcPr>
          <w:p w14:paraId="6EDC997D" w14:textId="77777777" w:rsidR="00191061" w:rsidRDefault="008750C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Кол-</w:t>
            </w:r>
          </w:p>
          <w:p w14:paraId="64BF2C63" w14:textId="4DB9E03E" w:rsidR="008750CF" w:rsidRPr="00112605" w:rsidRDefault="008750C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 </w:t>
            </w:r>
          </w:p>
        </w:tc>
      </w:tr>
      <w:tr w:rsidR="008750CF" w:rsidRPr="00112605" w14:paraId="1B9044C5" w14:textId="77777777" w:rsidTr="002D1D48">
        <w:tc>
          <w:tcPr>
            <w:tcW w:w="274" w:type="pct"/>
          </w:tcPr>
          <w:p w14:paraId="24A9AE67" w14:textId="4A97A1F6" w:rsidR="008750CF" w:rsidRPr="002D1D48" w:rsidRDefault="008750CF" w:rsidP="002D1D4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3" w:type="pct"/>
          </w:tcPr>
          <w:p w14:paraId="1C946BA1" w14:textId="34833B6C" w:rsidR="008750CF" w:rsidRPr="00112605" w:rsidRDefault="008750CF" w:rsidP="0051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12605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3100" w:type="pct"/>
          </w:tcPr>
          <w:p w14:paraId="488DD257" w14:textId="35FECEE6"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12605">
              <w:rPr>
                <w:rFonts w:ascii="Times New Roman" w:eastAsia="Calibri" w:hAnsi="Times New Roman" w:cs="Times New Roman"/>
              </w:rPr>
              <w:t>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ГОСТ Р 51105-2020 «Топлива для двигателей внутреннего сгорания. Бензин неэтилированный»</w:t>
            </w:r>
          </w:p>
          <w:p w14:paraId="03CB32C5" w14:textId="77777777"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Экологический класс: не ниже К5;</w:t>
            </w:r>
          </w:p>
          <w:p w14:paraId="256756E8" w14:textId="77777777"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087DC39F" w14:textId="77777777"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по исследовательскому методу: не менее 92,0</w:t>
            </w:r>
          </w:p>
          <w:p w14:paraId="5BC66D39" w14:textId="77777777"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по моторному методу: не менее 83,0</w:t>
            </w:r>
          </w:p>
          <w:p w14:paraId="665901F7" w14:textId="77777777"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 xml:space="preserve">Массовая доля серы: не более 10 мг/кг;   </w:t>
            </w:r>
          </w:p>
          <w:p w14:paraId="7FAD4DE6" w14:textId="77777777" w:rsidR="008750CF" w:rsidRPr="00112605" w:rsidRDefault="008750CF" w:rsidP="00D76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330" w:type="pct"/>
          </w:tcPr>
          <w:p w14:paraId="36926359" w14:textId="77777777" w:rsidR="008750CF" w:rsidRPr="00112605" w:rsidRDefault="008750C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0B4D" w14:textId="2FEF16BF" w:rsidR="008750CF" w:rsidRPr="00112605" w:rsidRDefault="00191061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8500</w:t>
            </w:r>
          </w:p>
        </w:tc>
      </w:tr>
      <w:tr w:rsidR="008750CF" w:rsidRPr="00112605" w14:paraId="654E5BBC" w14:textId="77777777" w:rsidTr="002D1D48">
        <w:tc>
          <w:tcPr>
            <w:tcW w:w="274" w:type="pct"/>
          </w:tcPr>
          <w:p w14:paraId="728E85E8" w14:textId="362D3302" w:rsidR="008750CF" w:rsidRPr="002D1D48" w:rsidRDefault="008750CF" w:rsidP="002D1D4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3" w:type="pct"/>
          </w:tcPr>
          <w:p w14:paraId="60B3FA35" w14:textId="77777777" w:rsidR="008750CF" w:rsidRPr="00112605" w:rsidRDefault="008750CF" w:rsidP="00515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605">
              <w:rPr>
                <w:rFonts w:ascii="Times New Roman" w:hAnsi="Times New Roman" w:cs="Times New Roman"/>
                <w:color w:val="000000"/>
              </w:rPr>
              <w:t>Топливо дизельное</w:t>
            </w:r>
          </w:p>
        </w:tc>
        <w:tc>
          <w:tcPr>
            <w:tcW w:w="3100" w:type="pct"/>
          </w:tcPr>
          <w:p w14:paraId="5E7E46E7" w14:textId="77777777" w:rsidR="008750CF" w:rsidRPr="00112605" w:rsidRDefault="008750CF" w:rsidP="001349D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12605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2D72E742" w14:textId="77777777" w:rsidR="008750CF" w:rsidRPr="00112605" w:rsidRDefault="008750CF" w:rsidP="001349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605">
              <w:rPr>
                <w:rFonts w:ascii="Times New Roman" w:hAnsi="Times New Roman" w:cs="Times New Roman"/>
                <w:color w:val="000000"/>
              </w:rPr>
              <w:t>Экологический класс –не ниже К5</w:t>
            </w:r>
          </w:p>
          <w:p w14:paraId="2C1E9290" w14:textId="77777777" w:rsidR="008750CF" w:rsidRPr="00112605" w:rsidRDefault="008750CF" w:rsidP="001349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605">
              <w:rPr>
                <w:rFonts w:ascii="Times New Roman" w:hAnsi="Times New Roman" w:cs="Times New Roman"/>
              </w:rPr>
              <w:t>Массовая доля серы: не более 10,0 мг/кг</w:t>
            </w:r>
          </w:p>
          <w:p w14:paraId="2BE97202" w14:textId="77777777" w:rsidR="008750CF" w:rsidRPr="00112605" w:rsidRDefault="008750CF" w:rsidP="001349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hAnsi="Times New Roman" w:cs="Times New Roman"/>
              </w:rPr>
              <w:t>Сезонность: в зависимости от времени (сезона), в которое приобретается топливо</w:t>
            </w:r>
          </w:p>
        </w:tc>
        <w:tc>
          <w:tcPr>
            <w:tcW w:w="330" w:type="pct"/>
          </w:tcPr>
          <w:p w14:paraId="35C78C72" w14:textId="77777777" w:rsidR="008750CF" w:rsidRPr="00112605" w:rsidRDefault="008750C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C376" w14:textId="2921A806" w:rsidR="008750CF" w:rsidRPr="00112605" w:rsidRDefault="008750C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91061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</w:tbl>
    <w:p w14:paraId="597D66C8" w14:textId="77777777" w:rsidR="00853129" w:rsidRPr="00112605" w:rsidRDefault="00853129" w:rsidP="00112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12605">
        <w:rPr>
          <w:rFonts w:ascii="Times New Roman" w:eastAsia="Times New Roman" w:hAnsi="Times New Roman" w:cs="Times New Roman"/>
          <w:b/>
          <w:lang w:eastAsia="ar-SA"/>
        </w:rPr>
        <w:t>2. Место поставки товара:</w:t>
      </w:r>
    </w:p>
    <w:p w14:paraId="3ADCE764" w14:textId="0F861A7B" w:rsidR="00853129" w:rsidRPr="00112605" w:rsidRDefault="00853129" w:rsidP="00112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12605">
        <w:rPr>
          <w:rFonts w:ascii="Times New Roman" w:eastAsia="Times New Roman" w:hAnsi="Times New Roman" w:cs="Times New Roman"/>
          <w:bCs/>
          <w:lang w:eastAsia="ar-SA"/>
        </w:rPr>
        <w:t xml:space="preserve">Поставка ГСМ осуществляется </w:t>
      </w:r>
      <w:r w:rsidR="00266FC3" w:rsidRPr="00112605">
        <w:rPr>
          <w:rFonts w:ascii="Times New Roman" w:eastAsia="Times New Roman" w:hAnsi="Times New Roman" w:cs="Times New Roman"/>
          <w:bCs/>
          <w:lang w:eastAsia="ar-SA"/>
        </w:rPr>
        <w:t>через АЗС,</w:t>
      </w:r>
      <w:r w:rsidRPr="00112605">
        <w:rPr>
          <w:rFonts w:ascii="Times New Roman" w:eastAsia="Times New Roman" w:hAnsi="Times New Roman" w:cs="Times New Roman"/>
          <w:bCs/>
          <w:lang w:eastAsia="ar-SA"/>
        </w:rPr>
        <w:t xml:space="preserve"> находящейся </w:t>
      </w:r>
      <w:r w:rsidR="00191061" w:rsidRPr="00112605">
        <w:rPr>
          <w:rFonts w:ascii="Times New Roman" w:eastAsia="Times New Roman" w:hAnsi="Times New Roman" w:cs="Times New Roman"/>
          <w:bCs/>
          <w:lang w:eastAsia="ar-SA"/>
        </w:rPr>
        <w:t>на территории,</w:t>
      </w:r>
      <w:r w:rsidRPr="0011260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9D4B46" w:rsidRPr="009D4B46">
        <w:rPr>
          <w:rStyle w:val="docdata"/>
          <w:rFonts w:ascii="Times New Roman" w:hAnsi="Times New Roman" w:cs="Times New Roman"/>
          <w:color w:val="000000"/>
        </w:rPr>
        <w:t xml:space="preserve">Тюменская область, </w:t>
      </w:r>
      <w:r w:rsidR="009D4B46" w:rsidRPr="009D4B46">
        <w:rPr>
          <w:rFonts w:ascii="Times New Roman" w:hAnsi="Times New Roman" w:cs="Times New Roman"/>
          <w:color w:val="000000"/>
        </w:rPr>
        <w:t>Исетский район, с. Исетское</w:t>
      </w:r>
      <w:r w:rsidR="00791063" w:rsidRPr="00112605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Pr="00112605">
        <w:rPr>
          <w:rFonts w:ascii="Times New Roman" w:eastAsia="Times New Roman" w:hAnsi="Times New Roman" w:cs="Times New Roman"/>
          <w:lang w:eastAsia="ar-SA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0" w:name="_Ref119427085"/>
      <w:r w:rsidRPr="00112605">
        <w:rPr>
          <w:rFonts w:ascii="Times New Roman" w:eastAsia="Times New Roman" w:hAnsi="Times New Roman" w:cs="Times New Roman"/>
          <w:lang w:eastAsia="ar-SA"/>
        </w:rPr>
        <w:t xml:space="preserve"> Топливные карты выдаются Поставщиком товара.</w:t>
      </w:r>
      <w:bookmarkEnd w:id="0"/>
      <w:r w:rsidR="00415783" w:rsidRPr="00112605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7A5ADE9" w14:textId="09CFDFBA" w:rsidR="00853129" w:rsidRPr="00112605" w:rsidRDefault="00853129" w:rsidP="001126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eastAsia="Times New Roman" w:hAnsi="Times New Roman" w:cs="Times New Roman"/>
          <w:b/>
          <w:lang w:eastAsia="ar-SA"/>
        </w:rPr>
        <w:t xml:space="preserve">3. Сроки поставки товара: 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с </w:t>
      </w:r>
      <w:r w:rsidR="00874B9F">
        <w:rPr>
          <w:rFonts w:ascii="Times New Roman" w:eastAsia="Times New Roman" w:hAnsi="Times New Roman" w:cs="Times New Roman"/>
          <w:lang w:eastAsia="ar-SA"/>
        </w:rPr>
        <w:t xml:space="preserve">момента </w:t>
      </w:r>
      <w:r w:rsidR="00191061">
        <w:rPr>
          <w:rFonts w:ascii="Times New Roman" w:eastAsia="Times New Roman" w:hAnsi="Times New Roman" w:cs="Times New Roman"/>
          <w:lang w:eastAsia="ar-SA"/>
        </w:rPr>
        <w:t>заключения</w:t>
      </w:r>
      <w:r w:rsidR="00874B9F">
        <w:rPr>
          <w:rFonts w:ascii="Times New Roman" w:eastAsia="Times New Roman" w:hAnsi="Times New Roman" w:cs="Times New Roman"/>
          <w:lang w:eastAsia="ar-SA"/>
        </w:rPr>
        <w:t xml:space="preserve"> договора 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до </w:t>
      </w:r>
      <w:r w:rsidR="00CF76FC" w:rsidRPr="00112605">
        <w:rPr>
          <w:rFonts w:ascii="Times New Roman" w:eastAsia="Times New Roman" w:hAnsi="Times New Roman" w:cs="Times New Roman"/>
          <w:lang w:eastAsia="ar-SA"/>
        </w:rPr>
        <w:t>3</w:t>
      </w:r>
      <w:r w:rsidR="00191061">
        <w:rPr>
          <w:rFonts w:ascii="Times New Roman" w:eastAsia="Times New Roman" w:hAnsi="Times New Roman" w:cs="Times New Roman"/>
          <w:lang w:eastAsia="ar-SA"/>
        </w:rPr>
        <w:t>1</w:t>
      </w:r>
      <w:r w:rsidRPr="00112605">
        <w:rPr>
          <w:rFonts w:ascii="Times New Roman" w:eastAsia="Times New Roman" w:hAnsi="Times New Roman" w:cs="Times New Roman"/>
          <w:lang w:eastAsia="ar-SA"/>
        </w:rPr>
        <w:t>.</w:t>
      </w:r>
      <w:r w:rsidR="00191061">
        <w:rPr>
          <w:rFonts w:ascii="Times New Roman" w:eastAsia="Times New Roman" w:hAnsi="Times New Roman" w:cs="Times New Roman"/>
          <w:lang w:eastAsia="ar-SA"/>
        </w:rPr>
        <w:t>12</w:t>
      </w:r>
      <w:r w:rsidRPr="00112605">
        <w:rPr>
          <w:rFonts w:ascii="Times New Roman" w:eastAsia="Times New Roman" w:hAnsi="Times New Roman" w:cs="Times New Roman"/>
          <w:lang w:eastAsia="ar-SA"/>
        </w:rPr>
        <w:t>.202</w:t>
      </w:r>
      <w:r w:rsidR="00191061">
        <w:rPr>
          <w:rFonts w:ascii="Times New Roman" w:eastAsia="Times New Roman" w:hAnsi="Times New Roman" w:cs="Times New Roman"/>
          <w:lang w:eastAsia="ar-SA"/>
        </w:rPr>
        <w:t>6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 г.</w:t>
      </w:r>
    </w:p>
    <w:p w14:paraId="3A0DA188" w14:textId="77777777" w:rsidR="00853129" w:rsidRPr="00112605" w:rsidRDefault="00853129" w:rsidP="00112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12605">
        <w:rPr>
          <w:rFonts w:ascii="Times New Roman" w:eastAsia="Times New Roman" w:hAnsi="Times New Roman" w:cs="Times New Roman"/>
          <w:lang w:eastAsia="ar-SA"/>
        </w:rPr>
        <w:t>3.1. Победитель при заключении договора предоставляет список АЗС, с указанием в нем информации о наименовании автозаправочных станций, их адреса. Указанный список АЗС является неотъемлемой частью договора.</w:t>
      </w:r>
    </w:p>
    <w:p w14:paraId="37FAA8BC" w14:textId="77777777" w:rsidR="00415783" w:rsidRPr="00112605" w:rsidRDefault="00415783" w:rsidP="001126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hAnsi="Times New Roman" w:cs="Times New Roman"/>
        </w:rPr>
        <w:t>3.2 Режим работы АЗС: круглосуточно, без выходных.</w:t>
      </w:r>
    </w:p>
    <w:p w14:paraId="26281555" w14:textId="77777777" w:rsidR="00415783" w:rsidRPr="00112605" w:rsidRDefault="00415783" w:rsidP="001126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hAnsi="Times New Roman" w:cs="Times New Roman"/>
        </w:rPr>
        <w:t>3.3 Заправка автотранспорта Заказчика по топливным картам.</w:t>
      </w:r>
    </w:p>
    <w:p w14:paraId="6AC719F8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t>4. Требования к качеству, безопасности поставляемого товара:</w:t>
      </w:r>
    </w:p>
    <w:p w14:paraId="733C32DB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4.1 Поставка товара производиться месячными партиями. За партию продукции принимается количество продукции, выбранное Заказчиком в течение отчетного месяца.</w:t>
      </w:r>
    </w:p>
    <w:p w14:paraId="6777EDD2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4.2 Отпуск товара производится любому лицу, непосредственно использующему топливную карту. При этом Поставщик не обязан дополнительно проверять наличие соответствующих полномочий у вышеуказанного лица;</w:t>
      </w:r>
    </w:p>
    <w:p w14:paraId="7EEB91A3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4.3 Факт отпуска товара на АЗС подтверждается выданным кассовым чеком, отражающим количество заправляемого ГСМ;</w:t>
      </w:r>
    </w:p>
    <w:p w14:paraId="2E3F2030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4.4 Возможность установления на топливных картах месячных лимитов, своевременного предоставления информации о количестве, времени, дате и месте заправки.</w:t>
      </w:r>
    </w:p>
    <w:p w14:paraId="46C2A296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lastRenderedPageBreak/>
        <w:t>4.5 По письменному заявлению Заказчика Поставщик осуществляем замену топливной карты в случае их механического повреждения, кражи либо утраты в течение 3 (трёх рабочих) дней с момента заявления Заказчиком. При обнаружении производственных дефектов и невозможности их устранения, топливные карты подлежат замене за счёт Поставщика.</w:t>
      </w:r>
    </w:p>
    <w:p w14:paraId="33E42378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4.6 Наличие круглосуточного дежурного диспетчера для оперативного решения вопросов, связанных с непредвиденными обстоятельствами по приёму (блокировке) топливных карт на АЗС;</w:t>
      </w:r>
    </w:p>
    <w:p w14:paraId="5231774D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4.7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4EBAB477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 xml:space="preserve">4.8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6BAA1DDB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4.9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78485896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t>5. Топливная карта должна обладать следующими характеристиками:</w:t>
      </w:r>
    </w:p>
    <w:p w14:paraId="0A7B606A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Топливные карты должны соответствовать действующим нормативным документам, на момент заключения договора.</w:t>
      </w:r>
    </w:p>
    <w:p w14:paraId="3A2E87F8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Каждая Топливная карта должна иметь персональный идентификационный номер (ПИН-Код).</w:t>
      </w:r>
    </w:p>
    <w:p w14:paraId="2622F72F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Все Топливные карты должны иметь привязку к общему счету.</w:t>
      </w:r>
    </w:p>
    <w:p w14:paraId="2671817F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t>6. Поставщик обязан бесплатно представить следующие сервисные услуги для Топливных карт:</w:t>
      </w:r>
    </w:p>
    <w:p w14:paraId="6B819A2F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удаленного управления Топливной картой через средства связи (Интернет, сервисы мобильной телефонии и прочее).</w:t>
      </w:r>
    </w:p>
    <w:p w14:paraId="6604EDFD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предоставления ежедневного транзакционного отчета по каждой Топливной карте, включающего следующую информацию: номер Топливной карты, отпущенное количество Товара, дату и время операции, название и адрес АЗС/АЗК.</w:t>
      </w:r>
    </w:p>
    <w:p w14:paraId="662AF8EC" w14:textId="77777777" w:rsidR="00853129" w:rsidRPr="00112605" w:rsidRDefault="00415783" w:rsidP="00112605">
      <w:pPr>
        <w:pStyle w:val="Standard"/>
        <w:ind w:firstLine="567"/>
        <w:jc w:val="both"/>
        <w:rPr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удаленной блокировки каждой Топливной карты</w:t>
      </w:r>
      <w:r w:rsidR="00112605">
        <w:rPr>
          <w:rFonts w:eastAsia="Times New Roman"/>
          <w:kern w:val="0"/>
          <w:sz w:val="22"/>
          <w:szCs w:val="22"/>
        </w:rPr>
        <w:t>.</w:t>
      </w:r>
    </w:p>
    <w:sectPr w:rsidR="00853129" w:rsidRPr="00112605" w:rsidSect="00266FC3">
      <w:pgSz w:w="11906" w:h="16838"/>
      <w:pgMar w:top="1134" w:right="850" w:bottom="1134" w:left="1134" w:header="708" w:footer="708" w:gutter="0"/>
      <w:cols w:space="708"/>
      <w:docGrid w:linePitch="360"/>
    </w:sectPr>
    <!-- MKR-12921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Cond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E017E"/>
    <w:multiLevelType w:val="hybridMultilevel"/>
    <w:tmpl w:val="9D148558"/>
    <w:lvl w:ilvl="0" w:tplc="E33E7778">
      <w:start w:val="1"/>
      <w:numFmt w:val="decimal"/>
      <w:lvlText w:val="%1."/>
      <w:lvlJc w:val="left"/>
      <w:pPr>
        <w:ind w:left="957" w:hanging="39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5F1E1E"/>
    <w:multiLevelType w:val="hybridMultilevel"/>
    <w:tmpl w:val="17CC3778"/>
    <w:lvl w:ilvl="0" w:tplc="CECAC91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FE01D0"/>
    <w:multiLevelType w:val="hybridMultilevel"/>
    <w:tmpl w:val="E6E816D6"/>
    <w:lvl w:ilvl="0" w:tplc="CECAC91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16"/>
    <w:rsid w:val="000D5EED"/>
    <w:rsid w:val="00112605"/>
    <w:rsid w:val="00116316"/>
    <w:rsid w:val="00120F6A"/>
    <w:rsid w:val="001349D2"/>
    <w:rsid w:val="00191061"/>
    <w:rsid w:val="001B3AEA"/>
    <w:rsid w:val="001C01B2"/>
    <w:rsid w:val="001F4870"/>
    <w:rsid w:val="00266FC3"/>
    <w:rsid w:val="002733A8"/>
    <w:rsid w:val="002D1D48"/>
    <w:rsid w:val="00333046"/>
    <w:rsid w:val="003356C8"/>
    <w:rsid w:val="00336B19"/>
    <w:rsid w:val="003434E2"/>
    <w:rsid w:val="00386BFF"/>
    <w:rsid w:val="00396B95"/>
    <w:rsid w:val="003F3E61"/>
    <w:rsid w:val="00415783"/>
    <w:rsid w:val="0042584E"/>
    <w:rsid w:val="0046056C"/>
    <w:rsid w:val="004874BA"/>
    <w:rsid w:val="004C5407"/>
    <w:rsid w:val="0051310D"/>
    <w:rsid w:val="00515DD8"/>
    <w:rsid w:val="00544A8C"/>
    <w:rsid w:val="0057463D"/>
    <w:rsid w:val="005F7C4F"/>
    <w:rsid w:val="00674E8E"/>
    <w:rsid w:val="00730E6B"/>
    <w:rsid w:val="00791063"/>
    <w:rsid w:val="007A15AE"/>
    <w:rsid w:val="00853129"/>
    <w:rsid w:val="00874B9F"/>
    <w:rsid w:val="008750CF"/>
    <w:rsid w:val="008B1499"/>
    <w:rsid w:val="008F11B7"/>
    <w:rsid w:val="009174EC"/>
    <w:rsid w:val="009A3EFC"/>
    <w:rsid w:val="009A7380"/>
    <w:rsid w:val="009C0644"/>
    <w:rsid w:val="009D4B46"/>
    <w:rsid w:val="009F4A83"/>
    <w:rsid w:val="009F757D"/>
    <w:rsid w:val="00A3781B"/>
    <w:rsid w:val="00A51E1F"/>
    <w:rsid w:val="00A704E7"/>
    <w:rsid w:val="00A735C7"/>
    <w:rsid w:val="00C513DA"/>
    <w:rsid w:val="00C96E52"/>
    <w:rsid w:val="00CD3345"/>
    <w:rsid w:val="00CF76FC"/>
    <w:rsid w:val="00D42001"/>
    <w:rsid w:val="00D76803"/>
    <w:rsid w:val="00DC1000"/>
    <w:rsid w:val="00E3494E"/>
    <w:rsid w:val="00E80916"/>
    <w:rsid w:val="00EA34A7"/>
    <w:rsid w:val="00EE4DCE"/>
    <w:rsid w:val="00F307DE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2684"/>
  <w15:docId w15:val="{53EAFEB1-3253-471D-8217-51DB379C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15DD8"/>
    <w:pPr>
      <w:ind w:left="720"/>
      <w:contextualSpacing/>
    </w:pPr>
  </w:style>
  <w:style w:type="character" w:customStyle="1" w:styleId="docdata">
    <w:name w:val="docdata"/>
    <w:aliases w:val="docy,v5,1482,bqiaagaaeyqcaaagiaiaaamxbqaabt8faaaaaaaaaaaaaaaaaaaaaaaaaaaaaaaaaaaaaaaaaaaaaaaaaaaaaaaaaaaaaaaaaaaaaaaaaaaaaaaaaaaaaaaaaaaaaaaaaaaaaaaaaaaaaaaaaaaaaaaaaaaaaaaaaaaaaaaaaaaaaaaaaaaaaaaaaaaaaaaaaaaaaaaaaaaaaaaaaaaaaaaaaaaaaaaaaaaaaaaa"/>
    <w:basedOn w:val="a0"/>
    <w:rsid w:val="009D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ЭТП регион</dc:creator>
  <cp:keywords/>
  <dc:description>DOC-MARKER-9uv3k0hMRVSY2dp5G2hF2A</dc:description>
  <cp:lastModifiedBy>User119</cp:lastModifiedBy>
  <cp:revision>2</cp:revision>
  <dcterms:created xsi:type="dcterms:W3CDTF">2026-06-16T04:04:00Z</dcterms:created>
  <dcterms:modified xsi:type="dcterms:W3CDTF">2026-06-16T04:04:00Z</dcterms:modified>
</cp:coreProperties>
</file>