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426"/>
        </w:tabs>
        <w:jc w:val="center"/>
        <w:rPr>
          <w:b/>
          <w:color w:val="000000" w:themeColor="text1"/>
          <w:sz w:val="22"/>
          <w:szCs w:val="22"/>
          <w:lang w:eastAsia="zh-CN"/>
        </w:rPr>
      </w:pPr>
      <w:r>
        <w:rPr>
          <w:b/>
          <w:color w:val="000000" w:themeColor="text1"/>
          <w:sz w:val="22"/>
          <w:szCs w:val="22"/>
          <w:lang w:eastAsia="zh-CN"/>
        </w:rPr>
        <w:t xml:space="preserve">ТЕХНИЧЕСКОЕ ЗАДАНИЕ</w:t>
      </w:r>
    </w:p>
    <w:p>
      <w:pPr>
        <w:tabs>
          <w:tab w:val="left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поставку программного обеспечения и предоставление неисключительных прав на его использование</w:t>
      </w:r>
    </w:p>
    <w:p>
      <w:pPr>
        <w:tabs>
          <w:tab w:val="left" w:pos="426"/>
        </w:tabs>
        <w:jc w:val="center"/>
        <w:rPr>
          <w:sz w:val="22"/>
          <w:szCs w:val="22"/>
        </w:rPr>
      </w:pPr>
    </w:p>
    <w:tbl>
      <w:tblPr>
        <w:tblStyle w:val="a5"/>
        <w:tblW w:w="9964" w:type="dxa"/>
        <w:tblLook w:val="04A0" w:firstRow="1" w:lastRow="0" w:firstColumn="1" w:lastColumn="0" w:noHBand="0" w:noVBand="1"/>
      </w:tblPr>
      <w:tblGrid>
        <w:gridCol w:w="570"/>
        <w:gridCol w:w="1406"/>
        <w:gridCol w:w="2414"/>
        <w:gridCol w:w="1944"/>
        <w:gridCol w:w="1771"/>
        <w:gridCol w:w="1859"/>
      </w:tblGrid>
      <w:tr>
        <w:trPr>
          <w:trHeight w:val="345"/>
        </w:trPr>
        <w:tc>
          <w:tcPr>
            <w:tcW w:w="570" w:type="dxa"/>
            <w:vMerge w:val="restart"/>
            <w:hideMark/>
          </w:tcPr>
          <w:p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п/п</w:t>
            </w:r>
          </w:p>
        </w:tc>
        <w:tc>
          <w:tcPr>
            <w:tcW w:w="1406" w:type="dxa"/>
            <w:vMerge w:val="restart"/>
            <w:hideMark/>
          </w:tcPr>
          <w:p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Код</w:t>
            </w:r>
          </w:p>
        </w:tc>
        <w:tc>
          <w:tcPr>
            <w:tcW w:w="2414" w:type="dxa"/>
            <w:vMerge w:val="restart"/>
            <w:hideMark/>
          </w:tcPr>
          <w:p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</w:t>
            </w:r>
          </w:p>
        </w:tc>
        <w:tc>
          <w:tcPr>
            <w:tcW w:w="5574" w:type="dxa"/>
            <w:gridSpan w:val="3"/>
            <w:hideMark/>
          </w:tcPr>
          <w:p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Национальный режим</w:t>
            </w:r>
          </w:p>
        </w:tc>
      </w:tr>
      <w:tr>
        <w:trPr>
          <w:trHeight w:val="345"/>
        </w:trPr>
        <w:tc>
          <w:tcPr>
            <w:tcW w:w="570" w:type="dxa"/>
            <w:vMerge w:val="continue"/>
            <w:hideMark/>
          </w:tcPr>
          <w:p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  <w:vMerge w:val="continue"/>
            <w:hideMark/>
          </w:tcPr>
          <w:p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4" w:type="dxa"/>
            <w:vMerge w:val="continue"/>
            <w:hideMark/>
          </w:tcPr>
          <w:p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4" w:type="dxa"/>
            <w:hideMark/>
          </w:tcPr>
          <w:p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1875 (Запрет)</w:t>
            </w:r>
          </w:p>
        </w:tc>
        <w:tc>
          <w:tcPr>
            <w:tcW w:w="1771" w:type="dxa"/>
            <w:hideMark/>
          </w:tcPr>
          <w:p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1875 (Ограничение)</w:t>
            </w:r>
          </w:p>
        </w:tc>
        <w:tc>
          <w:tcPr>
            <w:tcW w:w="1859" w:type="dxa"/>
            <w:hideMark/>
          </w:tcPr>
          <w:p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1875 (Преимущество)</w:t>
            </w:r>
          </w:p>
        </w:tc>
      </w:tr>
      <w:tr>
        <w:trPr>
          <w:trHeight w:val="945"/>
        </w:trPr>
        <w:tc>
          <w:tcPr>
            <w:tcW w:w="570" w:type="dxa"/>
            <w:hideMark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406" w:type="dxa"/>
            <w:hideMark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62.01.29.000</w:t>
            </w:r>
          </w:p>
        </w:tc>
        <w:tc>
          <w:tcPr>
            <w:tcW w:w="2414" w:type="dxa"/>
            <w:hideMark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 прав на использование программы Средство анализа защищенности </w:t>
            </w:r>
            <w:r>
              <w:rPr>
                <w:sz w:val="22"/>
                <w:szCs w:val="22"/>
              </w:rPr>
              <w:t xml:space="preserve">RedCheck</w:t>
            </w:r>
            <w:r>
              <w:rPr>
                <w:sz w:val="22"/>
                <w:szCs w:val="22"/>
              </w:rPr>
              <w:t xml:space="preserve">, редакция </w:t>
            </w:r>
            <w:r>
              <w:rPr>
                <w:sz w:val="22"/>
                <w:szCs w:val="22"/>
              </w:rPr>
              <w:t xml:space="preserve">Base</w:t>
            </w:r>
            <w:r>
              <w:rPr>
                <w:sz w:val="22"/>
                <w:szCs w:val="22"/>
              </w:rPr>
              <w:t xml:space="preserve"> на 1 IP-адрес на 1 год (</w:t>
            </w:r>
            <w:r>
              <w:rPr>
                <w:sz w:val="22"/>
                <w:szCs w:val="22"/>
              </w:rPr>
              <w:t xml:space="preserve">3..</w:t>
            </w:r>
            <w:r>
              <w:rPr>
                <w:sz w:val="22"/>
                <w:szCs w:val="22"/>
              </w:rPr>
              <w:t xml:space="preserve">7)</w:t>
            </w:r>
          </w:p>
        </w:tc>
        <w:tc>
          <w:tcPr>
            <w:tcW w:w="1944" w:type="dxa"/>
            <w:hideMark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Применено</w:t>
            </w:r>
            <w:r>
              <w:rPr>
                <w:sz w:val="22"/>
                <w:szCs w:val="22"/>
              </w:rPr>
              <w:br/>
              <w:t xml:space="preserve">поз. 146 - Программа для электронной вычислительной машины и (или) базы данных</w:t>
            </w:r>
          </w:p>
        </w:tc>
        <w:tc>
          <w:tcPr>
            <w:tcW w:w="1771" w:type="dxa"/>
            <w:hideMark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hideMark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</w:tr>
      <w:tr>
        <w:trPr>
          <w:trHeight w:val="945"/>
        </w:trPr>
        <w:tc>
          <w:tcPr>
            <w:tcW w:w="570" w:type="dxa"/>
            <w:hideMark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406" w:type="dxa"/>
            <w:hideMark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62.01.29.000</w:t>
            </w:r>
          </w:p>
        </w:tc>
        <w:tc>
          <w:tcPr>
            <w:tcW w:w="2414" w:type="dxa"/>
            <w:hideMark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Медиа-комплект для сертифицированной версии программы Средство анализа защищенности </w:t>
            </w:r>
            <w:r>
              <w:rPr>
                <w:sz w:val="22"/>
                <w:szCs w:val="22"/>
              </w:rPr>
              <w:t xml:space="preserve">RedCheck</w:t>
            </w:r>
          </w:p>
        </w:tc>
        <w:tc>
          <w:tcPr>
            <w:tcW w:w="1944" w:type="dxa"/>
            <w:hideMark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Применено</w:t>
            </w:r>
            <w:r>
              <w:rPr>
                <w:sz w:val="22"/>
                <w:szCs w:val="22"/>
              </w:rPr>
              <w:br/>
              <w:t xml:space="preserve">поз. 146 - Программа для электронной вычислительной машины и (или) базы данных</w:t>
            </w:r>
          </w:p>
        </w:tc>
        <w:tc>
          <w:tcPr>
            <w:tcW w:w="1771" w:type="dxa"/>
            <w:hideMark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hideMark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</w:tr>
    </w:tbl>
    <w:p>
      <w:pPr>
        <w:tabs>
          <w:tab w:val="left" w:pos="426"/>
        </w:tabs>
        <w:jc w:val="center"/>
        <w:rPr>
          <w:sz w:val="22"/>
          <w:szCs w:val="22"/>
        </w:rPr>
      </w:pPr>
    </w:p>
    <w:p>
      <w:pPr>
        <w:pStyle w:val="a3"/>
        <w:numPr>
          <w:numId w:val="1"/>
          <w:ilvl w:val="0"/>
        </w:numPr>
        <w:tabs>
          <w:tab w:val="left" w:pos="426"/>
          <w:tab w:val="left" w:pos="1069"/>
        </w:tabs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Общие положения</w:t>
      </w:r>
    </w:p>
    <w:p>
      <w:pPr>
        <w:tabs>
          <w:tab w:val="left" w:pos="426"/>
          <w:tab w:val="left" w:pos="1418"/>
        </w:tabs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Лицензиар (поставщик) передают лицензиару программное обеспечение, в соответствии с приложенной таблицей, а также в соответствии с условиями предоставления неисключительных (пользовательских) прав на поставку программного обеспечения.</w:t>
      </w:r>
    </w:p>
    <w:p>
      <w:pPr>
        <w:tabs>
          <w:tab w:val="left" w:pos="426"/>
          <w:tab w:val="left" w:pos="1418"/>
        </w:tabs>
        <w:contextualSpacing/>
        <w:jc w:val="both"/>
        <w:rPr>
          <w:sz w:val="22"/>
          <w:szCs w:val="22"/>
        </w:rPr>
      </w:pP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70"/>
        <w:gridCol w:w="3353"/>
        <w:gridCol w:w="3911"/>
        <w:gridCol w:w="702"/>
        <w:gridCol w:w="840"/>
        <w:gridCol w:w="236"/>
      </w:tblGrid>
      <w:tr>
        <w:trPr>
          <w:gridAfter w:val="1"/>
          <w:trHeight w:val="240"/>
          <w:tblHeader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tabs>
                <w:tab w:val="left" w:pos="426"/>
              </w:tabs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п/п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tabs>
                <w:tab w:val="left" w:pos="426"/>
              </w:tabs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6"/>
              </w:tabs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и функциональные характеристики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6"/>
              </w:tabs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Ед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  <w:r>
              <w:rPr>
                <w:b/>
                <w:bCs/>
                <w:sz w:val="22"/>
                <w:szCs w:val="22"/>
              </w:rPr>
              <w:t xml:space="preserve"> изм.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tabs>
                <w:tab w:val="left" w:pos="426"/>
              </w:tabs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 ед.</w:t>
            </w:r>
          </w:p>
        </w:tc>
      </w:tr>
      <w:tr>
        <w:trPr>
          <w:trHeight w:val="20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 прав на использование программы Средство анализа защищенности </w:t>
            </w:r>
            <w:r>
              <w:rPr>
                <w:sz w:val="22"/>
                <w:szCs w:val="22"/>
              </w:rPr>
              <w:t xml:space="preserve">RedCheck</w:t>
            </w:r>
            <w:r>
              <w:rPr>
                <w:sz w:val="22"/>
                <w:szCs w:val="22"/>
              </w:rPr>
              <w:t xml:space="preserve">, редакция </w:t>
            </w:r>
            <w:r>
              <w:rPr>
                <w:sz w:val="22"/>
                <w:szCs w:val="22"/>
              </w:rPr>
              <w:t xml:space="preserve">Base</w:t>
            </w:r>
            <w:r>
              <w:rPr>
                <w:sz w:val="22"/>
                <w:szCs w:val="22"/>
              </w:rPr>
              <w:t xml:space="preserve"> на 1 IP-адрес на 1 год (</w:t>
            </w:r>
            <w:r>
              <w:rPr>
                <w:sz w:val="22"/>
                <w:szCs w:val="22"/>
              </w:rPr>
              <w:t xml:space="preserve">3..</w:t>
            </w:r>
            <w:r>
              <w:rPr>
                <w:sz w:val="22"/>
                <w:szCs w:val="22"/>
              </w:rPr>
              <w:t xml:space="preserve">7)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Cs/>
                <w:sz w:val="22"/>
                <w:szCs w:val="22"/>
                <w14:ligatures w14:val="standardContextual"/>
              </w:rPr>
            </w:pPr>
            <w:r>
              <w:rPr>
                <w:bCs/>
                <w:sz w:val="22"/>
                <w:szCs w:val="22"/>
                <w14:ligatures w14:val="standardContextual"/>
              </w:rPr>
              <w:t xml:space="preserve">Язык: Русский</w:t>
            </w:r>
          </w:p>
          <w:p>
            <w:pPr>
              <w:rPr>
                <w:bCs/>
                <w:sz w:val="22"/>
                <w:szCs w:val="22"/>
                <w14:ligatures w14:val="standardContextual"/>
              </w:rPr>
            </w:pPr>
            <w:r>
              <w:rPr>
                <w:bCs/>
                <w:sz w:val="22"/>
                <w:szCs w:val="22"/>
                <w14:ligatures w14:val="standardContextual"/>
              </w:rPr>
              <w:t xml:space="preserve">Тип поставки: Электронная</w:t>
            </w:r>
          </w:p>
          <w:p>
            <w:pPr>
              <w:rPr>
                <w:bCs/>
                <w:sz w:val="22"/>
                <w:szCs w:val="22"/>
                <w14:ligatures w14:val="standardContextual"/>
              </w:rPr>
            </w:pPr>
            <w:r>
              <w:rPr>
                <w:bCs/>
                <w:sz w:val="22"/>
                <w:szCs w:val="22"/>
                <w14:ligatures w14:val="standardContextual"/>
              </w:rPr>
              <w:t xml:space="preserve">Совместимость с ОС: </w:t>
            </w:r>
            <w:r>
              <w:rPr>
                <w:bCs/>
                <w:sz w:val="22"/>
                <w:szCs w:val="22"/>
                <w14:ligatures w14:val="standardContextual"/>
              </w:rPr>
              <w:t xml:space="preserve">Windows</w:t>
            </w:r>
            <w:r>
              <w:rPr>
                <w:bCs/>
                <w:sz w:val="22"/>
                <w:szCs w:val="22"/>
                <w14:ligatures w14:val="standardContextual"/>
              </w:rPr>
              <w:t xml:space="preserve">, </w:t>
            </w:r>
            <w:r>
              <w:rPr>
                <w:bCs/>
                <w:sz w:val="22"/>
                <w:szCs w:val="22"/>
                <w14:ligatures w14:val="standardContextual"/>
              </w:rPr>
              <w:t xml:space="preserve">Linux</w:t>
            </w:r>
          </w:p>
          <w:p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14:ligatures w14:val="standardContextual"/>
              </w:rPr>
              <w:t xml:space="preserve">Техподдержка у лицензии: Наличие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236" w:type="dxa"/>
            <w:tcBorders>
              <w:left w:val="single" w:color="000000" w:sz="4" w:space="0"/>
            </w:tcBorders>
          </w:tcPr>
          <w:p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>
        <w:trPr>
          <w:trHeight w:val="20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Медиа-комплект для сертифицированной версии программы Средство анализа защищенности </w:t>
            </w:r>
            <w:r>
              <w:rPr>
                <w:sz w:val="22"/>
                <w:szCs w:val="22"/>
              </w:rPr>
              <w:t xml:space="preserve">RedCheck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Cs/>
                <w:sz w:val="22"/>
                <w:szCs w:val="22"/>
                <w14:ligatures w14:val="standardContextual"/>
              </w:rPr>
            </w:pPr>
            <w:r>
              <w:rPr>
                <w:bCs/>
                <w:sz w:val="22"/>
                <w:szCs w:val="22"/>
                <w14:ligatures w14:val="standardContextual"/>
              </w:rPr>
              <w:t xml:space="preserve">Язык: Русский</w:t>
            </w:r>
          </w:p>
          <w:p>
            <w:pPr>
              <w:rPr>
                <w:bCs/>
                <w:sz w:val="22"/>
                <w:szCs w:val="22"/>
                <w14:ligatures w14:val="standardContextual"/>
              </w:rPr>
            </w:pPr>
            <w:r>
              <w:rPr>
                <w:bCs/>
                <w:sz w:val="22"/>
                <w:szCs w:val="22"/>
                <w14:ligatures w14:val="standardContextual"/>
              </w:rPr>
              <w:t xml:space="preserve">Тип поставки: Электронная</w:t>
            </w:r>
          </w:p>
          <w:p>
            <w:pPr>
              <w:rPr>
                <w:bCs/>
                <w:sz w:val="22"/>
                <w:szCs w:val="22"/>
                <w14:ligatures w14:val="standardContextual"/>
              </w:rPr>
            </w:pPr>
            <w:r>
              <w:rPr>
                <w:bCs/>
                <w:sz w:val="22"/>
                <w:szCs w:val="22"/>
                <w14:ligatures w14:val="standardContextual"/>
              </w:rPr>
              <w:t xml:space="preserve">Совместимость с ОС: </w:t>
            </w:r>
            <w:r>
              <w:rPr>
                <w:bCs/>
                <w:sz w:val="22"/>
                <w:szCs w:val="22"/>
                <w14:ligatures w14:val="standardContextual"/>
              </w:rPr>
              <w:t xml:space="preserve">Windows</w:t>
            </w:r>
            <w:r>
              <w:rPr>
                <w:bCs/>
                <w:sz w:val="22"/>
                <w:szCs w:val="22"/>
                <w14:ligatures w14:val="standardContextual"/>
              </w:rPr>
              <w:t xml:space="preserve">, </w:t>
            </w:r>
            <w:r>
              <w:rPr>
                <w:bCs/>
                <w:sz w:val="22"/>
                <w:szCs w:val="22"/>
                <w14:ligatures w14:val="standardContextual"/>
              </w:rPr>
              <w:t xml:space="preserve">Linux</w:t>
            </w:r>
          </w:p>
          <w:p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14:ligatures w14:val="standardContextual"/>
              </w:rPr>
              <w:t xml:space="preserve">Техподдержка у лицензии: Наличие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236" w:type="dxa"/>
            <w:tcBorders>
              <w:left w:val="single" w:color="000000" w:sz="4" w:space="0"/>
            </w:tcBorders>
          </w:tcPr>
          <w:p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</w:tbl>
    <w:p>
      <w:pPr>
        <w:tabs>
          <w:tab w:val="left" w:pos="426"/>
          <w:tab w:val="left" w:pos="1418"/>
        </w:tabs>
        <w:contextualSpacing/>
        <w:jc w:val="both"/>
        <w:rPr>
          <w:sz w:val="22"/>
          <w:szCs w:val="22"/>
        </w:rPr>
      </w:pPr>
    </w:p>
    <w:p>
      <w:pPr>
        <w:pStyle w:val="a3"/>
        <w:numPr>
          <w:numId w:val="1"/>
          <w:ilvl w:val="0"/>
        </w:numPr>
        <w:tabs>
          <w:tab w:val="left" w:pos="426"/>
          <w:tab w:val="left" w:pos="1418"/>
        </w:tabs>
        <w:ind w:left="0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Место поставки:</w:t>
      </w:r>
      <w:r>
        <w:rPr>
          <w:sz w:val="22"/>
          <w:szCs w:val="22"/>
        </w:rPr>
        <w:t xml:space="preserve"> г. Петропавловск-Камчатский, ул. Ленинская, д. 59, 9 этаж.</w:t>
      </w:r>
    </w:p>
    <w:p>
      <w:pPr>
        <w:pStyle w:val="a3"/>
        <w:numPr>
          <w:numId w:val="1"/>
          <w:ilvl w:val="0"/>
        </w:numPr>
        <w:tabs>
          <w:tab w:val="left" w:pos="426"/>
          <w:tab w:val="left" w:pos="1418"/>
        </w:tabs>
        <w:ind w:left="0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Срок поставки:</w:t>
      </w:r>
      <w:r>
        <w:rPr>
          <w:sz w:val="22"/>
          <w:szCs w:val="22"/>
        </w:rPr>
        <w:t xml:space="preserve"> в течении 15 календарных дней с момента заключения договора.</w:t>
      </w:r>
    </w:p>
    <w:p>
      <w:pPr>
        <w:pStyle w:val="a3"/>
        <w:numPr>
          <w:numId w:val="1"/>
          <w:ilvl w:val="0"/>
        </w:numPr>
        <w:tabs>
          <w:tab w:val="left" w:pos="426"/>
          <w:tab w:val="left" w:pos="1418"/>
        </w:tabs>
        <w:ind w:left="0" w:firstLine="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Требования к качеству, безопасности, сроку и (или) объему предоставления гарантий качества ПО:</w:t>
      </w:r>
    </w:p>
    <w:p>
      <w:pPr>
        <w:tabs>
          <w:tab w:val="left" w:pos="426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</w:t>
      </w:r>
      <w:r>
        <w:rPr>
          <w:sz w:val="22"/>
          <w:szCs w:val="22"/>
        </w:rPr>
        <w:t xml:space="preserve">Программное обеспечение </w:t>
      </w:r>
      <w:r>
        <w:rPr>
          <w:color w:val="000000"/>
          <w:sz w:val="22"/>
          <w:szCs w:val="22"/>
        </w:rPr>
        <w:t xml:space="preserve">должно соответствовать заданным функциональным и качественным характеристикам; </w:t>
      </w:r>
    </w:p>
    <w:p>
      <w:pPr>
        <w:tabs>
          <w:tab w:val="left" w:pos="426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4.2. Использование Заказчиком программного обеспечения допускается на всей территории Российской Федерации и должно быть разрешено к использованию на территории Российской Федерации, качество полностью соответствует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ПО);</w:t>
      </w:r>
    </w:p>
    <w:p>
      <w:pPr>
        <w:tabs>
          <w:tab w:val="left" w:pos="426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4.3. Передаваемое право на использование программного обеспечения должно быть свободным от любых прав третьих лиц, данные права не заложены, не арестованы, не являются предметом исков третьих лиц, и являются лицензионным продуктом;</w:t>
      </w:r>
    </w:p>
    <w:p>
      <w:p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4.4. Предоставляемое право предусматривает право использования программного обеспечения и включает в себя право на воспроизведение, инсталляцию (установку и размещение), копирование и запуск </w:t>
      </w:r>
      <w:r>
        <w:rPr>
          <w:color w:val="000000"/>
          <w:sz w:val="22"/>
          <w:szCs w:val="22"/>
        </w:rPr>
        <w:t xml:space="preserve">(выполнение программного кода программного обеспечения) и использование программного обеспечения в соответствии с его функциональным назначением;</w:t>
      </w:r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4.5. </w:t>
      </w:r>
      <w:r>
        <w:rPr>
          <w:color w:val="000000"/>
          <w:sz w:val="22"/>
          <w:szCs w:val="22"/>
        </w:rPr>
        <w:t xml:space="preserve">Гарантийные обязательства распространяется с момента приемки ПО Заказчиком. Гарантийный срок составляет не менее срока годности, установленного изготовителем (производителем). В течение гарантийного срока обнаруженные недостатки подлежат устранению силами и средствами Исполнителя.</w:t>
      </w:r>
    </w:p>
    <w:p>
      <w:pPr>
        <w:tabs>
          <w:tab w:val="left" w:pos="426"/>
          <w:tab w:val="left" w:pos="1418"/>
        </w:tabs>
        <w:contextualSpacing/>
        <w:jc w:val="both"/>
        <w:rPr>
          <w:sz w:val="22"/>
          <w:szCs w:val="22"/>
        </w:rPr>
      </w:pPr>
    </w:p>
    <w:p>
      <w:pPr>
        <w:pStyle w:val="a3"/>
        <w:numPr>
          <w:numId w:val="2"/>
          <w:ilvl w:val="0"/>
        </w:numPr>
        <w:tabs>
          <w:tab w:val="left" w:pos="426"/>
          <w:tab w:val="left" w:pos="1069"/>
        </w:tabs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Требования к безопасности оказания услуг</w:t>
      </w:r>
    </w:p>
    <w:p>
      <w:pPr>
        <w:pStyle w:val="a3"/>
        <w:numPr>
          <w:numId w:val="2"/>
          <w:ilvl w:val="1"/>
        </w:numPr>
        <w:tabs>
          <w:tab w:val="left" w:pos="426"/>
          <w:tab w:val="left" w:pos="1418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Программное обеспечение не должно приводить к нарушению работоспособности имеющихся компьютерных сервисов (программ) или ухудшению эксплуатационных характеристик программного и аппаратного обеспечения защищаемых объектов, эксплуатируемых Лицензиатом.</w:t>
      </w:r>
    </w:p>
    <w:p>
      <w:pPr>
        <w:tabs>
          <w:tab w:val="left" w:pos="426"/>
          <w:tab w:val="left" w:pos="1418"/>
        </w:tabs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sz w:val="22"/>
          <w:szCs w:val="22"/>
        </w:rPr>
        <w:t xml:space="preserve">Лицензиар обязан не осуществлять несанкционированный доступ к информационным ресурсам объектов информатизации Лицензиата. Лицензиар обязан не проводить противозаконные действия по сбору, использованию и передаче третьей стороне информации Лицензиата, циркулирующей и хранящейся на объектах автоматизации.</w:t>
      </w:r>
    </w:p>
    <w:p>
      <w:pPr>
        <w:tabs>
          <w:tab w:val="left" w:pos="426"/>
        </w:tabs>
        <w:rPr>
          <w:b/>
          <w:bCs/>
          <w:sz w:val="22"/>
          <w:szCs w:val="22"/>
        </w:rPr>
      </w:pPr>
    </w:p>
    <w:p>
      <w:pPr>
        <w:tabs>
          <w:tab w:val="left" w:pos="426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</w:t>
      </w:r>
      <w:r>
        <w:rPr>
          <w:b/>
          <w:bCs/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Общие требования к поставке и безопасности Программы для ЭВМ</w:t>
      </w:r>
    </w:p>
    <w:p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 Качество переданной программе для ЭВМ должно соответствовать требованиям настоящего ТЗ и требованиям, предъявленным к качеству данного вида лицензии.</w:t>
      </w:r>
    </w:p>
    <w:p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.2. В процессе исполнения обязательств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 г. № 152-ФЗ «О персональных данных»;</w:t>
      </w:r>
    </w:p>
    <w:p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Федеральный закон от 27 июля 2006 года № 149-ФЗ «Об информации, информационных технологиях и о защите информации»;</w:t>
      </w:r>
    </w:p>
    <w:p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Постановление Правительства Российской Федерации от 01 ноября 2012 года № 1119 «Об утверждении требований к защите персональных данных при их обработке в информационных системах персональных данных».</w:t>
      </w:r>
    </w:p>
    <w:p>
      <w:pPr>
        <w:tabs>
          <w:tab w:val="left" w:pos="426"/>
        </w:tabs>
        <w:rPr>
          <w:sz w:val="22"/>
          <w:szCs w:val="22"/>
        </w:rPr>
      </w:pPr>
    </w:p>
    <w:sectPr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styleId="a4" w:customStyle="1">
    <w:name w:val="Абзац списка Знак"/>
    <w:link w:val="a3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3802</Characters>
  <CharactersWithSpaces>4460</CharactersWithSpaces>
  <Company/>
  <DocSecurity>0</DocSecurity>
  <HyperlinksChanged>false</HyperlinksChanged>
  <Lines>31</Lines>
  <LinksUpToDate>false</LinksUpToDate>
  <Pages>2</Pages>
  <Paragraphs>8</Paragraphs>
  <ScaleCrop>false</ScaleCrop>
  <SharedDoc>false</SharedDoc>
  <Template>Normal</Template>
  <TotalTime>10</TotalTime>
  <Words>666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cp:keywords/>
  <dc:description/>
  <cp:lastModifiedBy>User</cp:lastModifiedBy>
  <cp:revision>1</cp:revision>
  <dcterms:created xsi:type="dcterms:W3CDTF">2026-05-26T05:35:00Z</dcterms:created>
  <dcterms:modified xsi:type="dcterms:W3CDTF">2026-05-26T05:50:00Z</dcterms:modified>
</cp:coreProperties>
</file>