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widowControl w:val="0"/>
        <w:spacing w:after="0" w:line="240" w:lineRule="auto"/>
        <w:ind w:firstLine="709" w:left="0"/>
        <w:jc w:val="both"/>
        <w:rPr>
          <w:rFonts w:ascii="Times New Roman" w:hAnsi="Times New Roman"/>
        </w:rPr>
      </w:pPr>
    </w:p>
    <w:p w14:paraId="05000000">
      <w:pPr>
        <w:widowControl w:val="0"/>
        <w:spacing w:after="0" w:line="240" w:lineRule="auto"/>
        <w:ind w:firstLine="709" w:left="0"/>
        <w:jc w:val="both"/>
        <w:rPr>
          <w:rFonts w:ascii="Times New Roman" w:hAnsi="Times New Roman"/>
          <w:b w:val="1"/>
        </w:rPr>
      </w:pPr>
    </w:p>
    <w:p w14:paraId="06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p>
    <w:p w14:paraId="07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У Т В Е Р Ж Д А Ю:</w:t>
      </w:r>
    </w:p>
    <w:p w14:paraId="08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Заведующий</w:t>
      </w:r>
    </w:p>
    <w:p w14:paraId="09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МАДОУ «Д​⁠етский сад № 2» ГО ЗАТО Межгорье</w:t>
      </w:r>
    </w:p>
    <w:p w14:paraId="0A000000">
      <w:pPr>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529" w:val="left"/>
          <w:tab w:leader="none" w:pos="7363" w:val="left"/>
          <w:tab w:leader="none" w:pos="7930" w:val="left"/>
          <w:tab w:leader="none" w:pos="8496" w:val="left"/>
          <w:tab w:leader="none" w:pos="9063" w:val="left"/>
        </w:tabs>
        <w:spacing w:after="0" w:line="240" w:lineRule="auto"/>
        <w:ind w:firstLine="0" w:left="5670"/>
        <w:contextualSpacing w:val="1"/>
        <w:jc w:val="right"/>
        <w:rPr>
          <w:rFonts w:ascii="Times New Roman" w:hAnsi="Times New Roman"/>
          <w:b w:val="1"/>
        </w:rPr>
      </w:pPr>
      <w:r>
        <w:rPr>
          <w:rFonts w:ascii="Times New Roman" w:hAnsi="Times New Roman"/>
          <w:b w:val="1"/>
        </w:rPr>
        <w:t>Республики Башкортостан</w:t>
      </w:r>
    </w:p>
    <w:p w14:paraId="0B000000">
      <w:pPr>
        <w:widowControl w:val="0"/>
        <w:tabs>
          <w:tab w:leader="none" w:pos="247" w:val="left"/>
          <w:tab w:leader="none" w:pos="1130" w:val="left"/>
        </w:tabs>
        <w:spacing w:after="0" w:line="240" w:lineRule="auto"/>
        <w:ind w:firstLine="0" w:left="5670"/>
        <w:contextualSpacing w:val="1"/>
        <w:jc w:val="right"/>
        <w:rPr>
          <w:rFonts w:ascii="Times New Roman" w:hAnsi="Times New Roman"/>
          <w:b w:val="1"/>
        </w:rPr>
      </w:pPr>
      <w:r>
        <w:rPr>
          <w:rStyle w:val="Style_2_ch"/>
          <w:b w:val="1"/>
        </w:rPr>
        <w:t>11.06.2026</w:t>
      </w:r>
    </w:p>
    <w:p w14:paraId="0C000000">
      <w:pPr>
        <w:widowControl w:val="0"/>
        <w:spacing w:after="0" w:line="240" w:lineRule="auto"/>
        <w:ind w:firstLine="5812" w:left="7088"/>
        <w:jc w:val="both"/>
        <w:rPr>
          <w:rFonts w:ascii="Times New Roman" w:hAnsi="Times New Roman"/>
        </w:rPr>
      </w:pPr>
    </w:p>
    <w:p w14:paraId="0D000000">
      <w:pPr>
        <w:widowControl w:val="0"/>
        <w:spacing w:after="0" w:line="240" w:lineRule="auto"/>
        <w:ind w:firstLine="0" w:left="456"/>
        <w:jc w:val="both"/>
        <w:rPr>
          <w:rFonts w:ascii="Times New Roman" w:hAnsi="Times New Roman"/>
        </w:rPr>
      </w:pPr>
    </w:p>
    <w:p w14:paraId="0E000000">
      <w:pPr>
        <w:widowControl w:val="0"/>
        <w:spacing w:after="0" w:line="240" w:lineRule="auto"/>
        <w:ind/>
        <w:jc w:val="center"/>
        <w:rPr>
          <w:rFonts w:ascii="Times New Roman" w:hAnsi="Times New Roman"/>
          <w:b w:val="1"/>
        </w:rPr>
      </w:pPr>
    </w:p>
    <w:p w14:paraId="0F000000">
      <w:pPr>
        <w:widowControl w:val="0"/>
        <w:spacing w:after="0" w:line="240" w:lineRule="auto"/>
        <w:ind/>
        <w:jc w:val="center"/>
        <w:rPr>
          <w:rFonts w:ascii="Times New Roman" w:hAnsi="Times New Roman"/>
          <w:b w:val="1"/>
        </w:rPr>
      </w:pPr>
    </w:p>
    <w:p w14:paraId="10000000">
      <w:pPr>
        <w:widowControl w:val="0"/>
        <w:spacing w:after="0" w:line="240" w:lineRule="auto"/>
        <w:ind/>
        <w:jc w:val="center"/>
        <w:rPr>
          <w:rFonts w:ascii="Times New Roman" w:hAnsi="Times New Roman"/>
          <w:b w:val="1"/>
        </w:rPr>
      </w:pPr>
    </w:p>
    <w:p w14:paraId="11000000">
      <w:pPr>
        <w:widowControl w:val="0"/>
        <w:spacing w:after="0" w:line="240" w:lineRule="auto"/>
        <w:ind/>
        <w:jc w:val="center"/>
        <w:rPr>
          <w:rFonts w:ascii="Times New Roman" w:hAnsi="Times New Roman"/>
          <w:b w:val="1"/>
        </w:rPr>
      </w:pPr>
    </w:p>
    <w:p w14:paraId="12000000">
      <w:pPr>
        <w:widowControl w:val="0"/>
        <w:spacing w:after="0" w:line="240" w:lineRule="auto"/>
        <w:ind/>
        <w:jc w:val="center"/>
        <w:rPr>
          <w:rFonts w:ascii="Times New Roman" w:hAnsi="Times New Roman"/>
          <w:b w:val="1"/>
        </w:rPr>
      </w:pPr>
    </w:p>
    <w:p w14:paraId="13000000">
      <w:pPr>
        <w:widowControl w:val="0"/>
        <w:spacing w:after="0" w:line="240" w:lineRule="auto"/>
        <w:ind/>
        <w:jc w:val="center"/>
        <w:rPr>
          <w:rFonts w:ascii="Times New Roman" w:hAnsi="Times New Roman"/>
          <w:b w:val="1"/>
        </w:rPr>
      </w:pPr>
    </w:p>
    <w:p w14:paraId="14000000">
      <w:pPr>
        <w:widowControl w:val="0"/>
        <w:spacing w:after="0" w:line="240" w:lineRule="auto"/>
        <w:ind/>
        <w:jc w:val="center"/>
        <w:rPr>
          <w:rFonts w:ascii="Times New Roman" w:hAnsi="Times New Roman"/>
          <w:b w:val="1"/>
        </w:rPr>
      </w:pPr>
    </w:p>
    <w:p w14:paraId="15000000">
      <w:pPr>
        <w:widowControl w:val="0"/>
        <w:spacing w:after="0" w:line="240" w:lineRule="auto"/>
        <w:ind/>
        <w:jc w:val="center"/>
        <w:rPr>
          <w:rFonts w:ascii="Times New Roman" w:hAnsi="Times New Roman"/>
          <w:b w:val="1"/>
        </w:rPr>
      </w:pPr>
    </w:p>
    <w:p w14:paraId="16000000">
      <w:pPr>
        <w:widowControl w:val="0"/>
        <w:spacing w:after="0" w:line="240" w:lineRule="auto"/>
        <w:ind/>
        <w:jc w:val="center"/>
        <w:rPr>
          <w:rFonts w:ascii="Times New Roman" w:hAnsi="Times New Roman"/>
          <w:b w:val="1"/>
        </w:rPr>
      </w:pPr>
    </w:p>
    <w:p w14:paraId="17000000">
      <w:pPr>
        <w:widowControl w:val="0"/>
        <w:spacing w:after="0" w:line="240" w:lineRule="auto"/>
        <w:ind/>
        <w:jc w:val="center"/>
        <w:rPr>
          <w:rFonts w:ascii="Times New Roman" w:hAnsi="Times New Roman"/>
          <w:b w:val="1"/>
        </w:rPr>
      </w:pPr>
    </w:p>
    <w:p w14:paraId="18000000">
      <w:pPr>
        <w:widowControl w:val="0"/>
        <w:spacing w:after="0" w:line="240" w:lineRule="auto"/>
        <w:ind/>
        <w:jc w:val="center"/>
        <w:rPr>
          <w:rFonts w:ascii="Times New Roman" w:hAnsi="Times New Roman"/>
          <w:b w:val="1"/>
        </w:rPr>
      </w:pPr>
    </w:p>
    <w:p w14:paraId="19000000">
      <w:pPr>
        <w:widowControl w:val="0"/>
        <w:spacing w:after="0" w:line="240" w:lineRule="auto"/>
        <w:ind/>
        <w:jc w:val="center"/>
        <w:rPr>
          <w:rFonts w:ascii="Times New Roman" w:hAnsi="Times New Roman"/>
          <w:b w:val="1"/>
        </w:rPr>
      </w:pPr>
    </w:p>
    <w:p w14:paraId="1A000000">
      <w:pPr>
        <w:widowControl w:val="0"/>
        <w:spacing w:after="0" w:line="240" w:lineRule="auto"/>
        <w:ind/>
        <w:jc w:val="center"/>
        <w:rPr>
          <w:rFonts w:ascii="Times New Roman" w:hAnsi="Times New Roman"/>
          <w:b w:val="1"/>
        </w:rPr>
      </w:pPr>
    </w:p>
    <w:p w14:paraId="1B000000">
      <w:pPr>
        <w:widowControl w:val="0"/>
        <w:spacing w:after="0" w:line="240" w:lineRule="auto"/>
        <w:ind/>
        <w:jc w:val="center"/>
        <w:rPr>
          <w:rFonts w:ascii="Times New Roman" w:hAnsi="Times New Roman"/>
          <w:b w:val="1"/>
        </w:rPr>
      </w:pPr>
    </w:p>
    <w:p w14:paraId="1C000000">
      <w:pPr>
        <w:widowControl w:val="0"/>
        <w:spacing w:after="0" w:line="240" w:lineRule="auto"/>
        <w:ind/>
        <w:jc w:val="center"/>
        <w:rPr>
          <w:rFonts w:ascii="Times New Roman" w:hAnsi="Times New Roman"/>
          <w:b w:val="1"/>
        </w:rPr>
      </w:pPr>
      <w:r>
        <w:rPr>
          <w:rFonts w:ascii="Times New Roman" w:hAnsi="Times New Roman"/>
          <w:b w:val="1"/>
        </w:rPr>
        <w:t>ИНФОРМАЦИОННАЯ КАРТА</w:t>
      </w:r>
    </w:p>
    <w:p w14:paraId="1D000000">
      <w:pPr>
        <w:widowControl w:val="0"/>
        <w:spacing w:after="0" w:line="240" w:lineRule="auto"/>
        <w:ind/>
        <w:jc w:val="center"/>
        <w:rPr>
          <w:rFonts w:ascii="Times New Roman" w:hAnsi="Times New Roman"/>
          <w:b w:val="1"/>
        </w:rPr>
      </w:pPr>
      <w:r>
        <w:rPr>
          <w:rFonts w:ascii="Times New Roman" w:hAnsi="Times New Roman"/>
          <w:b w:val="1"/>
        </w:rPr>
        <w:t xml:space="preserve">О ПРОВЕДЕНИИ </w:t>
      </w:r>
      <w:bookmarkStart w:id="1" w:name="OLE_LINK2"/>
      <w:bookmarkStart w:id="2" w:name="OLE_LINK7"/>
      <w:r>
        <w:rPr>
          <w:rFonts w:ascii="Times New Roman" w:hAnsi="Times New Roman"/>
          <w:b w:val="1"/>
        </w:rPr>
        <w:t>ЦЕНОВОГО ЗАПРОСА В ЭЛЕКТРОННОМ ВИДЕ, УЧАСТНИКАМИ КОТОРОГО МОГУТ БЫТЬ ТОЛЬКО СУБЪЕКТЫ МАЛОГО ИЛИ СРЕДНЕГО ПРЕДПРИНИМАТЕЛЬСТВА</w:t>
      </w:r>
      <w:bookmarkEnd w:id="1"/>
      <w:bookmarkEnd w:id="2"/>
    </w:p>
    <w:p w14:paraId="1E000000">
      <w:pPr>
        <w:ind/>
        <w:jc w:val="center"/>
        <w:rPr>
          <w:rFonts w:ascii="Times New Roman" w:hAnsi="Times New Roman"/>
          <w:b w:val="1"/>
          <w:color w:val="000000"/>
        </w:rPr>
      </w:pPr>
      <w:r>
        <w:rPr>
          <w:rFonts w:ascii="Times New Roman" w:hAnsi="Times New Roman"/>
          <w:b w:val="1"/>
          <w:color w:val="000000"/>
        </w:rPr>
        <w:t xml:space="preserve">на право заключения договора на </w:t>
      </w:r>
      <w:r>
        <w:rPr>
          <w:rFonts w:ascii="Times New Roman" w:hAnsi="Times New Roman"/>
          <w:b w:val="1"/>
          <w:color w:val="000000"/>
        </w:rPr>
        <w:t>оказание услуг по физической охране объектов МАДОУ Д.С. № 2 ЗАТО МЕЖГОРЬЕ РЕСПУБЛИКИ БАШКОРТОСТАН</w:t>
      </w:r>
    </w:p>
    <w:p w14:paraId="1F000000">
      <w:pPr>
        <w:widowControl w:val="0"/>
        <w:spacing w:after="0" w:line="240" w:lineRule="auto"/>
        <w:ind/>
        <w:jc w:val="center"/>
        <w:rPr>
          <w:rFonts w:ascii="Times New Roman" w:hAnsi="Times New Roman"/>
        </w:rPr>
      </w:pPr>
    </w:p>
    <w:p w14:paraId="20000000">
      <w:pPr>
        <w:widowControl w:val="0"/>
        <w:spacing w:after="0" w:line="240" w:lineRule="auto"/>
        <w:ind/>
        <w:jc w:val="both"/>
        <w:rPr>
          <w:rFonts w:ascii="Times New Roman" w:hAnsi="Times New Roman"/>
        </w:rPr>
      </w:pPr>
    </w:p>
    <w:p w14:paraId="21000000">
      <w:pPr>
        <w:widowControl w:val="0"/>
        <w:spacing w:after="0" w:line="240" w:lineRule="auto"/>
        <w:ind/>
        <w:jc w:val="both"/>
        <w:rPr>
          <w:rFonts w:ascii="Times New Roman" w:hAnsi="Times New Roman"/>
        </w:rPr>
      </w:pPr>
    </w:p>
    <w:p w14:paraId="22000000">
      <w:pPr>
        <w:widowControl w:val="0"/>
        <w:spacing w:after="0" w:line="240" w:lineRule="auto"/>
        <w:ind/>
        <w:jc w:val="both"/>
        <w:rPr>
          <w:rFonts w:ascii="Times New Roman" w:hAnsi="Times New Roman"/>
        </w:rPr>
      </w:pPr>
    </w:p>
    <w:p w14:paraId="23000000">
      <w:pPr>
        <w:widowControl w:val="0"/>
        <w:spacing w:after="0" w:line="240" w:lineRule="auto"/>
        <w:ind/>
        <w:jc w:val="both"/>
        <w:rPr>
          <w:rFonts w:ascii="Times New Roman" w:hAnsi="Times New Roman"/>
        </w:rPr>
      </w:pPr>
    </w:p>
    <w:p w14:paraId="24000000">
      <w:pPr>
        <w:widowControl w:val="0"/>
        <w:spacing w:after="0" w:line="240" w:lineRule="auto"/>
        <w:ind/>
        <w:jc w:val="both"/>
        <w:rPr>
          <w:rFonts w:ascii="Times New Roman" w:hAnsi="Times New Roman"/>
        </w:rPr>
      </w:pPr>
    </w:p>
    <w:p w14:paraId="25000000">
      <w:pPr>
        <w:widowControl w:val="0"/>
        <w:spacing w:after="0" w:line="240" w:lineRule="auto"/>
        <w:ind/>
        <w:jc w:val="both"/>
        <w:rPr>
          <w:rFonts w:ascii="Times New Roman" w:hAnsi="Times New Roman"/>
        </w:rPr>
      </w:pPr>
    </w:p>
    <w:p w14:paraId="26000000">
      <w:pPr>
        <w:widowControl w:val="0"/>
        <w:spacing w:after="0" w:line="240" w:lineRule="auto"/>
        <w:ind/>
        <w:jc w:val="both"/>
        <w:rPr>
          <w:rFonts w:ascii="Times New Roman" w:hAnsi="Times New Roman"/>
        </w:rPr>
      </w:pPr>
    </w:p>
    <w:p w14:paraId="27000000">
      <w:pPr>
        <w:widowControl w:val="0"/>
        <w:spacing w:after="0" w:line="240" w:lineRule="auto"/>
        <w:ind/>
        <w:jc w:val="both"/>
        <w:rPr>
          <w:rFonts w:ascii="Times New Roman" w:hAnsi="Times New Roman"/>
        </w:rPr>
      </w:pPr>
    </w:p>
    <w:p w14:paraId="28000000">
      <w:pPr>
        <w:widowControl w:val="0"/>
        <w:spacing w:after="0" w:line="240" w:lineRule="auto"/>
        <w:ind/>
        <w:jc w:val="both"/>
        <w:rPr>
          <w:rFonts w:ascii="Times New Roman" w:hAnsi="Times New Roman"/>
        </w:rPr>
      </w:pPr>
    </w:p>
    <w:p w14:paraId="29000000">
      <w:pPr>
        <w:widowControl w:val="0"/>
        <w:spacing w:after="0" w:line="240" w:lineRule="auto"/>
        <w:ind/>
        <w:jc w:val="both"/>
        <w:rPr>
          <w:rFonts w:ascii="Times New Roman" w:hAnsi="Times New Roman"/>
        </w:rPr>
      </w:pPr>
    </w:p>
    <w:p w14:paraId="2A000000">
      <w:pPr>
        <w:widowControl w:val="0"/>
        <w:spacing w:after="0" w:line="240" w:lineRule="auto"/>
        <w:ind/>
        <w:jc w:val="both"/>
        <w:rPr>
          <w:rFonts w:ascii="Times New Roman" w:hAnsi="Times New Roman"/>
        </w:rPr>
      </w:pPr>
    </w:p>
    <w:p w14:paraId="2B000000">
      <w:pPr>
        <w:widowControl w:val="0"/>
        <w:spacing w:after="0" w:line="240" w:lineRule="auto"/>
        <w:ind/>
        <w:jc w:val="both"/>
        <w:rPr>
          <w:rFonts w:ascii="Times New Roman" w:hAnsi="Times New Roman"/>
        </w:rPr>
      </w:pPr>
    </w:p>
    <w:p w14:paraId="2C000000">
      <w:pPr>
        <w:widowControl w:val="0"/>
        <w:spacing w:after="0" w:line="240" w:lineRule="auto"/>
        <w:ind/>
        <w:jc w:val="both"/>
        <w:rPr>
          <w:rFonts w:ascii="Times New Roman" w:hAnsi="Times New Roman"/>
        </w:rPr>
      </w:pPr>
    </w:p>
    <w:p w14:paraId="2D000000">
      <w:pPr>
        <w:widowControl w:val="0"/>
        <w:spacing w:after="0" w:line="240" w:lineRule="auto"/>
        <w:ind/>
        <w:jc w:val="both"/>
        <w:rPr>
          <w:rFonts w:ascii="Times New Roman" w:hAnsi="Times New Roman"/>
        </w:rPr>
      </w:pPr>
    </w:p>
    <w:p w14:paraId="2E000000">
      <w:pPr>
        <w:widowControl w:val="0"/>
        <w:spacing w:after="0" w:line="240" w:lineRule="auto"/>
        <w:ind/>
        <w:jc w:val="both"/>
        <w:rPr>
          <w:rFonts w:ascii="Times New Roman" w:hAnsi="Times New Roman"/>
        </w:rPr>
      </w:pPr>
    </w:p>
    <w:p w14:paraId="2F000000">
      <w:pPr>
        <w:widowControl w:val="0"/>
        <w:spacing w:after="0" w:line="240" w:lineRule="auto"/>
        <w:ind/>
        <w:jc w:val="both"/>
        <w:rPr>
          <w:rFonts w:ascii="Times New Roman" w:hAnsi="Times New Roman"/>
        </w:rPr>
      </w:pPr>
    </w:p>
    <w:p w14:paraId="30000000">
      <w:pPr>
        <w:widowControl w:val="0"/>
        <w:spacing w:after="0" w:line="240" w:lineRule="auto"/>
        <w:ind/>
        <w:jc w:val="center"/>
        <w:rPr>
          <w:rFonts w:ascii="Times New Roman" w:hAnsi="Times New Roman"/>
        </w:rPr>
      </w:pPr>
    </w:p>
    <w:p w14:paraId="31000000">
      <w:pPr>
        <w:widowControl w:val="0"/>
        <w:spacing w:after="0" w:line="240" w:lineRule="auto"/>
        <w:ind/>
        <w:rPr>
          <w:rFonts w:ascii="Times New Roman" w:hAnsi="Times New Roman"/>
          <w:b w:val="1"/>
        </w:rPr>
      </w:pPr>
      <w:r>
        <w:rPr>
          <w:rFonts w:ascii="Times New Roman" w:hAnsi="Times New Roman"/>
          <w:b w:val="1"/>
          <w:color w:val="000000"/>
        </w:rPr>
        <w:br w:type="page"/>
      </w:r>
    </w:p>
    <w:p w14:paraId="32000000">
      <w:pPr>
        <w:widowControl w:val="0"/>
        <w:spacing w:after="0" w:line="240" w:lineRule="auto"/>
        <w:ind w:firstLine="0" w:left="284"/>
        <w:jc w:val="center"/>
        <w:rPr>
          <w:rFonts w:ascii="Times New Roman" w:hAnsi="Times New Roman"/>
          <w:b w:val="1"/>
        </w:rPr>
      </w:pPr>
      <w:r>
        <w:rPr>
          <w:rFonts w:ascii="Times New Roman" w:hAnsi="Times New Roman"/>
          <w:b w:val="1"/>
        </w:rPr>
        <w:t>ОСНОВНЫЕ ТЕРМИНЫ И ИХ СОКРАЩЕНИЯ, ПРИМЕНЯЕМЫЕ</w:t>
      </w:r>
    </w:p>
    <w:p w14:paraId="33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 xml:space="preserve">В </w:t>
      </w:r>
      <w:r>
        <w:rPr>
          <w:rFonts w:ascii="Times New Roman" w:hAnsi="Times New Roman"/>
          <w:b w:val="1"/>
        </w:rPr>
        <w:t>ИНФОРМАЦИОННОЙ КАРТЕ</w:t>
      </w:r>
      <w:r>
        <w:rPr>
          <w:rFonts w:ascii="Times New Roman" w:hAnsi="Times New Roman"/>
          <w:b w:val="1"/>
        </w:rPr>
        <w:t xml:space="preserve"> </w:t>
      </w:r>
      <w:r>
        <w:rPr>
          <w:rFonts w:ascii="Times New Roman" w:hAnsi="Times New Roman"/>
          <w:b w:val="1"/>
        </w:rPr>
        <w:t xml:space="preserve">О ПРОВЕДЕНИИ </w:t>
      </w:r>
      <w:r>
        <w:rPr>
          <w:rFonts w:ascii="Times New Roman" w:hAnsi="Times New Roman"/>
          <w:b w:val="1"/>
        </w:rPr>
        <w:t>ЦЕНОВОГО ЗАПРОСА В ЭЛЕКТРОННОМ ВИДЕ</w:t>
      </w:r>
      <w:r>
        <w:rPr>
          <w:rFonts w:ascii="Times New Roman" w:hAnsi="Times New Roman"/>
          <w:b w:val="1"/>
        </w:rPr>
        <w:t>.</w:t>
      </w:r>
    </w:p>
    <w:p w14:paraId="34000000">
      <w:pPr>
        <w:widowControl w:val="0"/>
        <w:spacing w:after="0" w:line="240" w:lineRule="auto"/>
        <w:ind/>
        <w:contextualSpacing w:val="1"/>
        <w:jc w:val="both"/>
        <w:rPr>
          <w:rFonts w:ascii="Times New Roman" w:hAnsi="Times New Roman"/>
          <w:b w:val="1"/>
        </w:rPr>
      </w:pPr>
    </w:p>
    <w:p w14:paraId="35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Федеральный закон от 18 </w:t>
      </w:r>
      <w:r>
        <w:rPr>
          <w:rFonts w:ascii="Times New Roman" w:hAnsi="Times New Roman"/>
        </w:rPr>
        <w:t xml:space="preserve">июля </w:t>
      </w:r>
      <w:r>
        <w:rPr>
          <w:rFonts w:ascii="Times New Roman" w:hAnsi="Times New Roman"/>
        </w:rPr>
        <w:t xml:space="preserve">2011 г. № 223-ФЗ </w:t>
      </w:r>
      <w:r>
        <w:rPr>
          <w:rFonts w:ascii="Times New Roman" w:hAnsi="Times New Roman"/>
        </w:rPr>
        <w:t>«</w:t>
      </w:r>
      <w:r>
        <w:rPr>
          <w:rFonts w:ascii="Times New Roman" w:hAnsi="Times New Roman"/>
        </w:rPr>
        <w:t>О закупках товаров, работ, услуг отдельными видами юридических лиц</w:t>
      </w:r>
      <w:r>
        <w:rPr>
          <w:rFonts w:ascii="Times New Roman" w:hAnsi="Times New Roman"/>
        </w:rPr>
        <w:t>»</w:t>
      </w:r>
      <w:r>
        <w:rPr>
          <w:rFonts w:ascii="Times New Roman" w:hAnsi="Times New Roman"/>
        </w:rPr>
        <w:t xml:space="preserve"> (далее - Закон № 223-ФЗ)</w:t>
      </w:r>
      <w:r>
        <w:rPr>
          <w:rFonts w:ascii="Times New Roman" w:hAnsi="Times New Roman"/>
        </w:rPr>
        <w:t>. Все термины и понятия, используемые в настояще</w:t>
      </w:r>
      <w:r>
        <w:rPr>
          <w:rFonts w:ascii="Times New Roman" w:hAnsi="Times New Roman"/>
        </w:rPr>
        <w:t>й</w:t>
      </w:r>
      <w:r>
        <w:rPr>
          <w:rFonts w:ascii="Times New Roman" w:hAnsi="Times New Roman"/>
        </w:rPr>
        <w:t xml:space="preserve"> </w:t>
      </w:r>
      <w:r>
        <w:rPr>
          <w:rFonts w:ascii="Times New Roman" w:hAnsi="Times New Roman"/>
        </w:rPr>
        <w:t>информационной карте</w:t>
      </w:r>
      <w:r>
        <w:rPr>
          <w:rFonts w:ascii="Times New Roman" w:hAnsi="Times New Roman"/>
        </w:rPr>
        <w:t xml:space="preserve"> о проведении </w:t>
      </w:r>
      <w:r>
        <w:rPr>
          <w:rFonts w:ascii="Times New Roman" w:hAnsi="Times New Roman"/>
        </w:rPr>
        <w:t xml:space="preserve">ценового запроса в электронном виде </w:t>
      </w:r>
      <w:r>
        <w:rPr>
          <w:rFonts w:ascii="Times New Roman" w:hAnsi="Times New Roman"/>
        </w:rPr>
        <w:t xml:space="preserve">(далее – </w:t>
      </w:r>
      <w:bookmarkStart w:id="3" w:name="OLE_LINK8"/>
      <w:bookmarkStart w:id="4" w:name="OLE_LINK9"/>
      <w:r>
        <w:rPr>
          <w:rFonts w:ascii="Times New Roman" w:hAnsi="Times New Roman"/>
        </w:rPr>
        <w:t>ценовой запрос</w:t>
      </w:r>
      <w:bookmarkEnd w:id="3"/>
      <w:bookmarkEnd w:id="4"/>
      <w:r>
        <w:rPr>
          <w:rFonts w:ascii="Times New Roman" w:hAnsi="Times New Roman"/>
        </w:rPr>
        <w:t xml:space="preserve">, </w:t>
      </w:r>
      <w:r>
        <w:rPr>
          <w:rFonts w:ascii="Times New Roman" w:hAnsi="Times New Roman"/>
        </w:rPr>
        <w:t xml:space="preserve">ценовой запрос </w:t>
      </w:r>
      <w:r>
        <w:rPr>
          <w:rFonts w:ascii="Times New Roman" w:hAnsi="Times New Roman"/>
        </w:rPr>
        <w:t>в электронной форме</w:t>
      </w:r>
      <w:r>
        <w:rPr>
          <w:rFonts w:ascii="Times New Roman" w:hAnsi="Times New Roman"/>
        </w:rPr>
        <w:t>, закупка</w:t>
      </w:r>
      <w:r>
        <w:rPr>
          <w:rFonts w:ascii="Times New Roman" w:hAnsi="Times New Roman"/>
        </w:rPr>
        <w:t>),</w:t>
      </w:r>
      <w:r>
        <w:rPr>
          <w:rFonts w:ascii="Times New Roman" w:hAnsi="Times New Roman"/>
        </w:rPr>
        <w:t xml:space="preserve"> </w:t>
      </w:r>
      <w:r>
        <w:rPr>
          <w:rFonts w:ascii="Times New Roman" w:hAnsi="Times New Roman"/>
        </w:rPr>
        <w:t xml:space="preserve">(далее – </w:t>
      </w:r>
      <w:r>
        <w:rPr>
          <w:rFonts w:ascii="Times New Roman" w:hAnsi="Times New Roman"/>
        </w:rPr>
        <w:t>информационная карта</w:t>
      </w:r>
      <w:r>
        <w:rPr>
          <w:rFonts w:ascii="Times New Roman" w:hAnsi="Times New Roman"/>
        </w:rPr>
        <w:t xml:space="preserve">, </w:t>
      </w:r>
      <w:r>
        <w:rPr>
          <w:rFonts w:ascii="Times New Roman" w:hAnsi="Times New Roman"/>
        </w:rPr>
        <w:t>инфокарта</w:t>
      </w:r>
      <w:r>
        <w:rPr>
          <w:rFonts w:ascii="Times New Roman" w:hAnsi="Times New Roman"/>
        </w:rPr>
        <w:t>), трактуются в соответствии с Законом № 223-ФЗ.</w:t>
      </w:r>
    </w:p>
    <w:p w14:paraId="36000000">
      <w:pPr>
        <w:widowControl w:val="0"/>
        <w:spacing w:after="0" w:line="240" w:lineRule="auto"/>
        <w:ind w:firstLine="567" w:left="0"/>
        <w:contextualSpacing w:val="1"/>
        <w:jc w:val="both"/>
        <w:rPr>
          <w:rFonts w:ascii="Times New Roman" w:hAnsi="Times New Roman"/>
        </w:rPr>
      </w:pPr>
      <w:r>
        <w:rPr>
          <w:rFonts w:ascii="Times New Roman" w:hAnsi="Times New Roman"/>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rPr>
        <w:t xml:space="preserve">июля </w:t>
      </w:r>
      <w:r>
        <w:rPr>
          <w:rFonts w:ascii="Times New Roman" w:hAnsi="Times New Roman"/>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rPr>
        <w:t xml:space="preserve"> </w:t>
      </w:r>
    </w:p>
    <w:p w14:paraId="37000000">
      <w:pPr>
        <w:widowControl w:val="0"/>
        <w:spacing w:after="0" w:line="240" w:lineRule="auto"/>
        <w:ind w:firstLine="567" w:left="0"/>
        <w:jc w:val="both"/>
        <w:rPr>
          <w:rFonts w:ascii="Times New Roman" w:hAnsi="Times New Roman"/>
        </w:rPr>
      </w:pPr>
      <w:r>
        <w:rPr>
          <w:rFonts w:ascii="Times New Roman" w:hAnsi="Times New Roman"/>
        </w:rPr>
        <w:t xml:space="preserve">Все Приложения к </w:t>
      </w:r>
      <w:r>
        <w:rPr>
          <w:rFonts w:ascii="Times New Roman" w:hAnsi="Times New Roman"/>
        </w:rPr>
        <w:t xml:space="preserve">информационной карте </w:t>
      </w:r>
      <w:r>
        <w:rPr>
          <w:rFonts w:ascii="Times New Roman" w:hAnsi="Times New Roman"/>
        </w:rPr>
        <w:t>являются ее неотъемлемой частью.</w:t>
      </w:r>
    </w:p>
    <w:p w14:paraId="38000000">
      <w:pPr>
        <w:widowControl w:val="0"/>
        <w:spacing w:after="0" w:line="240" w:lineRule="auto"/>
        <w:ind w:firstLine="567" w:left="0"/>
        <w:contextualSpacing w:val="1"/>
        <w:jc w:val="both"/>
        <w:rPr>
          <w:rFonts w:ascii="Times New Roman" w:hAnsi="Times New Roman"/>
        </w:rPr>
      </w:pPr>
    </w:p>
    <w:p w14:paraId="39000000">
      <w:pPr>
        <w:widowControl w:val="0"/>
        <w:spacing w:after="0" w:line="240" w:lineRule="auto"/>
        <w:ind w:firstLine="0" w:left="284"/>
        <w:contextualSpacing w:val="1"/>
        <w:jc w:val="center"/>
        <w:rPr>
          <w:rFonts w:ascii="Times New Roman" w:hAnsi="Times New Roman"/>
          <w:b w:val="1"/>
        </w:rPr>
      </w:pPr>
      <w:r>
        <w:rPr>
          <w:rFonts w:ascii="Times New Roman" w:hAnsi="Times New Roman"/>
          <w:b w:val="1"/>
        </w:rPr>
        <w:t>СВЕДЕНИЯ ОБ ОРГАНИЗАТОРЕ ЗАКУПКИ (ЗАКАЗЧИКЕ)</w:t>
      </w:r>
    </w:p>
    <w:p w14:paraId="3A000000">
      <w:pPr>
        <w:widowControl w:val="0"/>
        <w:spacing w:after="0" w:line="240" w:lineRule="auto"/>
        <w:ind w:firstLine="567" w:left="0"/>
        <w:contextualSpacing w:val="1"/>
        <w:jc w:val="both"/>
        <w:rPr>
          <w:rFonts w:ascii="Times New Roman" w:hAnsi="Times New Roman"/>
        </w:rPr>
      </w:pPr>
    </w:p>
    <w:tbl>
      <w:tblPr>
        <w:tblStyle w:val="Style_3"/>
        <w:tblW w:type="auto" w:w="0"/>
        <w:tblLayout w:type="fixed"/>
      </w:tblPr>
      <w:tblGrid>
        <w:gridCol w:w="4280"/>
        <w:gridCol w:w="5575"/>
      </w:tblGrid>
      <w:tr>
        <w:tc>
          <w:tcPr>
            <w:tcW w:type="dxa" w:w="4280"/>
            <w:shd w:themeFill="accent1" w:themeFillTint="31" w:val="clear"/>
          </w:tcPr>
          <w:p w14:paraId="3B000000">
            <w:pPr>
              <w:widowControl w:val="0"/>
              <w:ind/>
              <w:contextualSpacing w:val="1"/>
              <w:jc w:val="both"/>
              <w:rPr>
                <w:rFonts w:ascii="Times New Roman" w:hAnsi="Times New Roman"/>
                <w:b w:val="1"/>
              </w:rPr>
            </w:pPr>
            <w:r>
              <w:rPr>
                <w:rFonts w:ascii="Times New Roman" w:hAnsi="Times New Roman"/>
                <w:b w:val="1"/>
              </w:rPr>
              <w:t>Наименование Заказчика:</w:t>
            </w:r>
          </w:p>
        </w:tc>
        <w:tc>
          <w:tcPr>
            <w:tcW w:type="dxa" w:w="5575"/>
            <w:vMerge w:val="restart"/>
          </w:tcPr>
          <w:p w14:paraId="3C000000">
            <w:pPr>
              <w:widowControl w:val="0"/>
              <w:ind/>
              <w:contextualSpacing w:val="1"/>
              <w:jc w:val="both"/>
              <w:rPr>
                <w:rFonts w:ascii="Times New Roman" w:hAnsi="Times New Roman"/>
              </w:rPr>
            </w:pPr>
            <w:r>
              <w:rPr>
                <w:rFonts w:ascii="Times New Roman" w:hAnsi="Times New Roman"/>
              </w:rPr>
              <w:t>МАДОУ «Детский сад № 2» ГО ЗАТО Межгорье</w:t>
            </w:r>
          </w:p>
          <w:p w14:paraId="3D000000">
            <w:pPr>
              <w:widowControl w:val="0"/>
              <w:ind/>
              <w:contextualSpacing w:val="1"/>
              <w:jc w:val="both"/>
              <w:rPr>
                <w:rFonts w:ascii="Times New Roman" w:hAnsi="Times New Roman"/>
              </w:rPr>
            </w:pPr>
            <w:r>
              <w:rPr>
                <w:rFonts w:ascii="Times New Roman" w:hAnsi="Times New Roman"/>
              </w:rPr>
              <w:t>Республики Башкортостан</w:t>
            </w:r>
          </w:p>
          <w:p w14:paraId="3E000000">
            <w:pPr>
              <w:widowControl w:val="0"/>
              <w:ind/>
              <w:contextualSpacing w:val="1"/>
              <w:jc w:val="both"/>
              <w:rPr>
                <w:rFonts w:ascii="Times New Roman" w:hAnsi="Times New Roman"/>
              </w:rPr>
            </w:pPr>
            <w:r>
              <w:rPr>
                <w:rFonts w:ascii="Times New Roman" w:hAnsi="Times New Roman"/>
              </w:rPr>
              <w:t xml:space="preserve">Адрес: 453570, Республика Башкортостан, г. Межгорье, ул. </w:t>
            </w:r>
            <w:r>
              <w:rPr>
                <w:rFonts w:ascii="Times New Roman" w:hAnsi="Times New Roman"/>
              </w:rPr>
              <w:t>Ильмяшевская</w:t>
            </w:r>
            <w:r>
              <w:rPr>
                <w:rFonts w:ascii="Times New Roman" w:hAnsi="Times New Roman"/>
              </w:rPr>
              <w:t xml:space="preserve"> д. 5</w:t>
            </w:r>
          </w:p>
          <w:p w14:paraId="3F000000">
            <w:pPr>
              <w:widowControl w:val="0"/>
              <w:ind/>
              <w:contextualSpacing w:val="1"/>
              <w:jc w:val="both"/>
              <w:rPr>
                <w:rFonts w:ascii="Times New Roman" w:hAnsi="Times New Roman"/>
              </w:rPr>
            </w:pPr>
            <w:r>
              <w:rPr>
                <w:rFonts w:ascii="Times New Roman" w:hAnsi="Times New Roman"/>
              </w:rPr>
              <w:t>e</w:t>
            </w:r>
            <w:r>
              <w:rPr>
                <w:rFonts w:ascii="Times New Roman" w:hAnsi="Times New Roman"/>
              </w:rPr>
              <w:t>-</w:t>
            </w:r>
            <w:r>
              <w:rPr>
                <w:rFonts w:ascii="Times New Roman" w:hAnsi="Times New Roman"/>
              </w:rPr>
              <w:t>mail</w:t>
            </w:r>
            <w:r>
              <w:rPr>
                <w:rFonts w:ascii="Times New Roman" w:hAnsi="Times New Roman"/>
              </w:rPr>
              <w:t xml:space="preserve">: </w:t>
            </w:r>
            <w:r>
              <w:rPr>
                <w:rFonts w:ascii="Times New Roman" w:hAnsi="Times New Roman"/>
              </w:rPr>
              <w:t>detscii</w:t>
            </w:r>
            <w:r>
              <w:rPr>
                <w:rFonts w:ascii="Times New Roman" w:hAnsi="Times New Roman"/>
              </w:rPr>
              <w:t>_</w:t>
            </w:r>
            <w:r>
              <w:rPr>
                <w:rFonts w:ascii="Times New Roman" w:hAnsi="Times New Roman"/>
              </w:rPr>
              <w:t>sad</w:t>
            </w:r>
            <w:r>
              <w:rPr>
                <w:rFonts w:ascii="Times New Roman" w:hAnsi="Times New Roman"/>
              </w:rPr>
              <w:t>2@</w:t>
            </w:r>
            <w:r>
              <w:rPr>
                <w:rFonts w:ascii="Times New Roman" w:hAnsi="Times New Roman"/>
              </w:rPr>
              <w:t>mail</w:t>
            </w:r>
            <w:r>
              <w:rPr>
                <w:rFonts w:ascii="Times New Roman" w:hAnsi="Times New Roman"/>
              </w:rPr>
              <w:t>.</w:t>
            </w:r>
            <w:r>
              <w:rPr>
                <w:rFonts w:ascii="Times New Roman" w:hAnsi="Times New Roman"/>
              </w:rPr>
              <w:t>ru</w:t>
            </w:r>
          </w:p>
          <w:p w14:paraId="40000000">
            <w:pPr>
              <w:widowControl w:val="0"/>
              <w:ind/>
              <w:contextualSpacing w:val="1"/>
              <w:jc w:val="both"/>
              <w:rPr>
                <w:rFonts w:ascii="Times New Roman" w:hAnsi="Times New Roman"/>
              </w:rPr>
            </w:pPr>
            <w:r>
              <w:rPr>
                <w:rFonts w:ascii="Times New Roman" w:hAnsi="Times New Roman"/>
              </w:rPr>
              <w:t>Тел.: 8-(34781) 2-01-81, 2-01-85</w:t>
            </w:r>
          </w:p>
        </w:tc>
      </w:tr>
      <w:tr>
        <w:tc>
          <w:tcPr>
            <w:tcW w:type="dxa" w:w="4280"/>
            <w:shd w:themeFill="accent1" w:themeFillTint="31" w:val="clear"/>
          </w:tcPr>
          <w:p w14:paraId="41000000">
            <w:pPr>
              <w:widowControl w:val="0"/>
              <w:ind/>
              <w:contextualSpacing w:val="1"/>
              <w:jc w:val="both"/>
              <w:rPr>
                <w:rFonts w:ascii="Times New Roman" w:hAnsi="Times New Roman"/>
                <w:b w:val="1"/>
              </w:rPr>
            </w:pPr>
            <w:r>
              <w:rPr>
                <w:rFonts w:ascii="Times New Roman" w:hAnsi="Times New Roman"/>
                <w:b w:val="1"/>
              </w:rPr>
              <w:t>Сокращенное наименование Заказчика:</w:t>
            </w:r>
          </w:p>
        </w:tc>
        <w:tc>
          <w:tcPr>
            <w:tcW w:type="dxa" w:w="5575"/>
            <w:gridSpan w:val="1"/>
            <w:vMerge w:val="continue"/>
          </w:tcPr>
          <w:p/>
        </w:tc>
      </w:tr>
      <w:tr>
        <w:tc>
          <w:tcPr>
            <w:tcW w:type="dxa" w:w="4280"/>
            <w:shd w:themeFill="accent1" w:themeFillTint="31" w:val="clear"/>
          </w:tcPr>
          <w:p w14:paraId="42000000">
            <w:pPr>
              <w:widowControl w:val="0"/>
              <w:ind/>
              <w:contextualSpacing w:val="1"/>
              <w:jc w:val="both"/>
              <w:rPr>
                <w:rFonts w:ascii="Times New Roman" w:hAnsi="Times New Roman"/>
                <w:b w:val="1"/>
              </w:rPr>
            </w:pPr>
            <w:r>
              <w:rPr>
                <w:rFonts w:ascii="Times New Roman" w:hAnsi="Times New Roman"/>
                <w:b w:val="1"/>
              </w:rPr>
              <w:t>Место нахождения Заказчика:</w:t>
            </w:r>
          </w:p>
        </w:tc>
        <w:tc>
          <w:tcPr>
            <w:tcW w:type="dxa" w:w="5575"/>
            <w:gridSpan w:val="1"/>
            <w:vMerge w:val="continue"/>
          </w:tcPr>
          <w:p/>
        </w:tc>
      </w:tr>
      <w:tr>
        <w:tc>
          <w:tcPr>
            <w:tcW w:type="dxa" w:w="4280"/>
            <w:shd w:themeFill="accent1" w:themeFillTint="31" w:val="clear"/>
          </w:tcPr>
          <w:p w14:paraId="43000000">
            <w:pPr>
              <w:widowControl w:val="0"/>
              <w:ind/>
              <w:contextualSpacing w:val="1"/>
              <w:jc w:val="both"/>
              <w:rPr>
                <w:rFonts w:ascii="Times New Roman" w:hAnsi="Times New Roman"/>
                <w:b w:val="1"/>
              </w:rPr>
            </w:pPr>
            <w:r>
              <w:rPr>
                <w:rFonts w:ascii="Times New Roman" w:hAnsi="Times New Roman"/>
                <w:b w:val="1"/>
              </w:rPr>
              <w:t xml:space="preserve">Почтовый </w:t>
            </w:r>
            <w:r>
              <w:rPr>
                <w:rFonts w:ascii="Times New Roman" w:hAnsi="Times New Roman"/>
                <w:b w:val="1"/>
              </w:rPr>
              <w:t>адрес</w:t>
            </w:r>
            <w:r>
              <w:rPr>
                <w:rFonts w:ascii="Times New Roman" w:hAnsi="Times New Roman"/>
                <w:b w:val="1"/>
              </w:rPr>
              <w:t xml:space="preserve"> Заказчика</w:t>
            </w:r>
            <w:r>
              <w:rPr>
                <w:rFonts w:ascii="Times New Roman" w:hAnsi="Times New Roman"/>
                <w:b w:val="1"/>
              </w:rPr>
              <w:t>:</w:t>
            </w:r>
          </w:p>
        </w:tc>
        <w:tc>
          <w:tcPr>
            <w:tcW w:type="dxa" w:w="5575"/>
            <w:gridSpan w:val="1"/>
            <w:vMerge w:val="continue"/>
          </w:tcPr>
          <w:p/>
        </w:tc>
      </w:tr>
      <w:tr>
        <w:tc>
          <w:tcPr>
            <w:tcW w:type="dxa" w:w="4280"/>
            <w:shd w:themeFill="accent1" w:themeFillTint="31" w:val="clear"/>
          </w:tcPr>
          <w:p w14:paraId="44000000">
            <w:pPr>
              <w:widowControl w:val="0"/>
              <w:ind/>
              <w:contextualSpacing w:val="1"/>
              <w:jc w:val="both"/>
              <w:rPr>
                <w:rFonts w:ascii="Times New Roman" w:hAnsi="Times New Roman"/>
                <w:b w:val="1"/>
              </w:rPr>
            </w:pPr>
            <w:r>
              <w:rPr>
                <w:rFonts w:ascii="Times New Roman" w:hAnsi="Times New Roman"/>
                <w:b w:val="1"/>
              </w:rPr>
              <w:t>Адрес электронной почты Заказчика:</w:t>
            </w:r>
          </w:p>
        </w:tc>
        <w:tc>
          <w:tcPr>
            <w:tcW w:type="dxa" w:w="5575"/>
            <w:gridSpan w:val="1"/>
            <w:vMerge w:val="continue"/>
          </w:tcPr>
          <w:p/>
        </w:tc>
      </w:tr>
      <w:tr>
        <w:tc>
          <w:tcPr>
            <w:tcW w:type="dxa" w:w="4280"/>
            <w:shd w:themeFill="accent1" w:themeFillTint="31" w:val="clear"/>
          </w:tcPr>
          <w:p w14:paraId="45000000">
            <w:pPr>
              <w:widowControl w:val="0"/>
              <w:ind/>
              <w:contextualSpacing w:val="1"/>
              <w:jc w:val="both"/>
              <w:rPr>
                <w:rFonts w:ascii="Times New Roman" w:hAnsi="Times New Roman"/>
                <w:b w:val="1"/>
              </w:rPr>
            </w:pPr>
            <w:r>
              <w:rPr>
                <w:rFonts w:ascii="Times New Roman" w:hAnsi="Times New Roman"/>
                <w:b w:val="1"/>
              </w:rPr>
              <w:t>Контактный телефон Заказчика:</w:t>
            </w:r>
          </w:p>
        </w:tc>
        <w:tc>
          <w:tcPr>
            <w:tcW w:type="dxa" w:w="5575"/>
            <w:gridSpan w:val="1"/>
            <w:vMerge w:val="continue"/>
          </w:tcPr>
          <w:p/>
        </w:tc>
      </w:tr>
      <w:tr>
        <w:tc>
          <w:tcPr>
            <w:tcW w:type="dxa" w:w="4280"/>
            <w:shd w:themeFill="accent1" w:themeFillTint="31" w:val="clear"/>
          </w:tcPr>
          <w:p w14:paraId="46000000">
            <w:pPr>
              <w:widowControl w:val="0"/>
              <w:ind/>
              <w:contextualSpacing w:val="1"/>
              <w:jc w:val="both"/>
              <w:rPr>
                <w:rFonts w:ascii="Times New Roman" w:hAnsi="Times New Roman"/>
                <w:b w:val="1"/>
              </w:rPr>
            </w:pPr>
            <w:r>
              <w:rPr>
                <w:rFonts w:ascii="Times New Roman" w:hAnsi="Times New Roman"/>
                <w:b w:val="1"/>
              </w:rPr>
              <w:t>Контактное лицо Заказчика по процедуре:</w:t>
            </w:r>
          </w:p>
        </w:tc>
        <w:tc>
          <w:tcPr>
            <w:tcW w:type="dxa" w:w="5575"/>
            <w:gridSpan w:val="1"/>
            <w:vMerge w:val="continue"/>
          </w:tcPr>
          <w:p/>
        </w:tc>
      </w:tr>
    </w:tbl>
    <w:p w14:paraId="47000000">
      <w:pPr>
        <w:widowControl w:val="0"/>
        <w:spacing w:after="0" w:line="240" w:lineRule="auto"/>
        <w:ind w:firstLine="567" w:left="0"/>
        <w:contextualSpacing w:val="1"/>
        <w:jc w:val="both"/>
        <w:rPr>
          <w:rFonts w:ascii="Times New Roman" w:hAnsi="Times New Roman"/>
        </w:rPr>
      </w:pPr>
    </w:p>
    <w:p w14:paraId="48000000">
      <w:pPr>
        <w:widowControl w:val="0"/>
        <w:spacing w:after="0" w:line="240" w:lineRule="auto"/>
        <w:ind w:firstLine="567" w:left="0"/>
        <w:rPr>
          <w:rFonts w:ascii="Times New Roman" w:hAnsi="Times New Roman"/>
        </w:rPr>
      </w:pPr>
    </w:p>
    <w:p w14:paraId="49000000">
      <w:pPr>
        <w:rPr>
          <w:rFonts w:ascii="Times New Roman" w:hAnsi="Times New Roman"/>
        </w:rPr>
      </w:pPr>
      <w:r>
        <w:rPr>
          <w:rFonts w:ascii="Times New Roman" w:hAnsi="Times New Roman"/>
        </w:rPr>
        <w:br w:type="page"/>
      </w:r>
    </w:p>
    <w:p w14:paraId="4A000000">
      <w:pPr>
        <w:widowControl w:val="0"/>
        <w:spacing w:after="0" w:line="240" w:lineRule="auto"/>
        <w:ind w:firstLine="567" w:left="0"/>
        <w:jc w:val="center"/>
        <w:rPr>
          <w:rFonts w:ascii="Times New Roman" w:hAnsi="Times New Roman"/>
          <w:b w:val="1"/>
        </w:rPr>
      </w:pPr>
      <w:r>
        <w:rPr>
          <w:rFonts w:ascii="Times New Roman" w:hAnsi="Times New Roman"/>
          <w:b w:val="1"/>
        </w:rPr>
        <w:t>УСЛОВИЯ ПРОВЕДЕНИЯ ЗАКУПКИ</w:t>
      </w:r>
    </w:p>
    <w:p w14:paraId="4B000000">
      <w:pPr>
        <w:widowControl w:val="0"/>
        <w:spacing w:after="0" w:line="240" w:lineRule="auto"/>
        <w:ind w:firstLine="567" w:left="0"/>
        <w:jc w:val="both"/>
        <w:rPr>
          <w:rFonts w:ascii="Times New Roman" w:hAnsi="Times New Roman"/>
        </w:rPr>
      </w:pPr>
    </w:p>
    <w:tbl>
      <w:tblPr>
        <w:tblStyle w:val="Style_3"/>
        <w:tblW w:type="auto" w:w="0"/>
        <w:tblLayout w:type="fixed"/>
      </w:tblPr>
      <w:tblGrid>
        <w:gridCol w:w="3985"/>
        <w:gridCol w:w="5870"/>
      </w:tblGrid>
      <w:tr>
        <w:tc>
          <w:tcPr>
            <w:tcW w:type="dxa" w:w="3985"/>
            <w:shd w:themeFill="accent1" w:themeFillTint="31" w:val="clear"/>
            <w:vAlign w:val="center"/>
          </w:tcPr>
          <w:p w14:paraId="4C000000">
            <w:pPr>
              <w:widowControl w:val="0"/>
              <w:ind/>
              <w:jc w:val="both"/>
              <w:rPr>
                <w:rFonts w:ascii="Times New Roman" w:hAnsi="Times New Roman"/>
                <w:b w:val="1"/>
              </w:rPr>
            </w:pPr>
            <w:r>
              <w:rPr>
                <w:rFonts w:ascii="Times New Roman" w:hAnsi="Times New Roman"/>
                <w:b w:val="1"/>
              </w:rPr>
              <w:t>Способ осуществления закупки</w:t>
            </w:r>
          </w:p>
        </w:tc>
        <w:tc>
          <w:tcPr>
            <w:tcW w:type="dxa" w:w="5870"/>
            <w:vAlign w:val="center"/>
          </w:tcPr>
          <w:p w14:paraId="4D000000">
            <w:pPr>
              <w:widowControl w:val="0"/>
              <w:ind/>
              <w:jc w:val="both"/>
              <w:rPr>
                <w:rFonts w:ascii="Times New Roman" w:hAnsi="Times New Roman"/>
              </w:rPr>
            </w:pPr>
            <w:r>
              <w:rPr>
                <w:rFonts w:ascii="Times New Roman" w:hAnsi="Times New Roman"/>
              </w:rPr>
              <w:t>Ценовой запрос в электронном виде</w:t>
            </w:r>
          </w:p>
        </w:tc>
      </w:tr>
      <w:tr>
        <w:tc>
          <w:tcPr>
            <w:tcW w:type="dxa" w:w="3985"/>
            <w:shd w:themeFill="accent1" w:themeFillTint="31" w:val="clear"/>
            <w:vAlign w:val="center"/>
          </w:tcPr>
          <w:p w14:paraId="4E000000">
            <w:pPr>
              <w:widowControl w:val="0"/>
              <w:ind/>
              <w:jc w:val="both"/>
              <w:rPr>
                <w:rFonts w:ascii="Times New Roman" w:hAnsi="Times New Roman"/>
                <w:b w:val="1"/>
              </w:rPr>
            </w:pPr>
            <w:r>
              <w:rPr>
                <w:rFonts w:ascii="Times New Roman" w:hAnsi="Times New Roman"/>
                <w:b w:val="1"/>
              </w:rPr>
              <w:t>Участие в закупке только субъектов малого или среднего предпринимательства</w:t>
            </w:r>
          </w:p>
        </w:tc>
        <w:tc>
          <w:tcPr>
            <w:tcW w:type="dxa" w:w="5870"/>
            <w:vAlign w:val="center"/>
          </w:tcPr>
          <w:p w14:paraId="4F000000">
            <w:pPr>
              <w:widowControl w:val="0"/>
              <w:ind/>
              <w:jc w:val="both"/>
              <w:rPr>
                <w:rFonts w:ascii="Times New Roman" w:hAnsi="Times New Roman"/>
              </w:rPr>
            </w:pPr>
            <w:r>
              <w:rPr>
                <w:b w:val="1"/>
              </w:rPr>
              <w:t>ДА</w:t>
            </w:r>
          </w:p>
        </w:tc>
      </w:tr>
      <w:tr>
        <w:tc>
          <w:tcPr>
            <w:tcW w:type="dxa" w:w="3985"/>
            <w:shd w:themeFill="accent1" w:themeFillTint="31" w:val="clear"/>
            <w:vAlign w:val="center"/>
          </w:tcPr>
          <w:p w14:paraId="50000000">
            <w:pPr>
              <w:widowControl w:val="0"/>
              <w:ind/>
              <w:jc w:val="both"/>
              <w:rPr>
                <w:rFonts w:ascii="Times New Roman" w:hAnsi="Times New Roman"/>
                <w:b w:val="1"/>
              </w:rPr>
            </w:pPr>
            <w:r>
              <w:rPr>
                <w:rFonts w:ascii="Times New Roman" w:hAnsi="Times New Roman"/>
                <w:b w:val="1"/>
              </w:rPr>
              <w:t xml:space="preserve">Официальный сайт, на котором размещена </w:t>
            </w:r>
            <w:bookmarkStart w:id="5" w:name="OLE_LINK10"/>
            <w:bookmarkStart w:id="6" w:name="OLE_LINK11"/>
            <w:r>
              <w:rPr>
                <w:rFonts w:ascii="Times New Roman" w:hAnsi="Times New Roman"/>
                <w:b w:val="1"/>
              </w:rPr>
              <w:t>информационная карта</w:t>
            </w:r>
            <w:bookmarkEnd w:id="5"/>
            <w:bookmarkEnd w:id="6"/>
            <w:r>
              <w:rPr>
                <w:rFonts w:ascii="Times New Roman" w:hAnsi="Times New Roman"/>
                <w:b w:val="1"/>
              </w:rPr>
              <w:t xml:space="preserve"> </w:t>
            </w:r>
            <w:r>
              <w:rPr>
                <w:rFonts w:ascii="Times New Roman" w:hAnsi="Times New Roman"/>
                <w:b w:val="1"/>
              </w:rPr>
              <w:t>о закупке</w:t>
            </w:r>
          </w:p>
          <w:p w14:paraId="51000000">
            <w:pPr>
              <w:widowControl w:val="0"/>
              <w:ind/>
              <w:jc w:val="both"/>
              <w:rPr>
                <w:rFonts w:ascii="Times New Roman" w:hAnsi="Times New Roman"/>
                <w:b w:val="1"/>
              </w:rPr>
            </w:pPr>
            <w:r>
              <w:rPr>
                <w:rFonts w:ascii="Times New Roman" w:hAnsi="Times New Roman"/>
                <w:b w:val="1"/>
              </w:rPr>
              <w:t xml:space="preserve">Срок, место и порядок предоставления </w:t>
            </w:r>
            <w:r>
              <w:rPr>
                <w:rFonts w:ascii="Times New Roman" w:hAnsi="Times New Roman"/>
                <w:b w:val="1"/>
              </w:rPr>
              <w:t>инфокарты</w:t>
            </w:r>
            <w:r>
              <w:rPr>
                <w:rFonts w:ascii="Times New Roman" w:hAnsi="Times New Roman"/>
                <w:b w:val="1"/>
              </w:rPr>
              <w:t xml:space="preserve">, размер, порядок и сроки внесения платы, взимаемой Заказчиком за предоставление </w:t>
            </w:r>
            <w:r>
              <w:rPr>
                <w:rFonts w:ascii="Times New Roman" w:hAnsi="Times New Roman"/>
                <w:b w:val="1"/>
              </w:rPr>
              <w:t>инфокарты</w:t>
            </w:r>
            <w:r>
              <w:rPr>
                <w:rFonts w:ascii="Times New Roman" w:hAnsi="Times New Roman"/>
                <w:b w:val="1"/>
              </w:rPr>
              <w:t xml:space="preserve">, если такая плата установлена Заказчиком, за исключением случаев предоставления </w:t>
            </w:r>
            <w:r>
              <w:rPr>
                <w:rFonts w:ascii="Times New Roman" w:hAnsi="Times New Roman"/>
                <w:b w:val="1"/>
              </w:rPr>
              <w:t>инфокарты</w:t>
            </w:r>
            <w:r>
              <w:rPr>
                <w:rFonts w:ascii="Times New Roman" w:hAnsi="Times New Roman"/>
                <w:b w:val="1"/>
              </w:rPr>
              <w:t xml:space="preserve"> </w:t>
            </w:r>
            <w:r>
              <w:rPr>
                <w:rFonts w:ascii="Times New Roman" w:hAnsi="Times New Roman"/>
                <w:b w:val="1"/>
              </w:rPr>
              <w:t>в форме электронного документа:</w:t>
            </w:r>
          </w:p>
        </w:tc>
        <w:tc>
          <w:tcPr>
            <w:tcW w:type="dxa" w:w="5870"/>
            <w:vAlign w:val="center"/>
          </w:tcPr>
          <w:p w14:paraId="52000000">
            <w:pPr>
              <w:widowControl w:val="0"/>
              <w:ind/>
              <w:jc w:val="both"/>
              <w:rPr>
                <w:rFonts w:ascii="Times New Roman" w:hAnsi="Times New Roman"/>
              </w:rPr>
            </w:pPr>
            <w:bookmarkStart w:id="7" w:name="OLE_LINK5"/>
            <w:bookmarkStart w:id="8" w:name="OLE_LINK6"/>
            <w:r>
              <w:rPr>
                <w:rFonts w:ascii="Times New Roman" w:hAnsi="Times New Roman"/>
              </w:rPr>
              <w:t>Инфокарта</w:t>
            </w:r>
            <w:r>
              <w:rPr>
                <w:rFonts w:ascii="Times New Roman" w:hAnsi="Times New Roman"/>
              </w:rPr>
              <w:t xml:space="preserve"> </w:t>
            </w:r>
            <w:bookmarkEnd w:id="7"/>
            <w:bookmarkEnd w:id="8"/>
            <w:r>
              <w:rPr>
                <w:rFonts w:ascii="Times New Roman" w:hAnsi="Times New Roman"/>
              </w:rPr>
              <w:t xml:space="preserve">доступна для ознакомления со дня размещения </w:t>
            </w:r>
            <w:r>
              <w:rPr>
                <w:rFonts w:ascii="Times New Roman" w:hAnsi="Times New Roman"/>
              </w:rPr>
              <w:t>инфокарты</w:t>
            </w:r>
            <w:r>
              <w:rPr>
                <w:rFonts w:ascii="Times New Roman" w:hAnsi="Times New Roman"/>
              </w:rPr>
              <w:t xml:space="preserve"> о закупке на электронной торговой площадке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w:t>
            </w:r>
          </w:p>
          <w:p w14:paraId="53000000">
            <w:pPr>
              <w:widowControl w:val="0"/>
              <w:ind/>
              <w:jc w:val="both"/>
              <w:rPr>
                <w:rFonts w:ascii="Times New Roman" w:hAnsi="Times New Roman"/>
              </w:rPr>
            </w:pPr>
            <w:r>
              <w:rPr>
                <w:rFonts w:ascii="Times New Roman" w:hAnsi="Times New Roman"/>
              </w:rPr>
              <w:t>Язык: русский.</w:t>
            </w:r>
          </w:p>
          <w:p w14:paraId="54000000">
            <w:pPr>
              <w:widowControl w:val="0"/>
              <w:ind/>
              <w:jc w:val="both"/>
              <w:rPr>
                <w:rFonts w:ascii="Times New Roman" w:hAnsi="Times New Roman"/>
              </w:rPr>
            </w:pPr>
            <w:r>
              <w:rPr>
                <w:rFonts w:ascii="Times New Roman" w:hAnsi="Times New Roman"/>
              </w:rPr>
              <w:t xml:space="preserve">Предоставление </w:t>
            </w:r>
            <w:r>
              <w:rPr>
                <w:rFonts w:ascii="Times New Roman" w:hAnsi="Times New Roman"/>
              </w:rPr>
              <w:t>инфокарты</w:t>
            </w:r>
            <w:r>
              <w:rPr>
                <w:rFonts w:ascii="Times New Roman" w:hAnsi="Times New Roman"/>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 xml:space="preserve">). Плата за предоставление </w:t>
            </w:r>
            <w:r>
              <w:rPr>
                <w:rFonts w:ascii="Times New Roman" w:hAnsi="Times New Roman"/>
              </w:rPr>
              <w:t>инфокарты</w:t>
            </w:r>
            <w:r>
              <w:rPr>
                <w:rFonts w:ascii="Times New Roman" w:hAnsi="Times New Roman"/>
              </w:rPr>
              <w:t xml:space="preserve"> не установлена. Предоставление </w:t>
            </w:r>
            <w:r>
              <w:rPr>
                <w:rFonts w:ascii="Times New Roman" w:hAnsi="Times New Roman"/>
              </w:rPr>
              <w:t>инфокарты</w:t>
            </w:r>
            <w:r>
              <w:rPr>
                <w:rFonts w:ascii="Times New Roman" w:hAnsi="Times New Roman"/>
              </w:rPr>
              <w:t xml:space="preserve"> </w:t>
            </w:r>
            <w:r>
              <w:rPr>
                <w:rFonts w:ascii="Times New Roman" w:hAnsi="Times New Roman"/>
              </w:rPr>
              <w:t>на бумажном носителе не предусмотрено.</w:t>
            </w:r>
          </w:p>
          <w:p w14:paraId="55000000">
            <w:pPr>
              <w:widowControl w:val="0"/>
              <w:ind/>
              <w:jc w:val="both"/>
              <w:rPr>
                <w:rFonts w:ascii="Times New Roman" w:hAnsi="Times New Roman"/>
              </w:rPr>
            </w:pPr>
            <w:r>
              <w:rPr>
                <w:rFonts w:ascii="Times New Roman" w:hAnsi="Times New Roman"/>
              </w:rPr>
              <w:t xml:space="preserve">Заказчик вправе принять решение о размещении </w:t>
            </w:r>
            <w:r>
              <w:rPr>
                <w:rFonts w:ascii="Times New Roman" w:hAnsi="Times New Roman"/>
              </w:rPr>
              <w:t>инфокарты</w:t>
            </w:r>
            <w:r>
              <w:rPr>
                <w:rFonts w:ascii="Times New Roman" w:hAnsi="Times New Roman"/>
              </w:rPr>
              <w:t xml:space="preserve"> о закупке на официальном сайте единой информационной системы в сфере закупок (далее – ЕИС).</w:t>
            </w:r>
          </w:p>
        </w:tc>
      </w:tr>
      <w:tr>
        <w:tc>
          <w:tcPr>
            <w:tcW w:type="dxa" w:w="3985"/>
            <w:shd w:themeFill="accent1" w:themeFillTint="31" w:val="clear"/>
            <w:vAlign w:val="center"/>
          </w:tcPr>
          <w:p w14:paraId="56000000">
            <w:pPr>
              <w:widowControl w:val="0"/>
              <w:ind/>
              <w:jc w:val="both"/>
              <w:rPr>
                <w:rFonts w:ascii="Times New Roman" w:hAnsi="Times New Roman"/>
                <w:b w:val="1"/>
              </w:rPr>
            </w:pPr>
            <w:r>
              <w:rPr>
                <w:rFonts w:ascii="Times New Roman" w:hAnsi="Times New Roman"/>
                <w:b w:val="1"/>
              </w:rPr>
              <w:t>Наименование оператора электронной площадки.</w:t>
            </w:r>
          </w:p>
          <w:p w14:paraId="57000000">
            <w:pPr>
              <w:widowControl w:val="0"/>
              <w:ind/>
              <w:jc w:val="both"/>
              <w:rPr>
                <w:rFonts w:ascii="Times New Roman" w:hAnsi="Times New Roman"/>
                <w:b w:val="1"/>
              </w:rPr>
            </w:pPr>
            <w:r>
              <w:rPr>
                <w:rFonts w:ascii="Times New Roman" w:hAnsi="Times New Roman"/>
                <w:b w:val="1"/>
              </w:rPr>
              <w:t>Адрес электронной площадки в сети Интернет:</w:t>
            </w:r>
          </w:p>
        </w:tc>
        <w:tc>
          <w:tcPr>
            <w:tcW w:type="dxa" w:w="5870"/>
            <w:vAlign w:val="center"/>
          </w:tcPr>
          <w:p w14:paraId="58000000">
            <w:pPr>
              <w:widowControl w:val="0"/>
              <w:ind/>
              <w:jc w:val="both"/>
              <w:rPr>
                <w:rFonts w:ascii="Times New Roman" w:hAnsi="Times New Roman"/>
              </w:rPr>
            </w:pPr>
            <w:r>
              <w:rPr>
                <w:rFonts w:ascii="Times New Roman" w:hAnsi="Times New Roman"/>
              </w:rPr>
              <w:t xml:space="preserve">Оператором электронной торговой площадки является ООО «РЕГИОН», адрес электронной торговой площадки в сети «Интернет»: </w:t>
            </w:r>
            <w:r>
              <w:rPr>
                <w:rStyle w:val="Style_4_ch"/>
                <w:rFonts w:ascii="Times New Roman" w:hAnsi="Times New Roman"/>
              </w:rPr>
              <w:fldChar w:fldCharType="begin"/>
            </w:r>
            <w:r>
              <w:rPr>
                <w:rStyle w:val="Style_4_ch"/>
                <w:rFonts w:ascii="Times New Roman" w:hAnsi="Times New Roman"/>
              </w:rPr>
              <w:instrText>HYPERLINK "https://etp-region.ru"</w:instrText>
            </w:r>
            <w:r>
              <w:rPr>
                <w:rStyle w:val="Style_4_ch"/>
                <w:rFonts w:ascii="Times New Roman" w:hAnsi="Times New Roman"/>
              </w:rPr>
              <w:fldChar w:fldCharType="separate"/>
            </w:r>
            <w:r>
              <w:rPr>
                <w:rStyle w:val="Style_4_ch"/>
                <w:rFonts w:ascii="Times New Roman" w:hAnsi="Times New Roman"/>
              </w:rPr>
              <w:t>https://etp-region.ru</w:t>
            </w:r>
            <w:r>
              <w:rPr>
                <w:rStyle w:val="Style_4_ch"/>
                <w:rFonts w:ascii="Times New Roman" w:hAnsi="Times New Roman"/>
              </w:rPr>
              <w:fldChar w:fldCharType="end"/>
            </w:r>
            <w:r>
              <w:rPr>
                <w:rFonts w:ascii="Times New Roman" w:hAnsi="Times New Roman"/>
              </w:rPr>
              <w:t xml:space="preserve"> </w:t>
            </w:r>
            <w:r>
              <w:rPr>
                <w:rFonts w:ascii="Times New Roman" w:hAnsi="Times New Roman"/>
              </w:rPr>
              <w:t>.</w:t>
            </w:r>
          </w:p>
          <w:p w14:paraId="59000000">
            <w:pPr>
              <w:widowControl w:val="0"/>
              <w:ind/>
              <w:jc w:val="both"/>
              <w:rPr>
                <w:rFonts w:ascii="Times New Roman" w:hAnsi="Times New Roman"/>
              </w:rPr>
            </w:pPr>
            <w:r>
              <w:rPr>
                <w:rFonts w:ascii="Times New Roman" w:hAnsi="Times New Roman"/>
              </w:rPr>
              <w:t xml:space="preserve">Подача заявок в форме электронного документа для участия в </w:t>
            </w:r>
            <w:r>
              <w:rPr>
                <w:rFonts w:ascii="Times New Roman" w:hAnsi="Times New Roman"/>
              </w:rPr>
              <w:t>закупке</w:t>
            </w:r>
            <w:r>
              <w:rPr>
                <w:rFonts w:ascii="Times New Roman" w:hAnsi="Times New Roman"/>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c>
          <w:tcPr>
            <w:tcW w:type="dxa" w:w="3985"/>
            <w:shd w:themeFill="accent1" w:themeFillTint="31" w:val="clear"/>
            <w:vAlign w:val="center"/>
          </w:tcPr>
          <w:p w14:paraId="5A000000">
            <w:pPr>
              <w:widowControl w:val="0"/>
              <w:ind/>
              <w:jc w:val="both"/>
              <w:rPr>
                <w:rFonts w:ascii="Times New Roman" w:hAnsi="Times New Roman"/>
                <w:b w:val="1"/>
              </w:rPr>
            </w:pPr>
            <w:r>
              <w:rPr>
                <w:rFonts w:ascii="Times New Roman" w:hAnsi="Times New Roman"/>
                <w:b w:val="1"/>
              </w:rPr>
              <w:t>Дата и время начала приема заявок на участие в закупке:</w:t>
            </w:r>
          </w:p>
        </w:tc>
        <w:tc>
          <w:tcPr>
            <w:tcW w:type="dxa" w:w="5870"/>
            <w:vAlign w:val="center"/>
          </w:tcPr>
          <w:p w14:paraId="5B000000">
            <w:pPr>
              <w:widowControl w:val="0"/>
              <w:ind/>
              <w:jc w:val="both"/>
              <w:rPr>
                <w:rStyle w:val="Style_4_ch"/>
                <w:rFonts w:ascii="Times New Roman" w:hAnsi="Times New Roman"/>
              </w:rPr>
            </w:pPr>
            <w:r>
              <w:rPr>
                <w:rFonts w:ascii="Times New Roman" w:hAnsi="Times New Roman"/>
              </w:rPr>
              <w:t xml:space="preserve">С момента размещения информации о закупке сайте электронной торговой площадке Регион </w:t>
            </w:r>
            <w:r>
              <w:rPr>
                <w:rStyle w:val="Style_4_ch"/>
                <w:rFonts w:ascii="Times New Roman" w:hAnsi="Times New Roman"/>
              </w:rPr>
              <w:fldChar w:fldCharType="begin"/>
            </w:r>
            <w:r>
              <w:rPr>
                <w:rStyle w:val="Style_4_ch"/>
                <w:rFonts w:ascii="Times New Roman" w:hAnsi="Times New Roman"/>
              </w:rPr>
              <w:instrText>HYPERLINK "https://torgi.etp-region.ru/"</w:instrText>
            </w:r>
            <w:r>
              <w:rPr>
                <w:rStyle w:val="Style_4_ch"/>
                <w:rFonts w:ascii="Times New Roman" w:hAnsi="Times New Roman"/>
              </w:rPr>
              <w:fldChar w:fldCharType="separate"/>
            </w:r>
            <w:r>
              <w:rPr>
                <w:rStyle w:val="Style_4_ch"/>
                <w:rFonts w:ascii="Times New Roman" w:hAnsi="Times New Roman"/>
              </w:rPr>
              <w:t>https://torgi.etp-region.ru/</w:t>
            </w:r>
            <w:r>
              <w:rPr>
                <w:rStyle w:val="Style_4_ch"/>
                <w:rFonts w:ascii="Times New Roman" w:hAnsi="Times New Roman"/>
              </w:rPr>
              <w:fldChar w:fldCharType="end"/>
            </w:r>
          </w:p>
          <w:p w14:paraId="5C000000">
            <w:pPr>
              <w:widowControl w:val="0"/>
              <w:ind/>
              <w:jc w:val="both"/>
              <w:rPr>
                <w:rStyle w:val="Style_2_ch"/>
              </w:rPr>
            </w:pPr>
            <w:r>
              <w:rPr>
                <w:rStyle w:val="Style_4_ch"/>
                <w:rFonts w:ascii="Times New Roman" w:hAnsi="Times New Roman"/>
                <w:u w:val="none"/>
              </w:rPr>
              <w:t>17</w:t>
            </w:r>
            <w:r>
              <w:rPr>
                <w:rStyle w:val="Style_4_ch"/>
                <w:rFonts w:ascii="Times New Roman" w:hAnsi="Times New Roman"/>
                <w:u w:val="none"/>
              </w:rPr>
              <w:t>.0</w:t>
            </w:r>
            <w:r>
              <w:rPr>
                <w:rStyle w:val="Style_4_ch"/>
                <w:rFonts w:ascii="Times New Roman" w:hAnsi="Times New Roman"/>
                <w:u w:val="none"/>
              </w:rPr>
              <w:t>6</w:t>
            </w:r>
            <w:r>
              <w:rPr>
                <w:rStyle w:val="Style_4_ch"/>
                <w:rFonts w:ascii="Times New Roman" w:hAnsi="Times New Roman"/>
                <w:u w:val="none"/>
              </w:rPr>
              <w:t>.2026г.</w:t>
            </w:r>
          </w:p>
        </w:tc>
      </w:tr>
      <w:tr>
        <w:tc>
          <w:tcPr>
            <w:tcW w:type="dxa" w:w="3985"/>
            <w:shd w:themeFill="accent1" w:themeFillTint="31" w:val="clear"/>
            <w:vAlign w:val="center"/>
          </w:tcPr>
          <w:p w14:paraId="5D000000">
            <w:pPr>
              <w:widowControl w:val="0"/>
              <w:ind/>
              <w:jc w:val="both"/>
              <w:rPr>
                <w:rFonts w:ascii="Times New Roman" w:hAnsi="Times New Roman"/>
                <w:b w:val="1"/>
              </w:rPr>
            </w:pPr>
            <w:r>
              <w:rPr>
                <w:rFonts w:ascii="Times New Roman" w:hAnsi="Times New Roman"/>
                <w:b w:val="1"/>
              </w:rPr>
              <w:t>Место рассмотрения заявок на участие в закупке, подведения итогов:</w:t>
            </w:r>
          </w:p>
        </w:tc>
        <w:tc>
          <w:tcPr>
            <w:tcW w:type="dxa" w:w="5870"/>
            <w:vAlign w:val="center"/>
          </w:tcPr>
          <w:p w14:paraId="5E000000">
            <w:pPr>
              <w:widowControl w:val="0"/>
              <w:ind/>
              <w:jc w:val="both"/>
              <w:rPr>
                <w:rFonts w:ascii="Times New Roman" w:hAnsi="Times New Roman"/>
              </w:rPr>
            </w:pPr>
            <w:r>
              <w:rPr>
                <w:rStyle w:val="Style_2_ch"/>
              </w:rPr>
              <w:t>По месту нахождения Заказчика</w:t>
            </w:r>
          </w:p>
        </w:tc>
      </w:tr>
      <w:tr>
        <w:tc>
          <w:tcPr>
            <w:tcW w:type="dxa" w:w="3985"/>
            <w:shd w:themeFill="accent1" w:themeFillTint="31" w:val="clear"/>
            <w:vAlign w:val="center"/>
          </w:tcPr>
          <w:p w14:paraId="5F000000">
            <w:pPr>
              <w:widowControl w:val="0"/>
              <w:ind/>
              <w:jc w:val="both"/>
              <w:rPr>
                <w:rFonts w:ascii="Times New Roman" w:hAnsi="Times New Roman"/>
                <w:b w:val="1"/>
              </w:rPr>
            </w:pPr>
            <w:r>
              <w:rPr>
                <w:rFonts w:ascii="Times New Roman" w:hAnsi="Times New Roman"/>
                <w:b w:val="1"/>
              </w:rPr>
              <w:t>Дата и время окончания срока подачи заявок на участие в закупке:</w:t>
            </w:r>
          </w:p>
        </w:tc>
        <w:tc>
          <w:tcPr>
            <w:tcW w:type="dxa" w:w="5870"/>
            <w:vAlign w:val="center"/>
          </w:tcPr>
          <w:p w14:paraId="60000000">
            <w:pPr>
              <w:widowControl w:val="0"/>
              <w:tabs>
                <w:tab w:leader="none" w:pos="247" w:val="left"/>
                <w:tab w:leader="none" w:pos="1130" w:val="left"/>
              </w:tabs>
              <w:ind w:firstLine="0" w:left="33"/>
              <w:contextualSpacing w:val="1"/>
              <w:jc w:val="both"/>
              <w:rPr>
                <w:rStyle w:val="Style_2_ch"/>
              </w:rPr>
            </w:pPr>
            <w:r>
              <w:rPr>
                <w:rStyle w:val="Style_2_ch"/>
              </w:rPr>
              <w:t>19.06.2026</w:t>
            </w:r>
          </w:p>
          <w:p w14:paraId="61000000">
            <w:pPr>
              <w:widowControl w:val="0"/>
              <w:ind/>
              <w:jc w:val="both"/>
              <w:rPr>
                <w:rFonts w:ascii="Times New Roman" w:hAnsi="Times New Roman"/>
              </w:rPr>
            </w:pPr>
            <w:r>
              <w:rPr>
                <w:rFonts w:ascii="Times New Roman" w:hAnsi="Times New Roman"/>
              </w:rPr>
              <w:t xml:space="preserve">в </w:t>
            </w:r>
            <w:r>
              <w:rPr>
                <w:rFonts w:ascii="Times New Roman" w:hAnsi="Times New Roman"/>
              </w:rPr>
              <w:t>10:00</w:t>
            </w:r>
            <w:r>
              <w:rPr>
                <w:rFonts w:ascii="Times New Roman" w:hAnsi="Times New Roman"/>
              </w:rPr>
              <w:t xml:space="preserve"> (местное время Заказчика)</w:t>
            </w:r>
          </w:p>
        </w:tc>
      </w:tr>
      <w:tr>
        <w:tc>
          <w:tcPr>
            <w:tcW w:type="dxa" w:w="3985"/>
            <w:shd w:themeFill="accent1" w:themeFillTint="31" w:val="clear"/>
            <w:vAlign w:val="center"/>
          </w:tcPr>
          <w:p w14:paraId="62000000">
            <w:pPr>
              <w:widowControl w:val="0"/>
              <w:ind/>
              <w:jc w:val="both"/>
              <w:rPr>
                <w:rFonts w:ascii="Times New Roman" w:hAnsi="Times New Roman"/>
                <w:b w:val="1"/>
              </w:rPr>
            </w:pPr>
            <w:r>
              <w:rPr>
                <w:rFonts w:ascii="Times New Roman" w:hAnsi="Times New Roman"/>
                <w:b w:val="1"/>
              </w:rPr>
              <w:t>Дата рассмотрения заявок на участие в закупке</w:t>
            </w:r>
            <w:r>
              <w:rPr>
                <w:rFonts w:ascii="Times New Roman" w:hAnsi="Times New Roman"/>
                <w:b w:val="1"/>
              </w:rPr>
              <w:t xml:space="preserve"> и подведения итогов</w:t>
            </w:r>
            <w:r>
              <w:rPr>
                <w:rFonts w:ascii="Times New Roman" w:hAnsi="Times New Roman"/>
                <w:b w:val="1"/>
              </w:rPr>
              <w:t>:</w:t>
            </w:r>
          </w:p>
        </w:tc>
        <w:tc>
          <w:tcPr>
            <w:tcW w:type="dxa" w:w="5870"/>
            <w:vAlign w:val="center"/>
          </w:tcPr>
          <w:p w14:paraId="63000000">
            <w:pPr>
              <w:widowControl w:val="0"/>
              <w:tabs>
                <w:tab w:leader="none" w:pos="247" w:val="left"/>
                <w:tab w:leader="none" w:pos="1130" w:val="left"/>
              </w:tabs>
              <w:ind w:firstLine="0" w:left="33"/>
              <w:contextualSpacing w:val="1"/>
              <w:jc w:val="both"/>
              <w:rPr>
                <w:rStyle w:val="Style_2_ch"/>
              </w:rPr>
            </w:pPr>
            <w:r>
              <w:rPr>
                <w:rStyle w:val="Style_2_ch"/>
              </w:rPr>
              <w:t>19.06.2026</w:t>
            </w:r>
          </w:p>
        </w:tc>
      </w:tr>
      <w:tr>
        <w:tc>
          <w:tcPr>
            <w:tcW w:type="dxa" w:w="3985"/>
            <w:shd w:themeFill="accent1" w:themeFillTint="31" w:val="clear"/>
            <w:vAlign w:val="center"/>
          </w:tcPr>
          <w:p w14:paraId="64000000">
            <w:pPr>
              <w:widowControl w:val="0"/>
              <w:ind/>
              <w:jc w:val="both"/>
              <w:rPr>
                <w:rFonts w:ascii="Times New Roman" w:hAnsi="Times New Roman"/>
                <w:b w:val="1"/>
              </w:rPr>
            </w:pPr>
            <w:r>
              <w:rPr>
                <w:rFonts w:ascii="Times New Roman" w:hAnsi="Times New Roman"/>
                <w:b w:val="1"/>
              </w:rPr>
              <w:t xml:space="preserve">Начало срока предоставления участникам закупки разъяснений положений </w:t>
            </w:r>
            <w:r>
              <w:rPr>
                <w:rFonts w:ascii="Times New Roman" w:hAnsi="Times New Roman"/>
                <w:b w:val="1"/>
              </w:rPr>
              <w:t>инфокарты</w:t>
            </w:r>
            <w:r>
              <w:rPr>
                <w:rFonts w:ascii="Times New Roman" w:hAnsi="Times New Roman"/>
                <w:b w:val="1"/>
              </w:rPr>
              <w:t>:</w:t>
            </w:r>
          </w:p>
        </w:tc>
        <w:tc>
          <w:tcPr>
            <w:tcW w:type="dxa" w:w="5870"/>
            <w:vAlign w:val="center"/>
          </w:tcPr>
          <w:p w14:paraId="65000000">
            <w:pPr>
              <w:widowControl w:val="0"/>
              <w:ind/>
              <w:jc w:val="both"/>
              <w:rPr>
                <w:rFonts w:ascii="Times New Roman" w:hAnsi="Times New Roman"/>
              </w:rPr>
            </w:pPr>
            <w:r>
              <w:rPr>
                <w:rFonts w:ascii="Times New Roman" w:hAnsi="Times New Roman"/>
              </w:rPr>
              <w:t xml:space="preserve">С момента размещения информации о закупке на сайте электронной торговой площадке Регион </w:t>
            </w:r>
            <w:r>
              <w:rPr>
                <w:rStyle w:val="Style_4_ch"/>
                <w:rFonts w:ascii="Times New Roman" w:hAnsi="Times New Roman"/>
              </w:rPr>
              <w:fldChar w:fldCharType="begin"/>
            </w:r>
            <w:r>
              <w:rPr>
                <w:rStyle w:val="Style_4_ch"/>
                <w:rFonts w:ascii="Times New Roman" w:hAnsi="Times New Roman"/>
              </w:rPr>
              <w:instrText>HYPERLINK "https://torgi.etp-region.ru/"</w:instrText>
            </w:r>
            <w:r>
              <w:rPr>
                <w:rStyle w:val="Style_4_ch"/>
                <w:rFonts w:ascii="Times New Roman" w:hAnsi="Times New Roman"/>
              </w:rPr>
              <w:fldChar w:fldCharType="separate"/>
            </w:r>
            <w:r>
              <w:rPr>
                <w:rStyle w:val="Style_4_ch"/>
                <w:rFonts w:ascii="Times New Roman" w:hAnsi="Times New Roman"/>
              </w:rPr>
              <w:t>https://torgi.etp-region.ru/</w:t>
            </w:r>
            <w:r>
              <w:rPr>
                <w:rStyle w:val="Style_4_ch"/>
                <w:rFonts w:ascii="Times New Roman" w:hAnsi="Times New Roman"/>
              </w:rPr>
              <w:fldChar w:fldCharType="end"/>
            </w:r>
          </w:p>
        </w:tc>
      </w:tr>
      <w:tr>
        <w:tc>
          <w:tcPr>
            <w:tcW w:type="dxa" w:w="3985"/>
            <w:shd w:themeFill="accent1" w:themeFillTint="31" w:val="clear"/>
            <w:vAlign w:val="center"/>
          </w:tcPr>
          <w:p w14:paraId="66000000">
            <w:pPr>
              <w:widowControl w:val="0"/>
              <w:ind/>
              <w:jc w:val="both"/>
              <w:rPr>
                <w:rFonts w:ascii="Times New Roman" w:hAnsi="Times New Roman"/>
                <w:b w:val="1"/>
              </w:rPr>
            </w:pPr>
            <w:r>
              <w:rPr>
                <w:rFonts w:ascii="Times New Roman" w:hAnsi="Times New Roman"/>
                <w:b w:val="1"/>
              </w:rPr>
              <w:t xml:space="preserve">Окончание срока предоставления участникам закупки разъяснений положений </w:t>
            </w:r>
            <w:r>
              <w:rPr>
                <w:rFonts w:ascii="Times New Roman" w:hAnsi="Times New Roman"/>
                <w:b w:val="1"/>
              </w:rPr>
              <w:t>инфокарты</w:t>
            </w:r>
            <w:r>
              <w:rPr>
                <w:rFonts w:ascii="Times New Roman" w:hAnsi="Times New Roman"/>
                <w:b w:val="1"/>
              </w:rPr>
              <w:t>:</w:t>
            </w:r>
          </w:p>
        </w:tc>
        <w:tc>
          <w:tcPr>
            <w:tcW w:type="dxa" w:w="5870"/>
            <w:vAlign w:val="center"/>
          </w:tcPr>
          <w:p w14:paraId="67000000">
            <w:pPr>
              <w:widowControl w:val="0"/>
              <w:tabs>
                <w:tab w:leader="none" w:pos="247" w:val="left"/>
                <w:tab w:leader="none" w:pos="1130" w:val="left"/>
              </w:tabs>
              <w:ind w:firstLine="0" w:left="33"/>
              <w:contextualSpacing w:val="1"/>
              <w:jc w:val="both"/>
              <w:rPr>
                <w:rStyle w:val="Style_2_ch"/>
              </w:rPr>
            </w:pPr>
            <w:r>
              <w:rPr>
                <w:rStyle w:val="Style_2_ch"/>
              </w:rPr>
              <w:t>19.06.2026</w:t>
            </w:r>
          </w:p>
          <w:p w14:paraId="68000000">
            <w:pPr>
              <w:widowControl w:val="0"/>
              <w:ind/>
              <w:jc w:val="both"/>
              <w:rPr>
                <w:rFonts w:ascii="Times New Roman" w:hAnsi="Times New Roman"/>
              </w:rPr>
            </w:pPr>
            <w:r>
              <w:rPr>
                <w:rFonts w:ascii="Times New Roman" w:hAnsi="Times New Roman"/>
              </w:rPr>
              <w:t>в</w:t>
            </w:r>
            <w:r>
              <w:rPr>
                <w:rFonts w:ascii="Times New Roman" w:hAnsi="Times New Roman"/>
              </w:rPr>
              <w:t xml:space="preserve"> </w:t>
            </w:r>
            <w:r>
              <w:rPr>
                <w:rFonts w:ascii="Times New Roman" w:hAnsi="Times New Roman"/>
              </w:rPr>
              <w:t>09</w:t>
            </w:r>
            <w:r>
              <w:rPr>
                <w:rFonts w:ascii="Times New Roman" w:hAnsi="Times New Roman"/>
              </w:rPr>
              <w:t>:</w:t>
            </w:r>
            <w:r>
              <w:rPr>
                <w:rFonts w:ascii="Times New Roman" w:hAnsi="Times New Roman"/>
              </w:rPr>
              <w:t>59</w:t>
            </w:r>
            <w:r>
              <w:rPr>
                <w:rFonts w:ascii="Times New Roman" w:hAnsi="Times New Roman"/>
              </w:rPr>
              <w:t xml:space="preserve"> </w:t>
            </w:r>
            <w:r>
              <w:rPr>
                <w:rFonts w:ascii="Times New Roman" w:hAnsi="Times New Roman"/>
              </w:rPr>
              <w:t>(местное время Заказчика)</w:t>
            </w:r>
          </w:p>
        </w:tc>
      </w:tr>
      <w:tr>
        <w:tc>
          <w:tcPr>
            <w:tcW w:type="dxa" w:w="3985"/>
            <w:shd w:themeFill="accent1" w:themeFillTint="31" w:val="clear"/>
            <w:vAlign w:val="center"/>
          </w:tcPr>
          <w:p w14:paraId="69000000">
            <w:pPr>
              <w:widowControl w:val="0"/>
              <w:ind/>
              <w:jc w:val="both"/>
              <w:rPr>
                <w:rFonts w:ascii="Times New Roman" w:hAnsi="Times New Roman"/>
                <w:b w:val="1"/>
              </w:rPr>
            </w:pPr>
            <w:r>
              <w:rPr>
                <w:rFonts w:ascii="Times New Roman" w:hAnsi="Times New Roman"/>
                <w:b w:val="1"/>
              </w:rPr>
              <w:t>Размер обеспечения заявки на участие в закупке:</w:t>
            </w:r>
          </w:p>
        </w:tc>
        <w:tc>
          <w:tcPr>
            <w:tcW w:type="dxa" w:w="5870"/>
            <w:vAlign w:val="center"/>
          </w:tcPr>
          <w:p w14:paraId="6A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1" w:val="clear"/>
            <w:vAlign w:val="center"/>
          </w:tcPr>
          <w:p w14:paraId="6B000000">
            <w:pPr>
              <w:widowControl w:val="0"/>
              <w:ind/>
              <w:jc w:val="both"/>
              <w:rPr>
                <w:rFonts w:ascii="Times New Roman" w:hAnsi="Times New Roman"/>
                <w:b w:val="1"/>
              </w:rPr>
            </w:pPr>
            <w:r>
              <w:rPr>
                <w:rFonts w:ascii="Times New Roman" w:hAnsi="Times New Roman"/>
                <w:b w:val="1"/>
              </w:rPr>
              <w:t>Требования к обеспечению заявки на участие в закупке:</w:t>
            </w:r>
          </w:p>
        </w:tc>
        <w:tc>
          <w:tcPr>
            <w:tcW w:type="dxa" w:w="5870"/>
            <w:vAlign w:val="center"/>
          </w:tcPr>
          <w:p w14:paraId="6C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5</w:t>
            </w:r>
            <w:r>
              <w:rPr>
                <w:rFonts w:ascii="Times New Roman" w:hAnsi="Times New Roman"/>
              </w:rPr>
              <w:t xml:space="preserve"> </w:t>
            </w:r>
            <w:r>
              <w:rPr>
                <w:rFonts w:ascii="Times New Roman" w:hAnsi="Times New Roman"/>
              </w:rPr>
              <w:t>инфокарты</w:t>
            </w:r>
          </w:p>
        </w:tc>
      </w:tr>
      <w:tr>
        <w:tc>
          <w:tcPr>
            <w:tcW w:type="dxa" w:w="3985"/>
            <w:shd w:themeFill="accent1" w:themeFillTint="31" w:val="clear"/>
            <w:vAlign w:val="center"/>
          </w:tcPr>
          <w:p w14:paraId="6D000000">
            <w:pPr>
              <w:widowControl w:val="0"/>
              <w:ind/>
              <w:jc w:val="both"/>
              <w:rPr>
                <w:rFonts w:ascii="Times New Roman" w:hAnsi="Times New Roman"/>
                <w:b w:val="1"/>
              </w:rPr>
            </w:pPr>
            <w:r>
              <w:rPr>
                <w:rFonts w:ascii="Times New Roman" w:hAnsi="Times New Roman"/>
                <w:b w:val="1"/>
              </w:rPr>
              <w:t>Размер обеспечения исполнения договора:</w:t>
            </w:r>
          </w:p>
        </w:tc>
        <w:tc>
          <w:tcPr>
            <w:tcW w:type="dxa" w:w="5870"/>
            <w:vAlign w:val="center"/>
          </w:tcPr>
          <w:p w14:paraId="6E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1" w:val="clear"/>
            <w:vAlign w:val="center"/>
          </w:tcPr>
          <w:p w14:paraId="6F000000">
            <w:pPr>
              <w:widowControl w:val="0"/>
              <w:ind/>
              <w:jc w:val="both"/>
              <w:rPr>
                <w:rFonts w:ascii="Times New Roman" w:hAnsi="Times New Roman"/>
                <w:b w:val="1"/>
              </w:rPr>
            </w:pPr>
            <w:r>
              <w:rPr>
                <w:rFonts w:ascii="Times New Roman" w:hAnsi="Times New Roman"/>
                <w:b w:val="1"/>
              </w:rPr>
              <w:t>Требования к обеспечению исполнения договора:</w:t>
            </w:r>
          </w:p>
        </w:tc>
        <w:tc>
          <w:tcPr>
            <w:tcW w:type="dxa" w:w="5870"/>
            <w:vAlign w:val="center"/>
          </w:tcPr>
          <w:p w14:paraId="70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6</w:t>
            </w:r>
            <w:r>
              <w:rPr>
                <w:rFonts w:ascii="Times New Roman" w:hAnsi="Times New Roman"/>
              </w:rPr>
              <w:t xml:space="preserve"> </w:t>
            </w:r>
            <w:r>
              <w:rPr>
                <w:rFonts w:ascii="Times New Roman" w:hAnsi="Times New Roman"/>
              </w:rPr>
              <w:t>инфокарты</w:t>
            </w:r>
          </w:p>
        </w:tc>
      </w:tr>
      <w:tr>
        <w:tc>
          <w:tcPr>
            <w:tcW w:type="dxa" w:w="3985"/>
            <w:shd w:themeFill="accent1" w:themeFillTint="31" w:val="clear"/>
            <w:vAlign w:val="center"/>
          </w:tcPr>
          <w:p w14:paraId="71000000">
            <w:pPr>
              <w:widowControl w:val="0"/>
              <w:ind/>
              <w:jc w:val="both"/>
              <w:rPr>
                <w:rFonts w:ascii="Times New Roman" w:hAnsi="Times New Roman"/>
                <w:b w:val="1"/>
              </w:rPr>
            </w:pPr>
            <w:r>
              <w:rPr>
                <w:rFonts w:ascii="Times New Roman" w:hAnsi="Times New Roman"/>
                <w:b w:val="1"/>
              </w:rPr>
              <w:t>Размер обеспечения гарантийных обязательств:</w:t>
            </w:r>
          </w:p>
        </w:tc>
        <w:tc>
          <w:tcPr>
            <w:tcW w:type="dxa" w:w="5870"/>
            <w:vAlign w:val="center"/>
          </w:tcPr>
          <w:p w14:paraId="72000000">
            <w:pPr>
              <w:widowControl w:val="0"/>
              <w:ind/>
              <w:jc w:val="both"/>
              <w:rPr>
                <w:rFonts w:ascii="Times New Roman" w:hAnsi="Times New Roman"/>
              </w:rPr>
            </w:pPr>
            <w:r>
              <w:rPr>
                <w:rFonts w:ascii="Times New Roman" w:hAnsi="Times New Roman"/>
              </w:rPr>
              <w:t xml:space="preserve">Не установлено </w:t>
            </w:r>
          </w:p>
        </w:tc>
      </w:tr>
      <w:tr>
        <w:tc>
          <w:tcPr>
            <w:tcW w:type="dxa" w:w="3985"/>
            <w:shd w:themeFill="accent1" w:themeFillTint="31" w:val="clear"/>
            <w:vAlign w:val="center"/>
          </w:tcPr>
          <w:p w14:paraId="73000000">
            <w:pPr>
              <w:widowControl w:val="0"/>
              <w:ind/>
              <w:jc w:val="both"/>
              <w:rPr>
                <w:rFonts w:ascii="Times New Roman" w:hAnsi="Times New Roman"/>
                <w:b w:val="1"/>
              </w:rPr>
            </w:pPr>
            <w:r>
              <w:rPr>
                <w:rFonts w:ascii="Times New Roman" w:hAnsi="Times New Roman"/>
                <w:b w:val="1"/>
              </w:rPr>
              <w:t>Требования к обеспечению гарантийных обязательств:</w:t>
            </w:r>
          </w:p>
        </w:tc>
        <w:tc>
          <w:tcPr>
            <w:tcW w:type="dxa" w:w="5870"/>
            <w:vAlign w:val="center"/>
          </w:tcPr>
          <w:p w14:paraId="74000000">
            <w:pPr>
              <w:widowControl w:val="0"/>
              <w:ind/>
              <w:jc w:val="both"/>
              <w:rPr>
                <w:rFonts w:ascii="Times New Roman" w:hAnsi="Times New Roman"/>
              </w:rPr>
            </w:pPr>
            <w:r>
              <w:rPr>
                <w:rFonts w:ascii="Times New Roman" w:hAnsi="Times New Roman"/>
              </w:rPr>
              <w:t>В соответствии с пунктом 1</w:t>
            </w:r>
            <w:r>
              <w:rPr>
                <w:rFonts w:ascii="Times New Roman" w:hAnsi="Times New Roman"/>
              </w:rPr>
              <w:t>7</w:t>
            </w:r>
            <w:r>
              <w:rPr>
                <w:rFonts w:ascii="Times New Roman" w:hAnsi="Times New Roman"/>
              </w:rPr>
              <w:t xml:space="preserve"> </w:t>
            </w:r>
            <w:r>
              <w:rPr>
                <w:rFonts w:ascii="Times New Roman" w:hAnsi="Times New Roman"/>
              </w:rPr>
              <w:t>инфокарты</w:t>
            </w:r>
          </w:p>
        </w:tc>
      </w:tr>
      <w:tr>
        <w:tc>
          <w:tcPr>
            <w:tcW w:type="dxa" w:w="3985"/>
            <w:shd w:themeFill="accent1" w:themeFillTint="31" w:val="clear"/>
          </w:tcPr>
          <w:p w14:paraId="75000000">
            <w:pPr>
              <w:widowControl w:val="0"/>
              <w:ind/>
              <w:jc w:val="both"/>
              <w:rPr>
                <w:rFonts w:ascii="Times New Roman" w:hAnsi="Times New Roman"/>
                <w:b w:val="1"/>
              </w:rPr>
            </w:pPr>
            <w:r>
              <w:rPr>
                <w:rFonts w:ascii="Times New Roman" w:hAnsi="Times New Roman"/>
                <w:b w:val="1"/>
              </w:rPr>
              <w:t>Инструкция по заполнению заявки Участником закупки:</w:t>
            </w:r>
          </w:p>
        </w:tc>
        <w:tc>
          <w:tcPr>
            <w:tcW w:type="dxa" w:w="5870"/>
          </w:tcPr>
          <w:p w14:paraId="76000000">
            <w:pPr>
              <w:widowControl w:val="0"/>
              <w:ind w:firstLine="436" w:left="0"/>
              <w:jc w:val="both"/>
              <w:rPr>
                <w:rFonts w:ascii="Times New Roman" w:hAnsi="Times New Roman"/>
              </w:rPr>
            </w:pPr>
            <w:r>
              <w:rPr>
                <w:rFonts w:ascii="Times New Roman" w:hAnsi="Times New Roman"/>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7000000">
            <w:pPr>
              <w:widowControl w:val="0"/>
              <w:ind w:firstLine="436" w:left="0"/>
              <w:jc w:val="both"/>
              <w:rPr>
                <w:rFonts w:ascii="Times New Roman" w:hAnsi="Times New Roman"/>
              </w:rPr>
            </w:pPr>
            <w:r>
              <w:rPr>
                <w:rFonts w:ascii="Times New Roman" w:hAnsi="Times New Roman"/>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78000000">
            <w:pPr>
              <w:widowControl w:val="0"/>
              <w:ind w:firstLine="436" w:left="0"/>
              <w:jc w:val="both"/>
              <w:rPr>
                <w:rFonts w:ascii="Times New Roman" w:hAnsi="Times New Roman"/>
              </w:rPr>
            </w:pPr>
            <w:r>
              <w:rPr>
                <w:rFonts w:ascii="Times New Roman" w:hAnsi="Times New Roman"/>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9000000">
            <w:pPr>
              <w:widowControl w:val="0"/>
              <w:ind w:firstLine="436" w:left="0"/>
              <w:jc w:val="both"/>
              <w:rPr>
                <w:rFonts w:ascii="Times New Roman" w:hAnsi="Times New Roman"/>
              </w:rPr>
            </w:pPr>
            <w:r>
              <w:rPr>
                <w:rFonts w:ascii="Times New Roman" w:hAnsi="Times New Roman"/>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A000000">
            <w:pPr>
              <w:widowControl w:val="0"/>
              <w:ind w:firstLine="436" w:left="0"/>
              <w:jc w:val="both"/>
              <w:rPr>
                <w:rFonts w:ascii="Times New Roman" w:hAnsi="Times New Roman"/>
              </w:rPr>
            </w:pPr>
            <w:r>
              <w:rPr>
                <w:rFonts w:ascii="Times New Roman" w:hAnsi="Times New Roman"/>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B000000">
            <w:pPr>
              <w:widowControl w:val="0"/>
              <w:ind w:firstLine="436" w:left="0"/>
              <w:jc w:val="both"/>
              <w:rPr>
                <w:rFonts w:ascii="Times New Roman" w:hAnsi="Times New Roman"/>
              </w:rPr>
            </w:pPr>
            <w:r>
              <w:rPr>
                <w:rFonts w:ascii="Times New Roman" w:hAnsi="Times New Roman"/>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C000000">
            <w:pPr>
              <w:widowControl w:val="0"/>
              <w:ind w:firstLine="436" w:left="0"/>
              <w:jc w:val="both"/>
              <w:rPr>
                <w:rFonts w:ascii="Times New Roman" w:hAnsi="Times New Roman"/>
              </w:rPr>
            </w:pPr>
            <w:r>
              <w:rPr>
                <w:rFonts w:ascii="Times New Roman" w:hAnsi="Times New Roman"/>
              </w:rPr>
              <w:t>В описании условий и предложений Участник закупки не должен допускать двусмысленных толкований, разночтений.</w:t>
            </w:r>
          </w:p>
        </w:tc>
      </w:tr>
    </w:tbl>
    <w:p w14:paraId="7D000000">
      <w:pPr>
        <w:widowControl w:val="0"/>
        <w:spacing w:after="0" w:line="240" w:lineRule="auto"/>
        <w:ind w:firstLine="567" w:left="0"/>
        <w:jc w:val="both"/>
        <w:rPr>
          <w:rFonts w:ascii="Times New Roman" w:hAnsi="Times New Roman"/>
        </w:rPr>
      </w:pPr>
    </w:p>
    <w:p w14:paraId="7E000000">
      <w:pPr>
        <w:ind/>
        <w:jc w:val="center"/>
        <w:rPr>
          <w:rFonts w:ascii="Times New Roman" w:hAnsi="Times New Roman"/>
          <w:b w:val="1"/>
        </w:rPr>
      </w:pPr>
      <w:r>
        <w:rPr>
          <w:rFonts w:ascii="Times New Roman" w:hAnsi="Times New Roman"/>
          <w:b w:val="1"/>
        </w:rPr>
        <w:br w:type="page"/>
      </w:r>
      <w:r>
        <w:rPr>
          <w:rFonts w:ascii="Times New Roman" w:hAnsi="Times New Roman"/>
          <w:b w:val="1"/>
        </w:rPr>
        <w:t>ПРЕДОСТАВЛЕНИЕ НАЦИОНАЛЬНОГО РЕЖИМА ПРИ ОСУЩЕСТВЛЕНИИ ЗАКУПОК</w:t>
      </w:r>
    </w:p>
    <w:p w14:paraId="7F000000">
      <w:pPr>
        <w:widowControl w:val="0"/>
        <w:spacing w:after="0" w:line="240" w:lineRule="auto"/>
        <w:ind w:firstLine="567" w:left="0"/>
        <w:jc w:val="both"/>
        <w:rPr>
          <w:rFonts w:ascii="Times New Roman" w:hAnsi="Times New Roman"/>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550"/>
        <w:gridCol w:w="4305"/>
      </w:tblGrid>
      <w:tr>
        <w:tc>
          <w:tcPr>
            <w:tcW w:type="dxa" w:w="9855"/>
            <w:gridSpan w:val="2"/>
            <w:tcBorders>
              <w:top w:color="000000" w:sz="4" w:val="single"/>
              <w:left w:color="000000" w:sz="4" w:val="single"/>
              <w:bottom w:color="000000" w:sz="4" w:val="single"/>
              <w:right w:color="000000" w:sz="4" w:val="single"/>
            </w:tcBorders>
            <w:shd w:themeFill="accent1" w:themeFillTint="31" w:val="clear"/>
            <w:vAlign w:val="center"/>
          </w:tcPr>
          <w:p w14:paraId="80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c>
          <w:tcPr>
            <w:tcW w:type="dxa" w:w="5550"/>
            <w:tcBorders>
              <w:top w:color="000000" w:sz="4" w:val="single"/>
              <w:left w:color="000000" w:sz="4" w:val="single"/>
              <w:bottom w:color="000000" w:sz="4" w:val="single"/>
              <w:right w:color="000000" w:sz="4" w:val="single"/>
            </w:tcBorders>
            <w:vAlign w:val="center"/>
          </w:tcPr>
          <w:p w14:paraId="81000000">
            <w:pPr>
              <w:widowControl w:val="0"/>
              <w:spacing w:after="0" w:line="240" w:lineRule="auto"/>
              <w:ind w:firstLine="396" w:left="0"/>
              <w:jc w:val="both"/>
              <w:rPr>
                <w:rFonts w:ascii="Times New Roman" w:hAnsi="Times New Roman"/>
                <w:sz w:val="20"/>
              </w:rPr>
            </w:pPr>
            <w:r>
              <w:rPr>
                <w:rFonts w:ascii="Times New Roman" w:hAnsi="Times New Roman"/>
                <w:b w:val="1"/>
                <w:sz w:val="20"/>
              </w:rPr>
              <w:t>ЗАПРЕТ</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type="dxa" w:w="4305"/>
            <w:tcBorders>
              <w:top w:color="000000" w:sz="4" w:val="single"/>
              <w:left w:color="000000" w:sz="4" w:val="single"/>
              <w:bottom w:color="000000" w:sz="4" w:val="single"/>
              <w:right w:color="000000" w:sz="4" w:val="single"/>
            </w:tcBorders>
            <w:vAlign w:val="center"/>
          </w:tcPr>
          <w:p w14:paraId="82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3000000">
            <w:pPr>
              <w:widowControl w:val="0"/>
              <w:spacing w:after="0" w:line="240" w:lineRule="auto"/>
              <w:ind w:firstLine="396" w:left="0"/>
              <w:jc w:val="both"/>
              <w:rPr>
                <w:rFonts w:ascii="Times New Roman" w:hAnsi="Times New Roman"/>
                <w:sz w:val="20"/>
              </w:rPr>
            </w:pPr>
            <w:r>
              <w:rPr>
                <w:rFonts w:ascii="Times New Roman" w:hAnsi="Times New Roman"/>
                <w:b w:val="1"/>
                <w:sz w:val="20"/>
              </w:rPr>
              <w:t>ОГРАНИЧЕНИЕ</w:t>
            </w:r>
            <w:r>
              <w:rPr>
                <w:rFonts w:ascii="Times New Roman" w:hAnsi="Times New Roman"/>
                <w:sz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type="dxa" w:w="4305"/>
            <w:tcBorders>
              <w:top w:color="000000" w:sz="4" w:val="single"/>
              <w:left w:color="000000" w:sz="4" w:val="single"/>
              <w:bottom w:color="000000" w:sz="4" w:val="single"/>
              <w:right w:color="000000" w:sz="4" w:val="single"/>
            </w:tcBorders>
            <w:vAlign w:val="center"/>
          </w:tcPr>
          <w:p w14:paraId="84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5000000">
            <w:pPr>
              <w:widowControl w:val="0"/>
              <w:spacing w:after="0" w:line="240" w:lineRule="auto"/>
              <w:ind w:firstLine="396" w:left="0"/>
              <w:jc w:val="both"/>
              <w:rPr>
                <w:rFonts w:ascii="Times New Roman" w:hAnsi="Times New Roman"/>
                <w:sz w:val="20"/>
              </w:rPr>
            </w:pPr>
            <w:r>
              <w:rPr>
                <w:rFonts w:ascii="Times New Roman" w:hAnsi="Times New Roman"/>
                <w:b w:val="1"/>
                <w:sz w:val="20"/>
              </w:rPr>
              <w:t>ПРЕИМУЩЕСТВО</w:t>
            </w:r>
            <w:r>
              <w:rPr>
                <w:rFonts w:ascii="Times New Roman" w:hAnsi="Times New Roman"/>
                <w:sz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type="dxa" w:w="4305"/>
            <w:tcBorders>
              <w:top w:color="000000" w:sz="4" w:val="single"/>
              <w:left w:color="000000" w:sz="4" w:val="single"/>
              <w:bottom w:color="000000" w:sz="4" w:val="single"/>
              <w:right w:color="000000" w:sz="4" w:val="single"/>
            </w:tcBorders>
            <w:vAlign w:val="center"/>
          </w:tcPr>
          <w:p w14:paraId="86000000">
            <w:pPr>
              <w:widowControl w:val="0"/>
              <w:spacing w:after="0" w:line="240" w:lineRule="auto"/>
              <w:ind w:firstLine="0" w:left="112"/>
              <w:jc w:val="both"/>
              <w:rPr>
                <w:rFonts w:ascii="Times New Roman" w:hAnsi="Times New Roman"/>
                <w:b w:val="1"/>
                <w:sz w:val="20"/>
              </w:rPr>
            </w:pPr>
            <w:r>
              <w:rPr>
                <w:rFonts w:ascii="Times New Roman" w:hAnsi="Times New Roman"/>
                <w:sz w:val="20"/>
              </w:rPr>
              <w:t>НЕ предоставляется</w:t>
            </w:r>
          </w:p>
        </w:tc>
      </w:tr>
      <w:tr>
        <w:tc>
          <w:tcPr>
            <w:tcW w:type="dxa" w:w="5550"/>
            <w:tcBorders>
              <w:top w:color="000000" w:sz="4" w:val="single"/>
              <w:left w:color="000000" w:sz="4" w:val="single"/>
              <w:bottom w:color="000000" w:sz="4" w:val="single"/>
              <w:right w:color="000000" w:sz="4" w:val="single"/>
            </w:tcBorders>
            <w:vAlign w:val="center"/>
          </w:tcPr>
          <w:p w14:paraId="87000000">
            <w:pPr>
              <w:widowControl w:val="0"/>
              <w:spacing w:after="0" w:line="240" w:lineRule="auto"/>
              <w:ind w:firstLine="396" w:left="0"/>
              <w:jc w:val="both"/>
              <w:rPr>
                <w:rFonts w:ascii="Times New Roman" w:hAnsi="Times New Roman"/>
                <w:b w:val="1"/>
                <w:sz w:val="20"/>
              </w:rPr>
            </w:pPr>
            <w:r>
              <w:rPr>
                <w:rFonts w:ascii="Times New Roman" w:hAnsi="Times New Roman"/>
                <w:b w:val="1"/>
                <w:sz w:val="20"/>
              </w:rPr>
              <w:t xml:space="preserve">УСЛОВИЯ </w:t>
            </w:r>
            <w:r>
              <w:rPr>
                <w:rFonts w:ascii="Times New Roman" w:hAnsi="Times New Roman"/>
                <w:sz w:val="20"/>
              </w:rPr>
              <w:t xml:space="preserve">неприменения (невозможности применения) </w:t>
            </w:r>
            <w:r>
              <w:rPr>
                <w:rFonts w:ascii="Times New Roman" w:hAnsi="Times New Roman"/>
                <w:sz w:val="20"/>
              </w:rPr>
              <w:t xml:space="preserve">вышеуказанных </w:t>
            </w:r>
            <w:r>
              <w:rPr>
                <w:rFonts w:ascii="Times New Roman" w:hAnsi="Times New Roman"/>
                <w:sz w:val="20"/>
              </w:rPr>
              <w:t>мер национального режима:</w:t>
            </w:r>
          </w:p>
        </w:tc>
        <w:tc>
          <w:tcPr>
            <w:tcW w:type="dxa" w:w="4305"/>
            <w:tcBorders>
              <w:top w:color="000000" w:sz="4" w:val="single"/>
              <w:left w:color="000000" w:sz="4" w:val="single"/>
              <w:bottom w:color="000000" w:sz="4" w:val="single"/>
              <w:right w:color="000000" w:sz="4" w:val="single"/>
            </w:tcBorders>
            <w:vAlign w:val="center"/>
          </w:tcPr>
          <w:p w14:paraId="88000000">
            <w:pPr>
              <w:widowControl w:val="0"/>
              <w:spacing w:after="0" w:line="240" w:lineRule="auto"/>
              <w:ind w:firstLine="0" w:left="112"/>
              <w:jc w:val="both"/>
              <w:rPr>
                <w:rFonts w:ascii="Times New Roman" w:hAnsi="Times New Roman"/>
                <w:sz w:val="20"/>
              </w:rPr>
            </w:pPr>
            <w:r>
              <w:rPr>
                <w:rFonts w:ascii="Times New Roman" w:hAnsi="Times New Roman"/>
                <w:sz w:val="20"/>
              </w:rPr>
              <w:t>-</w:t>
            </w:r>
          </w:p>
        </w:tc>
      </w:tr>
    </w:tbl>
    <w:p w14:paraId="89000000">
      <w:pPr>
        <w:widowControl w:val="0"/>
        <w:spacing w:after="0" w:line="240" w:lineRule="auto"/>
        <w:ind w:firstLine="567" w:left="0"/>
        <w:jc w:val="both"/>
        <w:rPr>
          <w:rFonts w:ascii="Times New Roman" w:hAnsi="Times New Roman"/>
        </w:rPr>
      </w:pPr>
    </w:p>
    <w:p w14:paraId="8A000000">
      <w:pPr>
        <w:widowControl w:val="0"/>
        <w:spacing w:after="0" w:line="240" w:lineRule="auto"/>
        <w:ind w:firstLine="567" w:left="0"/>
        <w:jc w:val="both"/>
        <w:rPr>
          <w:rFonts w:ascii="Times New Roman" w:hAnsi="Times New Roman"/>
        </w:rPr>
      </w:pPr>
    </w:p>
    <w:p w14:paraId="8B000000">
      <w:pPr>
        <w:widowControl w:val="0"/>
        <w:spacing w:after="0" w:line="240" w:lineRule="auto"/>
        <w:ind w:firstLine="567" w:left="0"/>
        <w:jc w:val="both"/>
        <w:rPr>
          <w:rFonts w:ascii="Times New Roman" w:hAnsi="Times New Roman"/>
        </w:rPr>
      </w:pPr>
    </w:p>
    <w:p w14:paraId="8C000000">
      <w:pPr>
        <w:widowControl w:val="0"/>
        <w:spacing w:after="0" w:line="240" w:lineRule="auto"/>
        <w:ind/>
        <w:rPr>
          <w:rFonts w:ascii="Times New Roman" w:hAnsi="Times New Roman"/>
        </w:rPr>
      </w:pPr>
      <w:r>
        <w:rPr>
          <w:rFonts w:ascii="Times New Roman" w:hAnsi="Times New Roman"/>
        </w:rPr>
        <w:br w:type="page"/>
      </w:r>
    </w:p>
    <w:p w14:paraId="8D000000">
      <w:pPr>
        <w:widowControl w:val="0"/>
        <w:spacing w:after="0" w:line="240" w:lineRule="auto"/>
        <w:ind/>
        <w:jc w:val="center"/>
        <w:rPr>
          <w:rFonts w:ascii="Times New Roman" w:hAnsi="Times New Roman"/>
        </w:rPr>
      </w:pPr>
      <w:r>
        <w:rPr>
          <w:rFonts w:ascii="Times New Roman" w:hAnsi="Times New Roman"/>
          <w:b w:val="1"/>
        </w:rPr>
        <w:t xml:space="preserve">НАИМЕНОВАНИЕ И СОДЕРЖАНИЕ РАЗДЕЛОВ </w:t>
      </w:r>
      <w:r>
        <w:rPr>
          <w:rFonts w:ascii="Times New Roman" w:hAnsi="Times New Roman"/>
          <w:b w:val="1"/>
        </w:rPr>
        <w:t>ИНФОКАРТЫ</w:t>
      </w:r>
      <w:r>
        <w:rPr>
          <w:rFonts w:ascii="Times New Roman" w:hAnsi="Times New Roman"/>
          <w:b w:val="1"/>
        </w:rPr>
        <w:t xml:space="preserve"> </w:t>
      </w:r>
      <w:r>
        <w:rPr>
          <w:rFonts w:ascii="Times New Roman" w:hAnsi="Times New Roman"/>
          <w:b w:val="1"/>
        </w:rPr>
        <w:t>В ЭЛЕКТРОННОЙ ФОРМЕ</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64"/>
        <w:gridCol w:w="8791"/>
      </w:tblGrid>
      <w:tr>
        <w:trPr>
          <w:trHeight w:hRule="atLeast" w:val="92"/>
        </w:trPr>
        <w:tc>
          <w:tcPr>
            <w:tcW w:type="dxa" w:w="1064"/>
            <w:vMerge w:val="restart"/>
            <w:tcBorders>
              <w:top w:color="000000" w:sz="4" w:val="single"/>
              <w:left w:color="000000" w:sz="4" w:val="single"/>
              <w:bottom w:color="000000" w:sz="4" w:val="single"/>
              <w:right w:color="000000" w:sz="4" w:val="single"/>
            </w:tcBorders>
            <w:vAlign w:val="center"/>
          </w:tcPr>
          <w:p w14:paraId="8E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8F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Предмет договора</w:t>
            </w:r>
          </w:p>
        </w:tc>
      </w:tr>
      <w:tr>
        <w:trPr>
          <w:trHeight w:hRule="atLeast" w:val="91"/>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90000000">
            <w:pPr>
              <w:spacing w:after="0"/>
              <w:ind/>
              <w:jc w:val="center"/>
              <w:rPr>
                <w:b w:val="1"/>
              </w:rPr>
            </w:pPr>
            <w:r>
              <w:rPr>
                <w:rFonts w:ascii="Times New Roman" w:hAnsi="Times New Roman"/>
                <w:b w:val="1"/>
                <w:sz w:val="20"/>
              </w:rPr>
              <w:t>О</w:t>
            </w:r>
            <w:r>
              <w:rPr>
                <w:rFonts w:ascii="Times New Roman" w:hAnsi="Times New Roman"/>
                <w:b w:val="1"/>
                <w:sz w:val="20"/>
              </w:rPr>
              <w:t>казание услуг по физической охране объектов МАДОУ Д.С. № 2 ЗАТО МЕЖГОРЬЕ РЕСПУБЛИКИ БАШКОРТОСТАН</w:t>
            </w:r>
          </w:p>
        </w:tc>
      </w:tr>
      <w:tr>
        <w:tc>
          <w:tcPr>
            <w:tcW w:type="dxa" w:w="1064"/>
            <w:vMerge w:val="restart"/>
            <w:tcBorders>
              <w:top w:color="000000" w:sz="4" w:val="single"/>
              <w:left w:color="000000" w:sz="4" w:val="single"/>
              <w:bottom w:color="000000" w:sz="4" w:val="single"/>
              <w:right w:color="000000" w:sz="4" w:val="single"/>
            </w:tcBorders>
            <w:vAlign w:val="center"/>
          </w:tcPr>
          <w:p w14:paraId="91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2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Описание предмета договора</w:t>
            </w:r>
          </w:p>
          <w:p w14:paraId="93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p w14:paraId="9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sz w:val="20"/>
              </w:rPr>
              <w:t>прилагается отдельным файлом</w:t>
            </w: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9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Количество (о</w:t>
            </w:r>
            <w:r>
              <w:rPr>
                <w:rFonts w:ascii="Times New Roman" w:hAnsi="Times New Roman"/>
                <w:b w:val="1"/>
                <w:sz w:val="20"/>
              </w:rPr>
              <w:t>бъем</w:t>
            </w:r>
            <w:r>
              <w:rPr>
                <w:rFonts w:ascii="Times New Roman" w:hAnsi="Times New Roman"/>
                <w:b w:val="1"/>
                <w:sz w:val="20"/>
              </w:rPr>
              <w:t>)</w:t>
            </w:r>
            <w:r>
              <w:rPr>
                <w:rFonts w:ascii="Times New Roman" w:hAnsi="Times New Roman"/>
                <w:b w:val="1"/>
                <w:sz w:val="20"/>
              </w:rPr>
              <w:t xml:space="preserve"> поставки товара, оказания услуг, выполнения работ</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8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(техническое задание</w:t>
            </w:r>
            <w:r>
              <w:rPr>
                <w:rFonts w:ascii="Times New Roman" w:hAnsi="Times New Roman"/>
                <w:sz w:val="20"/>
              </w:rPr>
              <w:t xml:space="preserve"> – прилагается отдельным файлом</w:t>
            </w:r>
            <w:r>
              <w:rPr>
                <w:rFonts w:ascii="Times New Roman" w:hAnsi="Times New Roman"/>
                <w:sz w:val="20"/>
              </w:rPr>
              <w:t>)</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99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A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Место, условия и сроки (периоды)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B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описанием предмета договора (</w:t>
            </w:r>
            <w:r>
              <w:rPr>
                <w:rFonts w:ascii="Times New Roman" w:hAnsi="Times New Roman"/>
                <w:sz w:val="20"/>
              </w:rPr>
              <w:t>техническое задание – прилагается отдельным файлом</w:t>
            </w:r>
            <w:r>
              <w:rPr>
                <w:rFonts w:ascii="Times New Roman" w:hAnsi="Times New Roman"/>
                <w:sz w:val="20"/>
              </w:rPr>
              <w:t>), проектом договора (</w:t>
            </w:r>
            <w:r>
              <w:rPr>
                <w:rFonts w:ascii="Times New Roman" w:hAnsi="Times New Roman"/>
                <w:sz w:val="20"/>
              </w:rPr>
              <w:t>прилагается отдельным файлом</w:t>
            </w: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9C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9D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9E000000">
            <w:pPr>
              <w:spacing w:after="0" w:line="240" w:lineRule="auto"/>
              <w:ind/>
              <w:jc w:val="both"/>
              <w:rPr>
                <w:rFonts w:ascii="Times New Roman" w:hAnsi="Times New Roman"/>
                <w:sz w:val="20"/>
              </w:rPr>
            </w:pPr>
            <w:r>
              <w:rPr>
                <w:rFonts w:ascii="Times New Roman" w:hAnsi="Times New Roman"/>
                <w:sz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Times New Roman" w:hAnsi="Times New Roman"/>
                <w:b w:val="1"/>
                <w:color w:val="000000"/>
                <w:sz w:val="20"/>
              </w:rPr>
              <w:t>1 114 148 (один миллион сто четырнадцать тысяч сто сорок восемь) рублей 00 копеек</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9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6</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0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b w:val="1"/>
                <w:sz w:val="20"/>
              </w:rPr>
              <w:t xml:space="preserve"> (прилагается отдельным файлом)</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1000000">
            <w:pPr>
              <w:spacing w:after="0" w:line="240" w:lineRule="auto"/>
              <w:ind w:firstLine="709" w:left="0"/>
              <w:jc w:val="both"/>
              <w:rPr>
                <w:rFonts w:ascii="Times New Roman" w:hAnsi="Times New Roman"/>
                <w:sz w:val="20"/>
              </w:rPr>
            </w:pPr>
            <w:r>
              <w:rPr>
                <w:rFonts w:ascii="Times New Roman" w:hAnsi="Times New Roman"/>
                <w:sz w:val="20"/>
              </w:rPr>
              <w:t xml:space="preserve">Начальная (максимальная) цена договора </w:t>
            </w:r>
            <w:r>
              <w:rPr>
                <w:rFonts w:ascii="Times New Roman" w:hAnsi="Times New Roman"/>
                <w:sz w:val="20"/>
              </w:rPr>
              <w:t>сформирована в соответствии с Техническим заданием (</w:t>
            </w:r>
            <w:r>
              <w:rPr>
                <w:rFonts w:ascii="Times New Roman" w:hAnsi="Times New Roman"/>
                <w:sz w:val="20"/>
              </w:rPr>
              <w:t>прилагается отдельным файлом</w:t>
            </w:r>
            <w:r>
              <w:rPr>
                <w:rFonts w:ascii="Times New Roman" w:hAnsi="Times New Roman"/>
                <w:sz w:val="20"/>
              </w:rPr>
              <w:t>)</w:t>
            </w:r>
            <w:r>
              <w:rPr>
                <w:rFonts w:ascii="Times New Roman" w:hAnsi="Times New Roman"/>
                <w:sz w:val="20"/>
              </w:rPr>
              <w:t>.</w:t>
            </w:r>
            <w:r>
              <w:rPr>
                <w:rFonts w:ascii="Times New Roman" w:hAnsi="Times New Roman"/>
                <w:sz w:val="20"/>
              </w:rPr>
              <w:t xml:space="preserve"> </w:t>
            </w:r>
            <w:r>
              <w:rPr>
                <w:rFonts w:ascii="Times New Roman" w:hAnsi="Times New Roman"/>
                <w:sz w:val="20"/>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14:paraId="A2000000">
            <w:pPr>
              <w:widowControl w:val="0"/>
              <w:spacing w:after="0" w:line="240" w:lineRule="auto"/>
              <w:ind w:firstLine="521" w:left="0"/>
              <w:contextualSpacing w:val="1"/>
              <w:jc w:val="both"/>
              <w:rPr>
                <w:rFonts w:ascii="Times New Roman" w:hAnsi="Times New Roman"/>
                <w:b w:val="1"/>
                <w:sz w:val="20"/>
              </w:rPr>
            </w:pPr>
            <w:r>
              <w:rPr>
                <w:rFonts w:ascii="Times New Roman" w:hAnsi="Times New Roman"/>
                <w:sz w:val="20"/>
              </w:rPr>
              <w:t>Метод обоснования начальной (максимальной) цены договора</w:t>
            </w:r>
            <w:r>
              <w:rPr>
                <w:rFonts w:ascii="Times New Roman" w:hAnsi="Times New Roman"/>
                <w:sz w:val="20"/>
              </w:rPr>
              <w:t>:</w:t>
            </w:r>
            <w:r>
              <w:rPr>
                <w:rFonts w:ascii="Times New Roman" w:hAnsi="Times New Roman"/>
                <w:sz w:val="20"/>
              </w:rPr>
              <w:t xml:space="preserve"> </w:t>
            </w:r>
            <w:r>
              <w:rPr>
                <w:rFonts w:ascii="Times New Roman" w:hAnsi="Times New Roman"/>
                <w:sz w:val="20"/>
              </w:rPr>
              <w:t>метод сопоставимых рыночных цен (анализ рынка)</w:t>
            </w:r>
            <w:r>
              <w:rPr>
                <w:rFonts w:ascii="Times New Roman" w:hAnsi="Times New Roman"/>
                <w:b w:val="1"/>
              </w:rPr>
              <w:t xml:space="preserve"> </w:t>
            </w:r>
          </w:p>
        </w:tc>
      </w:tr>
      <w:tr>
        <w:trPr>
          <w:trHeight w:hRule="atLeast" w:val="183"/>
        </w:trPr>
        <w:tc>
          <w:tcPr>
            <w:tcW w:type="dxa" w:w="1064"/>
            <w:vMerge w:val="restart"/>
            <w:tcBorders>
              <w:top w:color="000000" w:sz="4" w:val="single"/>
              <w:left w:color="000000" w:sz="4" w:val="single"/>
              <w:bottom w:color="000000" w:sz="4" w:val="single"/>
              <w:right w:color="000000" w:sz="4" w:val="single"/>
            </w:tcBorders>
            <w:vAlign w:val="center"/>
          </w:tcPr>
          <w:p w14:paraId="A3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4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Форма, сроки и порядок оплаты поставки, оказания услуг, выполнения работ</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5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sz w:val="20"/>
              </w:rPr>
              <w:t>В соответствии с проектом договора</w:t>
            </w:r>
            <w:r>
              <w:rPr>
                <w:rFonts w:ascii="Times New Roman" w:hAnsi="Times New Roman"/>
                <w:sz w:val="20"/>
              </w:rPr>
              <w:t xml:space="preserve"> (</w:t>
            </w:r>
            <w:r>
              <w:rPr>
                <w:rFonts w:ascii="Times New Roman" w:hAnsi="Times New Roman"/>
                <w:sz w:val="20"/>
              </w:rPr>
              <w:t>прилагается отдельным файлом</w:t>
            </w: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8000000">
            <w:pPr>
              <w:widowControl w:val="0"/>
              <w:spacing w:after="0" w:line="240" w:lineRule="auto"/>
              <w:ind w:firstLine="0" w:left="34"/>
              <w:contextualSpacing w:val="1"/>
              <w:jc w:val="center"/>
              <w:rPr>
                <w:rFonts w:ascii="Times New Roman" w:hAnsi="Times New Roman"/>
                <w:sz w:val="20"/>
              </w:rPr>
            </w:pPr>
            <w:r>
              <w:rPr>
                <w:rFonts w:ascii="Times New Roman" w:hAnsi="Times New Roman"/>
                <w:sz w:val="20"/>
              </w:rPr>
              <w:t>Не применяется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9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9</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A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Сведения о валюте, используемой для формирования цены договора и расчетов с поставщиками (подрядчиками, исполнителями)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B000000">
            <w:pPr>
              <w:widowControl w:val="0"/>
              <w:spacing w:after="0" w:line="240" w:lineRule="auto"/>
              <w:ind w:firstLine="0" w:left="34"/>
              <w:contextualSpacing w:val="1"/>
              <w:jc w:val="both"/>
              <w:rPr>
                <w:rFonts w:ascii="Times New Roman" w:hAnsi="Times New Roman"/>
                <w:sz w:val="20"/>
              </w:rPr>
            </w:pPr>
            <w:r>
              <w:rPr>
                <w:rFonts w:ascii="Times New Roman" w:hAnsi="Times New Roman"/>
                <w:sz w:val="20"/>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C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0</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AD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 xml:space="preserve">Порядок и сроки внесения изменений в </w:t>
            </w:r>
            <w:r>
              <w:rPr>
                <w:rFonts w:ascii="Times New Roman" w:hAnsi="Times New Roman"/>
                <w:b w:val="1"/>
                <w:sz w:val="20"/>
              </w:rPr>
              <w:t>информационную карту</w:t>
            </w:r>
            <w:r>
              <w:rPr>
                <w:rFonts w:ascii="Times New Roman" w:hAnsi="Times New Roman"/>
                <w:b w:val="1"/>
                <w:sz w:val="20"/>
              </w:rPr>
              <w:t>, отмены закупки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AE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Заказчик вправе принять решение о внесении изменений в информационную карту.</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A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0000000">
            <w:pPr>
              <w:widowControl w:val="0"/>
              <w:spacing w:after="0" w:line="240" w:lineRule="auto"/>
              <w:ind w:firstLine="0" w:left="34"/>
              <w:contextualSpacing w:val="1"/>
              <w:jc w:val="center"/>
              <w:rPr>
                <w:rFonts w:ascii="Times New Roman" w:hAnsi="Times New Roman"/>
                <w:b w:val="1"/>
                <w:sz w:val="20"/>
              </w:rPr>
            </w:pPr>
            <w:r>
              <w:rPr>
                <w:rFonts w:ascii="Times New Roman" w:hAnsi="Times New Roman"/>
                <w:b w:val="1"/>
                <w:sz w:val="20"/>
              </w:rPr>
              <w:t xml:space="preserve">Формы, порядок, дата и время окончания срока предоставления участникам закупки разъяснений положений </w:t>
            </w:r>
            <w:r>
              <w:rPr>
                <w:rFonts w:ascii="Times New Roman" w:hAnsi="Times New Roman"/>
                <w:b w:val="1"/>
                <w:sz w:val="20"/>
              </w:rPr>
              <w:t>инфокарты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1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Любой участник закупки вправе направить Заказчику запрос о даче разъяснений положений </w:t>
            </w:r>
            <w:r>
              <w:rPr>
                <w:rFonts w:ascii="Times New Roman" w:hAnsi="Times New Roman"/>
                <w:sz w:val="20"/>
              </w:rPr>
              <w:t>инфокарты</w:t>
            </w:r>
            <w:r>
              <w:rPr>
                <w:rFonts w:ascii="Times New Roman" w:hAnsi="Times New Roman"/>
                <w:sz w:val="20"/>
              </w:rPr>
              <w:t xml:space="preserve"> (далее – запрос).</w:t>
            </w:r>
          </w:p>
          <w:p w14:paraId="B2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B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Заказчик вправе предоставлять разъяснения положений информационной карты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4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5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Возможность заказчика заключить договор с несколькими участниками</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6000000">
            <w:pPr>
              <w:widowControl w:val="0"/>
              <w:spacing w:after="0" w:line="240" w:lineRule="auto"/>
              <w:ind w:firstLine="5" w:left="34"/>
              <w:contextualSpacing w:val="1"/>
              <w:jc w:val="center"/>
              <w:rPr>
                <w:rFonts w:ascii="Times New Roman" w:hAnsi="Times New Roman"/>
                <w:sz w:val="20"/>
              </w:rPr>
            </w:pPr>
            <w:r>
              <w:rPr>
                <w:rFonts w:ascii="Times New Roman" w:hAnsi="Times New Roman"/>
                <w:sz w:val="20"/>
              </w:rPr>
              <w:t>Не предусмотрена</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7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8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Срок подписания договора участником закупки, с которым заключается договор</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A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B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 xml:space="preserve">Предоставление </w:t>
            </w:r>
            <w:r>
              <w:rPr>
                <w:rFonts w:ascii="Times New Roman" w:hAnsi="Times New Roman"/>
                <w:b w:val="1"/>
                <w:sz w:val="20"/>
              </w:rPr>
              <w:t>информационной карты</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C000000">
            <w:pPr>
              <w:widowControl w:val="0"/>
              <w:spacing w:after="0" w:line="240" w:lineRule="auto"/>
              <w:ind w:firstLine="431" w:left="34"/>
              <w:contextualSpacing w:val="1"/>
              <w:jc w:val="both"/>
              <w:rPr>
                <w:rFonts w:ascii="Times New Roman" w:hAnsi="Times New Roman"/>
                <w:sz w:val="20"/>
              </w:rPr>
            </w:pPr>
            <w:r>
              <w:rPr>
                <w:rFonts w:ascii="Times New Roman" w:hAnsi="Times New Roman"/>
                <w:sz w:val="20"/>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BD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BE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заявки на участие в закупке</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BF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0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6</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C1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исполнения договора</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2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rPr>
          <w:trHeight w:hRule="atLeast" w:val="182"/>
        </w:trPr>
        <w:tc>
          <w:tcPr>
            <w:tcW w:type="dxa" w:w="1064"/>
            <w:vMerge w:val="restart"/>
            <w:tcBorders>
              <w:top w:color="000000" w:sz="4" w:val="single"/>
              <w:left w:color="000000" w:sz="4" w:val="single"/>
              <w:bottom w:color="000000" w:sz="4" w:val="single"/>
              <w:right w:color="000000" w:sz="4" w:val="single"/>
            </w:tcBorders>
            <w:vAlign w:val="center"/>
          </w:tcPr>
          <w:p w14:paraId="C3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C4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Требования к обеспечению гарантийных обязательств</w:t>
            </w:r>
          </w:p>
        </w:tc>
      </w:tr>
      <w:tr>
        <w:trPr>
          <w:trHeight w:hRule="atLeast" w:val="182"/>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C5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C6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w:t>
            </w: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C7000000">
            <w:pPr>
              <w:widowControl w:val="0"/>
              <w:spacing w:after="0" w:line="240" w:lineRule="auto"/>
              <w:ind w:firstLine="0" w:left="34"/>
              <w:contextualSpacing w:val="1"/>
              <w:jc w:val="center"/>
              <w:rPr>
                <w:rFonts w:ascii="Times New Roman" w:hAnsi="Times New Roman"/>
                <w:sz w:val="20"/>
              </w:rPr>
            </w:pPr>
            <w:r>
              <w:rPr>
                <w:rFonts w:ascii="Times New Roman" w:hAnsi="Times New Roman"/>
                <w:b w:val="1"/>
                <w:sz w:val="20"/>
              </w:rPr>
              <w:t>Требования к участникам закупки</w:t>
            </w:r>
            <w:r>
              <w:rPr>
                <w:rFonts w:ascii="Times New Roman" w:hAnsi="Times New Roman"/>
                <w:b w:val="1"/>
                <w:sz w:val="20"/>
              </w:rPr>
              <w:t xml:space="preserve"> (указанные в настоящем разделе требования предъявляются в равной мере ко всем участникам закупок)</w:t>
            </w:r>
            <w:r>
              <w:rPr>
                <w:rFonts w:ascii="Times New Roman" w:hAnsi="Times New Roman"/>
                <w:b w:val="1"/>
                <w:sz w:val="20"/>
              </w:rPr>
              <w:t>:</w:t>
            </w:r>
          </w:p>
        </w:tc>
      </w:tr>
      <w:tr>
        <w:trPr>
          <w:trHeight w:hRule="atLeast" w:val="775"/>
        </w:trP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1. </w:t>
            </w:r>
            <w:r>
              <w:rPr>
                <w:rFonts w:ascii="Times New Roman" w:hAnsi="Times New Roman"/>
                <w:sz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C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C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C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CC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Единые (обязательные) требования к участникам закупки:</w:t>
            </w:r>
          </w:p>
          <w:p w14:paraId="C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Pr>
                <w:rFonts w:ascii="Times New Roman" w:hAnsi="Times New Roman"/>
                <w:sz w:val="20"/>
              </w:rPr>
              <w:t>;</w:t>
            </w:r>
          </w:p>
          <w:p w14:paraId="CE000000">
            <w:pPr>
              <w:widowControl w:val="0"/>
              <w:spacing w:after="0"/>
              <w:ind/>
              <w:jc w:val="both"/>
              <w:rPr>
                <w:rFonts w:ascii="Times New Roman" w:hAnsi="Times New Roman"/>
                <w:i w:val="1"/>
                <w:sz w:val="20"/>
              </w:rPr>
            </w:pPr>
            <w:r>
              <w:rPr>
                <w:rFonts w:ascii="Times New Roman" w:hAnsi="Times New Roman"/>
                <w:i w:val="1"/>
                <w:sz w:val="20"/>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CF000000">
            <w:pPr>
              <w:spacing w:after="0"/>
              <w:ind w:right="-35"/>
              <w:jc w:val="both"/>
              <w:rPr>
                <w:rFonts w:ascii="Times New Roman" w:hAnsi="Times New Roman"/>
                <w:i w:val="1"/>
                <w:sz w:val="20"/>
              </w:rPr>
            </w:pPr>
            <w:r>
              <w:rPr>
                <w:rFonts w:ascii="Times New Roman" w:hAnsi="Times New Roman"/>
                <w:i w:val="1"/>
                <w:sz w:val="20"/>
              </w:rPr>
              <w:t xml:space="preserve">1) защита жизни и здоровья граждан; </w:t>
            </w:r>
          </w:p>
          <w:p w14:paraId="D0000000">
            <w:pPr>
              <w:spacing w:after="0"/>
              <w:ind w:right="-35"/>
              <w:jc w:val="both"/>
              <w:rPr>
                <w:rFonts w:ascii="Times New Roman" w:hAnsi="Times New Roman"/>
                <w:i w:val="1"/>
                <w:sz w:val="20"/>
              </w:rPr>
            </w:pPr>
            <w:r>
              <w:rPr>
                <w:rFonts w:ascii="Times New Roman" w:hAnsi="Times New Roman"/>
                <w:i w:val="1"/>
                <w:sz w:val="20"/>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D1000000">
            <w:pPr>
              <w:spacing w:after="0"/>
              <w:ind w:right="-35"/>
              <w:jc w:val="both"/>
              <w:rPr>
                <w:rFonts w:ascii="Times New Roman" w:hAnsi="Times New Roman"/>
                <w:i w:val="1"/>
                <w:sz w:val="20"/>
              </w:rPr>
            </w:pPr>
            <w:r>
              <w:rPr>
                <w:rFonts w:ascii="Times New Roman" w:hAnsi="Times New Roman"/>
                <w:i w:val="1"/>
                <w:sz w:val="20"/>
              </w:rPr>
              <w:t xml:space="preserve">3) консультирование и подготовка рекомендаций клиентам, по вопросам правомерной защиты от противоправных посягательств; </w:t>
            </w:r>
          </w:p>
          <w:p w14:paraId="D2000000">
            <w:pPr>
              <w:spacing w:after="0"/>
              <w:ind w:right="-35"/>
              <w:jc w:val="both"/>
              <w:rPr>
                <w:rFonts w:ascii="Times New Roman" w:hAnsi="Times New Roman"/>
                <w:i w:val="1"/>
                <w:sz w:val="20"/>
              </w:rPr>
            </w:pPr>
            <w:r>
              <w:rPr>
                <w:rFonts w:ascii="Times New Roman" w:hAnsi="Times New Roman"/>
                <w:i w:val="1"/>
                <w:sz w:val="20"/>
              </w:rPr>
              <w:t xml:space="preserve">4) обеспечение порядка в местах проведения массовых мероприятий; </w:t>
            </w:r>
          </w:p>
          <w:p w14:paraId="D3000000">
            <w:pPr>
              <w:spacing w:after="0"/>
              <w:ind w:right="-35"/>
              <w:jc w:val="both"/>
              <w:rPr>
                <w:rFonts w:ascii="Times New Roman" w:hAnsi="Times New Roman"/>
                <w:i w:val="1"/>
                <w:sz w:val="20"/>
              </w:rPr>
            </w:pPr>
            <w:r>
              <w:rPr>
                <w:rFonts w:ascii="Times New Roman" w:hAnsi="Times New Roman"/>
                <w:i w:val="1"/>
                <w:sz w:val="20"/>
              </w:rPr>
              <w:t xml:space="preserve">5) охрана объектов и (или) имущества, а также обеспечение </w:t>
            </w:r>
            <w:r>
              <w:rPr>
                <w:rFonts w:ascii="Times New Roman" w:hAnsi="Times New Roman"/>
                <w:i w:val="1"/>
                <w:sz w:val="20"/>
              </w:rPr>
              <w:t>внутриобьектового</w:t>
            </w:r>
            <w:r>
              <w:rPr>
                <w:rFonts w:ascii="Times New Roman" w:hAnsi="Times New Roman"/>
                <w:i w:val="1"/>
                <w:sz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D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D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D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неприостановление</w:t>
            </w:r>
            <w:r>
              <w:rPr>
                <w:rFonts w:ascii="Times New Roman" w:hAnsi="Times New Roman"/>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D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D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D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непривлечение</w:t>
            </w:r>
            <w:r>
              <w:rPr>
                <w:rFonts w:ascii="Times New Roman" w:hAnsi="Times New Roman"/>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D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D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D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w:t>
            </w:r>
            <w:r>
              <w:rPr>
                <w:rFonts w:ascii="Times New Roman" w:hAnsi="Times New Roman"/>
                <w:sz w:val="20"/>
              </w:rPr>
              <w:t xml:space="preserve"> </w:t>
            </w:r>
            <w:r>
              <w:rPr>
                <w:rFonts w:ascii="Times New Roman" w:hAnsi="Times New Roman"/>
                <w:sz w:val="20"/>
              </w:rPr>
              <w:t>отсутствие между участником закупки и заказчиком конфликта интересов;</w:t>
            </w:r>
          </w:p>
          <w:p w14:paraId="D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w:t>
            </w:r>
            <w:r>
              <w:rPr>
                <w:rFonts w:ascii="Times New Roman" w:hAnsi="Times New Roman"/>
                <w:sz w:val="20"/>
              </w:rPr>
              <w:t xml:space="preserve"> </w:t>
            </w:r>
            <w:r>
              <w:rPr>
                <w:rFonts w:ascii="Times New Roman" w:hAnsi="Times New Roman"/>
                <w:sz w:val="20"/>
              </w:rPr>
              <w:t>участник закупки не является офшорной компанией;</w:t>
            </w:r>
          </w:p>
          <w:p w14:paraId="D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w:t>
            </w:r>
            <w:r>
              <w:rPr>
                <w:rFonts w:ascii="Times New Roman" w:hAnsi="Times New Roman"/>
                <w:sz w:val="20"/>
              </w:rPr>
              <w:t xml:space="preserve"> </w:t>
            </w:r>
            <w:r>
              <w:rPr>
                <w:rFonts w:ascii="Times New Roman" w:hAnsi="Times New Roman"/>
                <w:sz w:val="20"/>
              </w:rPr>
              <w:t>отсутствие у участника закупки ограничений для участия в закупках, установленных законодательством Российской Федерации.</w:t>
            </w:r>
          </w:p>
        </w:tc>
      </w:tr>
      <w:tr>
        <w:tc>
          <w:tcPr>
            <w:tcW w:type="dxa" w:w="1064"/>
            <w:vMerge w:val="restart"/>
            <w:tcBorders>
              <w:top w:color="000000" w:sz="4" w:val="single"/>
              <w:left w:color="000000" w:sz="4" w:val="single"/>
              <w:bottom w:color="000000" w:sz="4" w:val="single"/>
              <w:right w:color="000000" w:sz="4" w:val="single"/>
            </w:tcBorders>
            <w:vAlign w:val="center"/>
          </w:tcPr>
          <w:p w14:paraId="DF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19</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E0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Дополнительные требования к участникам закупки</w:t>
            </w:r>
            <w:r>
              <w:rPr>
                <w:rFonts w:ascii="Times New Roman" w:hAnsi="Times New Roman"/>
                <w:b w:val="1"/>
                <w:sz w:val="20"/>
              </w:rPr>
              <w:t xml:space="preserve"> (указанные в настоящем разделе требования предъявляются в равной мере ко всем участникам закупок)</w:t>
            </w:r>
            <w:r>
              <w:rPr>
                <w:rFonts w:ascii="Times New Roman" w:hAnsi="Times New Roman"/>
                <w:b w:val="1"/>
                <w:sz w:val="20"/>
              </w:rPr>
              <w:t>:</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100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E2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0</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E300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Pr>
                <w:rFonts w:ascii="Times New Roman" w:hAnsi="Times New Roman"/>
                <w:b w:val="1"/>
                <w:sz w:val="20"/>
              </w:rPr>
              <w:t>капитального строительства и закупки товаров, работ, услуг, связанных с использованием атомной энергии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auto" w:val="clear"/>
            <w:vAlign w:val="center"/>
          </w:tcPr>
          <w:p w14:paraId="E4000000">
            <w:pPr>
              <w:widowControl w:val="0"/>
              <w:spacing w:after="0" w:line="240" w:lineRule="auto"/>
              <w:ind w:firstLine="431" w:left="34"/>
              <w:contextualSpacing w:val="1"/>
              <w:jc w:val="center"/>
              <w:rPr>
                <w:rFonts w:ascii="Times New Roman" w:hAnsi="Times New Roman"/>
                <w:sz w:val="20"/>
              </w:rPr>
            </w:pPr>
            <w:r>
              <w:rPr>
                <w:rFonts w:ascii="Times New Roman" w:hAnsi="Times New Roman"/>
                <w:sz w:val="20"/>
              </w:rPr>
              <w:t>Не устанавливаются</w:t>
            </w:r>
          </w:p>
        </w:tc>
      </w:tr>
      <w:tr>
        <w:tc>
          <w:tcPr>
            <w:tcW w:type="dxa" w:w="1064"/>
            <w:vMerge w:val="restart"/>
            <w:tcBorders>
              <w:top w:color="000000" w:sz="4" w:val="single"/>
              <w:left w:color="000000" w:sz="4" w:val="single"/>
              <w:bottom w:color="000000" w:sz="4" w:val="single"/>
              <w:right w:color="000000" w:sz="4" w:val="single"/>
            </w:tcBorders>
            <w:vAlign w:val="center"/>
          </w:tcPr>
          <w:p w14:paraId="E500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1</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E600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 xml:space="preserve">Требования к содержанию, форме, оформлению и составу заявки на участие в </w:t>
            </w:r>
            <w:r>
              <w:rPr>
                <w:rFonts w:ascii="Times New Roman" w:hAnsi="Times New Roman"/>
                <w:b w:val="1"/>
                <w:sz w:val="20"/>
              </w:rPr>
              <w:t>закупке</w:t>
            </w:r>
            <w:r>
              <w:rPr>
                <w:rFonts w:ascii="Times New Roman" w:hAnsi="Times New Roman"/>
                <w:b w:val="1"/>
                <w:sz w:val="20"/>
              </w:rPr>
              <w:t xml:space="preserve"> в электронной форме</w:t>
            </w:r>
            <w:r>
              <w:rPr>
                <w:rStyle w:val="Style_6_ch"/>
                <w:rFonts w:ascii="Times New Roman" w:hAnsi="Times New Roman"/>
                <w:b w:val="1"/>
                <w:sz w:val="20"/>
              </w:rPr>
              <w:footnoteReference w:id="1"/>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E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E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 при размещении закупки на поставку товара:</w:t>
            </w:r>
          </w:p>
          <w:p w14:paraId="E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а) согласие участника процедуры закупки на поставку товара в случае:</w:t>
            </w:r>
          </w:p>
          <w:p w14:paraId="E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sz w:val="20"/>
              </w:rPr>
              <w:t>инфокарте</w:t>
            </w:r>
            <w:r>
              <w:rPr>
                <w:rFonts w:ascii="Times New Roman" w:hAnsi="Times New Roman"/>
                <w:sz w:val="20"/>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w:t>
            </w:r>
          </w:p>
          <w:p w14:paraId="E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при условии содержания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а также требования о необходимости указания в заявке на участие в закупке на товарный знак;</w:t>
            </w:r>
          </w:p>
          <w:p w14:paraId="E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б) конкретные показатели, соответствующие значениям, установленным </w:t>
            </w:r>
            <w:r>
              <w:rPr>
                <w:rFonts w:ascii="Times New Roman" w:hAnsi="Times New Roman"/>
                <w:sz w:val="20"/>
              </w:rPr>
              <w:t xml:space="preserve">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и товарный знак (при его наличии) предлагаемого для поставки товара при условии отсутствия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w:t>
            </w:r>
          </w:p>
          <w:p w14:paraId="E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при условии размещения закупки на выполнение работ, оказание услуг;</w:t>
            </w:r>
          </w:p>
          <w:p w14:paraId="E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3-1) при размещении закупки на выполнение работ, оказание услуг для выполнения, оказания которых используется товар:</w:t>
            </w:r>
          </w:p>
          <w:p w14:paraId="E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hAnsi="Times New Roman"/>
                <w:sz w:val="20"/>
              </w:rPr>
              <w:t xml:space="preserve">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 xml:space="preserve">о закупке, при условии содержания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F0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Pr>
                <w:rFonts w:ascii="Times New Roman" w:hAnsi="Times New Roman"/>
                <w:sz w:val="20"/>
              </w:rPr>
              <w:t>инфокартой</w:t>
            </w:r>
            <w:bookmarkEnd w:id="9"/>
            <w:bookmarkEnd w:id="10"/>
            <w:r>
              <w:rPr>
                <w:rFonts w:ascii="Times New Roman" w:hAnsi="Times New Roman"/>
                <w:sz w:val="20"/>
              </w:rPr>
              <w:t xml:space="preserve"> </w:t>
            </w:r>
            <w:r>
              <w:rPr>
                <w:rFonts w:ascii="Times New Roman" w:hAnsi="Times New Roman"/>
                <w:sz w:val="20"/>
              </w:rPr>
              <w:t xml:space="preserve">о закупке, и товарный знак (при его наличии) предлагаемого для использования товара при условии отсутствия в </w:t>
            </w:r>
            <w:r>
              <w:rPr>
                <w:rFonts w:ascii="Times New Roman" w:hAnsi="Times New Roman"/>
                <w:sz w:val="20"/>
              </w:rPr>
              <w:t>инфокарте</w:t>
            </w:r>
            <w:r>
              <w:rPr>
                <w:rFonts w:ascii="Times New Roman" w:hAnsi="Times New Roman"/>
                <w:sz w:val="20"/>
              </w:rPr>
              <w:t xml:space="preserve"> </w:t>
            </w:r>
            <w:r>
              <w:rPr>
                <w:rFonts w:ascii="Times New Roman" w:hAnsi="Times New Roman"/>
                <w:sz w:val="20"/>
              </w:rPr>
              <w:t>о закупке указания на товарный знак используемого товара;</w:t>
            </w:r>
          </w:p>
          <w:p w14:paraId="F1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F2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копии учредительных документов участника закупок (для юридических лиц) или копии документов, удостоверяющих личность (для физических лиц);</w:t>
            </w:r>
          </w:p>
          <w:p w14:paraId="F3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 xml:space="preserve">полученную не ранее чем за два месяца до дня размещения на Официальном сайте </w:t>
            </w:r>
            <w:r>
              <w:rPr>
                <w:rFonts w:ascii="Times New Roman" w:hAnsi="Times New Roman"/>
                <w:sz w:val="20"/>
              </w:rPr>
              <w:t>инфокарты</w:t>
            </w:r>
            <w:r>
              <w:rPr>
                <w:rFonts w:ascii="Times New Roman" w:hAnsi="Times New Roman"/>
                <w:sz w:val="20"/>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F4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подтверждающий полномочия лица на осуществление действий от имени участника закупки;</w:t>
            </w:r>
          </w:p>
          <w:p w14:paraId="F5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документ (декларацию) о соответствии участника закупки следующим требованиям:</w:t>
            </w:r>
          </w:p>
          <w:p w14:paraId="F6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w:t>
            </w:r>
            <w:r>
              <w:rPr>
                <w:rFonts w:ascii="Times New Roman" w:hAnsi="Times New Roman"/>
                <w:sz w:val="20"/>
              </w:rPr>
              <w:tab/>
            </w:r>
            <w:r>
              <w:rPr>
                <w:rFonts w:ascii="Times New Roman" w:hAnsi="Times New Roman"/>
                <w:sz w:val="20"/>
              </w:rPr>
              <w:t>участник закупки - юридическое лицо не находится в процессе ликвидации;</w:t>
            </w:r>
          </w:p>
          <w:p w14:paraId="F7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w:t>
            </w:r>
            <w:r>
              <w:rPr>
                <w:rFonts w:ascii="Times New Roman" w:hAnsi="Times New Roman"/>
                <w:sz w:val="20"/>
              </w:rPr>
              <w:tab/>
            </w:r>
            <w:r>
              <w:rPr>
                <w:rFonts w:ascii="Times New Roman" w:hAnsi="Times New Roman"/>
                <w:sz w:val="20"/>
              </w:rPr>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Pr>
                <w:rFonts w:ascii="Times New Roman" w:hAnsi="Times New Roman"/>
                <w:sz w:val="20"/>
              </w:rPr>
              <w:t>об открытии конкурсного производства;</w:t>
            </w:r>
          </w:p>
          <w:p w14:paraId="F8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w:t>
            </w:r>
            <w:r>
              <w:rPr>
                <w:rFonts w:ascii="Times New Roman" w:hAnsi="Times New Roman"/>
                <w:sz w:val="20"/>
              </w:rPr>
              <w:tab/>
            </w:r>
            <w:r>
              <w:rPr>
                <w:rFonts w:ascii="Times New Roman" w:hAnsi="Times New Roman"/>
                <w:sz w:val="20"/>
              </w:rPr>
              <w:t>неприостановление</w:t>
            </w:r>
            <w:r>
              <w:rPr>
                <w:rFonts w:ascii="Times New Roman" w:hAnsi="Times New Roman"/>
                <w:sz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F9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w:t>
            </w:r>
            <w:r>
              <w:rPr>
                <w:rFonts w:ascii="Times New Roman" w:hAnsi="Times New Roman"/>
                <w:sz w:val="20"/>
              </w:rPr>
              <w:tab/>
            </w:r>
            <w:r>
              <w:rPr>
                <w:rFonts w:ascii="Times New Roman" w:hAnsi="Times New Roman"/>
                <w:sz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FA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5)</w:t>
            </w:r>
            <w:r>
              <w:rPr>
                <w:rFonts w:ascii="Times New Roman" w:hAnsi="Times New Roman"/>
                <w:sz w:val="20"/>
              </w:rPr>
              <w:tab/>
            </w:r>
            <w:r>
              <w:rPr>
                <w:rFonts w:ascii="Times New Roman" w:hAnsi="Times New Roman"/>
                <w:sz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FB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6)</w:t>
            </w:r>
            <w:r>
              <w:rPr>
                <w:rFonts w:ascii="Times New Roman" w:hAnsi="Times New Roman"/>
                <w:sz w:val="20"/>
              </w:rPr>
              <w:tab/>
            </w:r>
            <w:r>
              <w:rPr>
                <w:rFonts w:ascii="Times New Roman" w:hAnsi="Times New Roman"/>
                <w:sz w:val="20"/>
              </w:rPr>
              <w:t>непривлечение</w:t>
            </w:r>
            <w:r>
              <w:rPr>
                <w:rFonts w:ascii="Times New Roman" w:hAnsi="Times New Roman"/>
                <w:sz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FC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7)</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FD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8)</w:t>
            </w:r>
            <w:r>
              <w:rPr>
                <w:rFonts w:ascii="Times New Roman" w:hAnsi="Times New Roman"/>
                <w:sz w:val="20"/>
              </w:rPr>
              <w:tab/>
            </w:r>
            <w:r>
              <w:rPr>
                <w:rFonts w:ascii="Times New Roman" w:hAnsi="Times New Roman"/>
                <w:sz w:val="20"/>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FE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9)</w:t>
            </w:r>
            <w:r>
              <w:rPr>
                <w:rFonts w:ascii="Times New Roman" w:hAnsi="Times New Roman"/>
                <w:sz w:val="20"/>
              </w:rPr>
              <w:tab/>
            </w:r>
            <w:r>
              <w:rPr>
                <w:rFonts w:ascii="Times New Roman" w:hAnsi="Times New Roman"/>
                <w:sz w:val="20"/>
              </w:rPr>
              <w:t>отсутствие между участником закупки и заказчиком конфликта интересов;</w:t>
            </w:r>
          </w:p>
          <w:p w14:paraId="FF00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10)</w:t>
            </w:r>
            <w:r>
              <w:rPr>
                <w:rFonts w:ascii="Times New Roman" w:hAnsi="Times New Roman"/>
                <w:sz w:val="20"/>
              </w:rPr>
              <w:t xml:space="preserve"> </w:t>
            </w:r>
            <w:r>
              <w:rPr>
                <w:rFonts w:ascii="Times New Roman" w:hAnsi="Times New Roman"/>
                <w:sz w:val="20"/>
              </w:rPr>
              <w:t>участник закупки не является офшорной компанией;</w:t>
            </w:r>
          </w:p>
          <w:p w14:paraId="00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11)</w:t>
            </w:r>
            <w:r>
              <w:rPr>
                <w:rFonts w:ascii="Times New Roman" w:hAnsi="Times New Roman"/>
                <w:sz w:val="20"/>
              </w:rPr>
              <w:t xml:space="preserve"> </w:t>
            </w:r>
            <w:r>
              <w:rPr>
                <w:rFonts w:ascii="Times New Roman" w:hAnsi="Times New Roman"/>
                <w:sz w:val="20"/>
              </w:rPr>
              <w:t>отсутствие у участника закупки ограничений для участия в закупках, установленных законодательством Российской Федерации;</w:t>
            </w:r>
          </w:p>
          <w:p w14:paraId="01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w:t>
            </w:r>
            <w:r>
              <w:rPr>
                <w:rFonts w:ascii="Times New Roman" w:hAnsi="Times New Roman"/>
                <w:sz w:val="20"/>
              </w:rPr>
              <w:tab/>
            </w:r>
            <w:r>
              <w:rPr>
                <w:rFonts w:ascii="Times New Roman" w:hAnsi="Times New Roman"/>
                <w:sz w:val="20"/>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12) по товарам, к которым применяется «преимущество». В соответствии с пунктом 2 части 2 статьи 3.1-4 Федерального закона № 223-ФЗ:</w:t>
            </w:r>
          </w:p>
          <w:p w14:paraId="0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4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Участник 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05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1) защита жизни и здоровья граждан; </w:t>
            </w:r>
          </w:p>
          <w:p w14:paraId="06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2) охрана объектов и (или) имущества (в том числе при его транспортировке), находящихся в собственности, во владении, в пользовании</w:t>
            </w:r>
            <w:r>
              <w:rPr>
                <w:rFonts w:ascii="Times New Roman" w:hAnsi="Times New Roman"/>
                <w:i w:val="1"/>
                <w:sz w:val="20"/>
              </w:rPr>
              <w:t xml:space="preserve">, хозяйственном ведении, оперативном управлении или доверительном управлении; </w:t>
            </w:r>
          </w:p>
          <w:p w14:paraId="07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3) консультирование и подготовка рекомендаций клиентам, по вопросам правомерной защиты от противоправных посягательств; </w:t>
            </w:r>
          </w:p>
          <w:p w14:paraId="08010000">
            <w:pPr>
              <w:widowControl w:val="0"/>
              <w:spacing w:after="0" w:line="240" w:lineRule="auto"/>
              <w:ind w:firstLine="487" w:left="34"/>
              <w:contextualSpacing w:val="1"/>
              <w:jc w:val="both"/>
              <w:rPr>
                <w:rFonts w:ascii="Times New Roman" w:hAnsi="Times New Roman"/>
                <w:i w:val="1"/>
                <w:sz w:val="20"/>
              </w:rPr>
            </w:pPr>
            <w:r>
              <w:rPr>
                <w:rFonts w:ascii="Times New Roman" w:hAnsi="Times New Roman"/>
                <w:i w:val="1"/>
                <w:sz w:val="20"/>
              </w:rPr>
              <w:t xml:space="preserve">4) обеспечение порядка в местах проведения массовых мероприятий; </w:t>
            </w:r>
          </w:p>
          <w:p w14:paraId="09010000">
            <w:pPr>
              <w:widowControl w:val="0"/>
              <w:spacing w:after="0" w:line="240" w:lineRule="auto"/>
              <w:ind w:firstLine="487" w:left="34"/>
              <w:contextualSpacing w:val="1"/>
              <w:jc w:val="both"/>
              <w:rPr>
                <w:rFonts w:ascii="Times New Roman" w:hAnsi="Times New Roman"/>
                <w:sz w:val="20"/>
              </w:rPr>
            </w:pPr>
            <w:r>
              <w:rPr>
                <w:rFonts w:ascii="Times New Roman" w:hAnsi="Times New Roman"/>
                <w:i w:val="1"/>
                <w:sz w:val="20"/>
              </w:rPr>
              <w:t xml:space="preserve">5) охрана объектов и (или) имущества, а также обеспечение </w:t>
            </w:r>
            <w:r>
              <w:rPr>
                <w:rFonts w:ascii="Times New Roman" w:hAnsi="Times New Roman"/>
                <w:i w:val="1"/>
                <w:sz w:val="20"/>
              </w:rPr>
              <w:t>внутриобьектового</w:t>
            </w:r>
            <w:r>
              <w:rPr>
                <w:rFonts w:ascii="Times New Roman" w:hAnsi="Times New Roman"/>
                <w:i w:val="1"/>
                <w:sz w:val="20"/>
              </w:rPr>
              <w:t xml:space="preserve"> и </w:t>
            </w:r>
            <w:r>
              <w:rPr>
                <w:rFonts w:ascii="Times New Roman" w:hAnsi="Times New Roman"/>
                <w:i w:val="1"/>
                <w:sz w:val="20"/>
              </w:rPr>
              <w:t>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tc>
      </w:tr>
      <w:tr>
        <w:tc>
          <w:tcPr>
            <w:tcW w:type="dxa" w:w="1064"/>
            <w:vMerge w:val="restart"/>
            <w:tcBorders>
              <w:top w:color="000000" w:sz="4" w:val="single"/>
              <w:left w:color="000000" w:sz="4" w:val="single"/>
              <w:bottom w:color="000000" w:sz="4" w:val="single"/>
              <w:right w:color="000000" w:sz="4" w:val="single"/>
            </w:tcBorders>
            <w:vAlign w:val="center"/>
          </w:tcPr>
          <w:p w14:paraId="0A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2</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0B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Информация и сведения, подтверждающее страну происхождения товара</w:t>
            </w:r>
          </w:p>
          <w:p w14:paraId="0C010000">
            <w:pPr>
              <w:widowControl w:val="0"/>
              <w:spacing w:after="0" w:line="240" w:lineRule="auto"/>
              <w:ind w:firstLine="5" w:left="34"/>
              <w:contextualSpacing w:val="1"/>
              <w:jc w:val="center"/>
              <w:rPr>
                <w:rFonts w:ascii="Times New Roman" w:hAnsi="Times New Roman"/>
                <w:b w:val="1"/>
                <w:sz w:val="20"/>
              </w:rPr>
            </w:pPr>
            <w:r>
              <w:rPr>
                <w:rFonts w:ascii="Times New Roman" w:hAnsi="Times New Roman"/>
                <w:b w:val="1"/>
                <w:sz w:val="20"/>
              </w:rPr>
              <w:t>(отражаются в квалификационной части заявки на участие в закупке):</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0D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0E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3</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0F010000">
            <w:pPr>
              <w:widowControl w:val="0"/>
              <w:spacing w:after="0" w:line="240" w:lineRule="auto"/>
              <w:ind w:firstLine="431" w:left="34"/>
              <w:contextualSpacing w:val="1"/>
              <w:jc w:val="center"/>
              <w:rPr>
                <w:rFonts w:ascii="Times New Roman" w:hAnsi="Times New Roman"/>
                <w:b w:val="1"/>
                <w:sz w:val="20"/>
              </w:rPr>
            </w:pPr>
            <w:r>
              <w:rPr>
                <w:rFonts w:ascii="Times New Roman" w:hAnsi="Times New Roman"/>
                <w:b w:val="1"/>
                <w:sz w:val="20"/>
              </w:rPr>
              <w:t>Антидемпинговые меры</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vAlign w:val="center"/>
          </w:tcPr>
          <w:p w14:paraId="10010000">
            <w:pPr>
              <w:widowControl w:val="0"/>
              <w:spacing w:after="0" w:line="240" w:lineRule="auto"/>
              <w:ind w:firstLine="487" w:left="34"/>
              <w:contextualSpacing w:val="1"/>
              <w:jc w:val="center"/>
              <w:rPr>
                <w:rFonts w:ascii="Times New Roman" w:hAnsi="Times New Roman"/>
                <w:sz w:val="20"/>
              </w:rPr>
            </w:pPr>
            <w:r>
              <w:rPr>
                <w:rFonts w:ascii="Times New Roman" w:hAnsi="Times New Roman"/>
                <w:sz w:val="20"/>
              </w:rPr>
              <w:t>-</w:t>
            </w:r>
          </w:p>
        </w:tc>
      </w:tr>
      <w:tr>
        <w:tc>
          <w:tcPr>
            <w:tcW w:type="dxa" w:w="1064"/>
            <w:vMerge w:val="restart"/>
            <w:tcBorders>
              <w:top w:color="000000" w:sz="4" w:val="single"/>
              <w:left w:color="000000" w:sz="4" w:val="single"/>
              <w:bottom w:color="000000" w:sz="4" w:val="single"/>
              <w:right w:color="000000" w:sz="4" w:val="single"/>
            </w:tcBorders>
            <w:vAlign w:val="center"/>
          </w:tcPr>
          <w:p w14:paraId="11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4</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12010000">
            <w:pPr>
              <w:widowControl w:val="0"/>
              <w:spacing w:after="0" w:line="240" w:lineRule="auto"/>
              <w:ind w:firstLine="431" w:left="34"/>
              <w:contextualSpacing w:val="1"/>
              <w:jc w:val="center"/>
              <w:rPr>
                <w:rFonts w:ascii="Times New Roman" w:hAnsi="Times New Roman"/>
                <w:sz w:val="20"/>
                <w:u w:val="single"/>
              </w:rPr>
            </w:pPr>
            <w:r>
              <w:rPr>
                <w:rFonts w:ascii="Times New Roman" w:hAnsi="Times New Roman"/>
                <w:b w:val="1"/>
                <w:sz w:val="20"/>
              </w:rPr>
              <w:t>Отмена закупки</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3010000">
            <w:pPr>
              <w:widowControl w:val="0"/>
              <w:spacing w:after="0" w:line="240" w:lineRule="auto"/>
              <w:ind w:firstLine="487" w:left="34"/>
              <w:contextualSpacing w:val="1"/>
              <w:jc w:val="both"/>
              <w:rPr>
                <w:rFonts w:ascii="Times New Roman" w:hAnsi="Times New Roman"/>
                <w:b w:val="1"/>
                <w:sz w:val="20"/>
              </w:rPr>
            </w:pPr>
            <w:r>
              <w:rPr>
                <w:rFonts w:ascii="Times New Roman" w:hAnsi="Times New Roman"/>
                <w:sz w:val="20"/>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c>
          <w:tcPr>
            <w:tcW w:type="dxa" w:w="1064"/>
            <w:vMerge w:val="restart"/>
            <w:tcBorders>
              <w:top w:color="000000" w:sz="4" w:val="single"/>
              <w:left w:color="000000" w:sz="4" w:val="single"/>
              <w:bottom w:color="000000" w:sz="4" w:val="single"/>
              <w:right w:color="000000" w:sz="4" w:val="single"/>
            </w:tcBorders>
            <w:vAlign w:val="center"/>
          </w:tcPr>
          <w:p w14:paraId="14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5</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15010000">
            <w:pPr>
              <w:widowControl w:val="0"/>
              <w:spacing w:after="0" w:line="240" w:lineRule="auto"/>
              <w:ind w:firstLine="487" w:left="34"/>
              <w:contextualSpacing w:val="1"/>
              <w:jc w:val="center"/>
              <w:rPr>
                <w:rFonts w:ascii="Times New Roman" w:hAnsi="Times New Roman"/>
                <w:b w:val="1"/>
                <w:sz w:val="20"/>
              </w:rPr>
            </w:pPr>
            <w:r>
              <w:rPr>
                <w:rFonts w:ascii="Times New Roman" w:hAnsi="Times New Roman"/>
                <w:b w:val="1"/>
                <w:sz w:val="20"/>
              </w:rPr>
              <w:t>Условия допуска к участию и отстранения от участия в закупке</w:t>
            </w:r>
            <w:r>
              <w:rPr>
                <w:rFonts w:ascii="Times New Roman" w:hAnsi="Times New Roman"/>
                <w:b w:val="1"/>
                <w:sz w:val="20"/>
              </w:rPr>
              <w:t>:</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16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1. Заказчик, Комиссия по закупкам вправе отказать в дальнейшем участии в закупке (отклонить заявку участника закупки) на основании:</w:t>
            </w:r>
          </w:p>
          <w:p w14:paraId="17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выявлено несоответствие участника хотя бы одному из требований, перечисленных в информационной карте ценового запроса;</w:t>
            </w:r>
          </w:p>
          <w:p w14:paraId="18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и (или) его заявка не соответствуют иным требованиям информационной карты ценового запроса или Положения;</w:t>
            </w:r>
          </w:p>
          <w:p w14:paraId="19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представил документы, необходимые для участия в процедуре закупки;</w:t>
            </w:r>
          </w:p>
          <w:p w14:paraId="1A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в представленных документах или в заявке указаны недостоверные сведения об участнике закупки и (или) о товарах, работах, услугах;</w:t>
            </w:r>
          </w:p>
          <w:p w14:paraId="1B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sz w:val="20"/>
              </w:rPr>
              <w:t>;</w:t>
            </w:r>
          </w:p>
          <w:p w14:paraId="1C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иных случаях, предусмотренных Положением о закупке Заказчика.</w:t>
            </w:r>
          </w:p>
          <w:p w14:paraId="1D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1E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1F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c>
          <w:tcPr>
            <w:tcW w:type="dxa" w:w="1064"/>
            <w:vMerge w:val="restart"/>
            <w:tcBorders>
              <w:top w:color="000000" w:sz="4" w:val="single"/>
              <w:left w:color="000000" w:sz="4" w:val="single"/>
              <w:bottom w:color="000000" w:sz="4" w:val="single"/>
              <w:right w:color="000000" w:sz="4" w:val="single"/>
            </w:tcBorders>
            <w:vAlign w:val="center"/>
          </w:tcPr>
          <w:p w14:paraId="20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26</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21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Признание закупки несостоявшимся</w:t>
            </w:r>
          </w:p>
        </w:tc>
      </w:tr>
      <w:tr>
        <w:tc>
          <w:tcPr>
            <w:tcW w:type="dxa" w:w="1064"/>
            <w:gridSpan w:val="1"/>
            <w:vMerge w:val="continue"/>
            <w:tcBorders>
              <w:top w:color="000000" w:sz="4" w:val="single"/>
              <w:left w:color="000000" w:sz="4" w:val="single"/>
              <w:bottom w:color="000000" w:sz="4" w:val="single"/>
              <w:right w:color="000000" w:sz="4" w:val="single"/>
            </w:tcBorders>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2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Pr>
                <w:rFonts w:ascii="Times New Roman" w:hAnsi="Times New Roman"/>
                <w:sz w:val="20"/>
              </w:rPr>
              <w:t>или предложения всех участников закупки отклонены, либо все участники закупки уклонились от заключения договора</w:t>
            </w:r>
            <w:bookmarkEnd w:id="11"/>
            <w:r>
              <w:rPr>
                <w:rFonts w:ascii="Times New Roman" w:hAnsi="Times New Roman"/>
                <w:sz w:val="20"/>
              </w:rPr>
              <w:t>.</w:t>
            </w:r>
          </w:p>
          <w:p w14:paraId="23010000">
            <w:pPr>
              <w:widowControl w:val="0"/>
              <w:spacing w:after="0" w:line="240" w:lineRule="auto"/>
              <w:ind w:firstLine="487" w:left="34"/>
              <w:contextualSpacing w:val="1"/>
              <w:jc w:val="both"/>
              <w:rPr>
                <w:rFonts w:ascii="Times New Roman" w:hAnsi="Times New Roman"/>
                <w:sz w:val="20"/>
              </w:rPr>
            </w:pPr>
            <w:r>
              <w:rPr>
                <w:rFonts w:ascii="Times New Roman" w:hAnsi="Times New Roman"/>
                <w:sz w:val="20"/>
              </w:rPr>
              <w:t>2. Если ценовой запрос не состоялся, заказчик вправе объявить новый ценовой запрос или заключить договор иным способом.</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4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7</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25010000">
            <w:pPr>
              <w:widowControl w:val="0"/>
              <w:spacing w:after="0" w:line="240" w:lineRule="auto"/>
              <w:ind w:firstLine="0" w:left="2"/>
              <w:contextualSpacing w:val="1"/>
              <w:jc w:val="center"/>
              <w:rPr>
                <w:rFonts w:ascii="Times New Roman" w:hAnsi="Times New Roman"/>
                <w:b w:val="1"/>
                <w:sz w:val="20"/>
              </w:rPr>
            </w:pPr>
            <w:r>
              <w:rPr>
                <w:rFonts w:ascii="Times New Roman" w:hAnsi="Times New Roman"/>
                <w:b w:val="1"/>
                <w:sz w:val="20"/>
              </w:rPr>
              <w:t>Отдельными файлами прилагаются:</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6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1. Описание предмета закупки (Техническое задание);</w:t>
            </w:r>
          </w:p>
          <w:p w14:paraId="27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2. Проект договора;</w:t>
            </w:r>
          </w:p>
          <w:p w14:paraId="28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3. Обоснование НМЦД;</w:t>
            </w:r>
          </w:p>
          <w:p w14:paraId="29010000">
            <w:pPr>
              <w:widowControl w:val="0"/>
              <w:spacing w:after="0" w:line="240" w:lineRule="auto"/>
              <w:ind w:firstLine="0" w:left="2"/>
              <w:contextualSpacing w:val="1"/>
              <w:jc w:val="both"/>
              <w:rPr>
                <w:rFonts w:ascii="Times New Roman" w:hAnsi="Times New Roman"/>
                <w:sz w:val="20"/>
              </w:rPr>
            </w:pPr>
            <w:r>
              <w:rPr>
                <w:rFonts w:ascii="Times New Roman" w:hAnsi="Times New Roman"/>
                <w:sz w:val="20"/>
              </w:rPr>
              <w:t>4. Рекомендуемая форма заявки участника закупки;</w:t>
            </w:r>
          </w:p>
        </w:tc>
      </w:tr>
      <w:tr>
        <w:trPr>
          <w:trHeight w:hRule="atLeast" w:val="196"/>
        </w:trPr>
        <w:tc>
          <w:tcPr>
            <w:tcW w:type="dxa" w:w="1064"/>
            <w:vMerge w:val="restart"/>
            <w:tcBorders>
              <w:top w:color="000000" w:sz="4" w:val="single"/>
              <w:left w:color="000000" w:sz="4" w:val="single"/>
              <w:bottom w:color="000000" w:sz="4" w:val="single"/>
              <w:right w:color="000000" w:sz="4" w:val="single"/>
            </w:tcBorders>
            <w:shd w:fill="FFFFFF" w:val="clear"/>
            <w:vAlign w:val="center"/>
          </w:tcPr>
          <w:p w14:paraId="2A010000">
            <w:pPr>
              <w:widowControl w:val="0"/>
              <w:spacing w:after="0" w:line="240" w:lineRule="auto"/>
              <w:ind w:firstLine="0" w:left="-108" w:right="-97"/>
              <w:contextualSpacing w:val="1"/>
              <w:jc w:val="center"/>
              <w:rPr>
                <w:rFonts w:ascii="Times New Roman" w:hAnsi="Times New Roman"/>
                <w:b w:val="1"/>
                <w:sz w:val="20"/>
              </w:rPr>
            </w:pPr>
            <w:r>
              <w:rPr>
                <w:rFonts w:ascii="Times New Roman" w:hAnsi="Times New Roman"/>
                <w:b w:val="1"/>
                <w:sz w:val="20"/>
              </w:rPr>
              <w:t>2</w:t>
            </w:r>
            <w:r>
              <w:rPr>
                <w:rFonts w:ascii="Times New Roman" w:hAnsi="Times New Roman"/>
                <w:b w:val="1"/>
                <w:sz w:val="20"/>
              </w:rPr>
              <w:t>8</w:t>
            </w:r>
          </w:p>
        </w:tc>
        <w:tc>
          <w:tcPr>
            <w:tcW w:type="dxa" w:w="8791"/>
            <w:tcBorders>
              <w:top w:color="000000" w:sz="4" w:val="single"/>
              <w:left w:color="000000" w:sz="4" w:val="single"/>
              <w:bottom w:color="000000" w:sz="4" w:val="single"/>
              <w:right w:color="000000" w:sz="4" w:val="single"/>
            </w:tcBorders>
            <w:shd w:themeFill="accent1" w:themeFillTint="31" w:val="clear"/>
            <w:vAlign w:val="center"/>
          </w:tcPr>
          <w:p w14:paraId="2B010000">
            <w:pPr>
              <w:widowControl w:val="0"/>
              <w:spacing w:after="0" w:line="240" w:lineRule="auto"/>
              <w:ind w:firstLine="0" w:left="2"/>
              <w:contextualSpacing w:val="1"/>
              <w:jc w:val="center"/>
              <w:rPr>
                <w:rFonts w:ascii="Times New Roman" w:hAnsi="Times New Roman"/>
                <w:sz w:val="20"/>
              </w:rPr>
            </w:pPr>
            <w:r>
              <w:rPr>
                <w:rFonts w:ascii="Times New Roman" w:hAnsi="Times New Roman"/>
                <w:b w:val="1"/>
                <w:sz w:val="20"/>
              </w:rPr>
              <w:t>Иные требования, определенные Положением о закупке товаров, работ, услуг Заказчика</w:t>
            </w:r>
          </w:p>
        </w:tc>
      </w:tr>
      <w:tr>
        <w:trPr>
          <w:trHeight w:hRule="atLeast" w:val="196"/>
        </w:trPr>
        <w:tc>
          <w:tcPr>
            <w:tcW w:type="dxa" w:w="1064"/>
            <w:gridSpan w:val="1"/>
            <w:vMerge w:val="continue"/>
            <w:tcBorders>
              <w:top w:color="000000" w:sz="4" w:val="single"/>
              <w:left w:color="000000" w:sz="4" w:val="single"/>
              <w:bottom w:color="000000" w:sz="4" w:val="single"/>
              <w:right w:color="000000" w:sz="4" w:val="single"/>
            </w:tcBorders>
            <w:shd w:fill="FFFFFF" w:val="clear"/>
            <w:vAlign w:val="center"/>
          </w:tcPr>
          <w:p/>
        </w:tc>
        <w:tc>
          <w:tcPr>
            <w:tcW w:type="dxa" w:w="8791"/>
            <w:tcBorders>
              <w:top w:color="000000" w:sz="4" w:val="single"/>
              <w:left w:color="000000" w:sz="4" w:val="single"/>
              <w:bottom w:color="000000" w:sz="4" w:val="single"/>
              <w:right w:color="000000" w:sz="4" w:val="single"/>
            </w:tcBorders>
            <w:shd w:fill="FFFFFF" w:val="clear"/>
            <w:vAlign w:val="center"/>
          </w:tcPr>
          <w:p w14:paraId="2C010000">
            <w:pPr>
              <w:widowControl w:val="0"/>
              <w:spacing w:after="0" w:line="240" w:lineRule="auto"/>
              <w:ind w:firstLine="0" w:left="2"/>
              <w:contextualSpacing w:val="1"/>
              <w:jc w:val="center"/>
              <w:rPr>
                <w:rFonts w:ascii="Times New Roman" w:hAnsi="Times New Roman"/>
                <w:sz w:val="20"/>
              </w:rPr>
            </w:pPr>
            <w:r>
              <w:rPr>
                <w:rFonts w:ascii="Times New Roman" w:hAnsi="Times New Roman"/>
                <w:sz w:val="20"/>
              </w:rPr>
              <w:t>-</w:t>
            </w:r>
          </w:p>
        </w:tc>
      </w:tr>
    </w:tbl>
    <w:p w14:paraId="2D010000">
      <w:pPr>
        <w:widowControl w:val="0"/>
        <w:spacing w:after="0" w:line="240" w:lineRule="auto"/>
        <w:ind/>
        <w:rPr>
          <w:rFonts w:ascii="Times New Roman" w:hAnsi="Times New Roman"/>
        </w:rPr>
      </w:pPr>
    </w:p>
    <w:sectPr>
      <w:footerReference r:id="rId1" w:type="default"/>
      <w:pgSz w:h="16838" w:orient="portrait" w:w="11906"/>
      <w:pgMar w:bottom="567" w:footer="720" w:gutter="0" w:header="720" w:left="1134" w:right="90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tabs>
        <w:tab w:leader="none" w:pos="4677" w:val="clear"/>
      </w:tabs>
      <w:ind/>
    </w:pPr>
    <w:r>
      <w:tab/>
    </w:r>
    <w:r>
      <w:fldChar w:fldCharType="begin"/>
    </w:r>
    <w:r>
      <w:instrText xml:space="preserve">PAGE </w:instrText>
    </w:r>
    <w:r>
      <w:fldChar w:fldCharType="separate"/>
    </w:r>
    <w:r>
      <w:t xml:space="preserve"> </w:t>
    </w:r>
    <w:r>
      <w:fldChar w:fldCharType="end"/>
    </w:r>
  </w:p>
  <w:p w14:paraId="02000000">
    <w:pPr>
      <w:pStyle w:val="Style_1"/>
    </w:pPr>
  </w:p>
  <w:p w14:paraId="03000000"/>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2E010000">
      <w:pPr>
        <w:pStyle w:val="Style_79"/>
        <w:ind/>
        <w:jc w:val="both"/>
        <w:rPr>
          <w:sz w:val="16"/>
        </w:rPr>
      </w:pPr>
      <w:r>
        <w:rPr>
          <w:sz w:val="16"/>
          <w:vertAlign w:val="superscript"/>
        </w:rPr>
        <w:footnoteRef/>
      </w:r>
      <w:r>
        <w:rPr>
          <w:sz w:val="16"/>
        </w:rPr>
        <w:t xml:space="preserve"> Ответственность за недостоверность информации и (или) документов, направленных </w:t>
      </w:r>
      <w:r>
        <w:rPr>
          <w:sz w:val="16"/>
        </w:rPr>
        <w:t>в составе заявки на участие в закупке</w:t>
      </w:r>
      <w:r>
        <w:rPr>
          <w:sz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48"/>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0"/>
      <w:numFmt w:val="decimal"/>
      <w:lvlText w:val="%1."/>
      <w:lvlJc w:val="left"/>
      <w:pPr>
        <w:tabs>
          <w:tab w:leader="none" w:pos="540" w:val="left"/>
        </w:tabs>
        <w:ind w:hanging="360" w:left="540"/>
      </w:pPr>
    </w:lvl>
    <w:lvl w:ilvl="1">
      <w:numFmt w:val="decimal"/>
      <w:pStyle w:val="Style_58"/>
      <w:lvlText w:val=""/>
      <w:lvlJc w:val="left"/>
      <w:pPr>
        <w:tabs>
          <w:tab w:leader="none" w:pos="360" w:val="left"/>
        </w:tabs>
        <w:ind w:firstLine="0" w:left="0"/>
      </w:pPr>
    </w:lvl>
    <w:lvl w:ilvl="2">
      <w:numFmt w:val="decimal"/>
      <w:lvlText w:val=""/>
      <w:lvlJc w:val="left"/>
      <w:pPr>
        <w:tabs>
          <w:tab w:leader="none" w:pos="360" w:val="left"/>
        </w:tabs>
        <w:ind w:firstLine="0" w:left="0"/>
      </w:pPr>
    </w:lvl>
    <w:lvl w:ilvl="3">
      <w:numFmt w:val="decimal"/>
      <w:lvlText w:val=""/>
      <w:lvlJc w:val="left"/>
      <w:pPr>
        <w:tabs>
          <w:tab w:leader="none" w:pos="360" w:val="left"/>
        </w:tabs>
        <w:ind w:firstLine="0" w:left="0"/>
      </w:pPr>
    </w:lvl>
    <w:lvl w:ilvl="4">
      <w:numFmt w:val="decimal"/>
      <w:lvlText w:val=""/>
      <w:lvlJc w:val="left"/>
      <w:pPr>
        <w:tabs>
          <w:tab w:leader="none" w:pos="360" w:val="left"/>
        </w:tabs>
        <w:ind w:firstLine="0" w:left="0"/>
      </w:pPr>
    </w:lvl>
    <w:lvl w:ilvl="5">
      <w:numFmt w:val="decimal"/>
      <w:lvlText w:val=""/>
      <w:lvlJc w:val="left"/>
      <w:pPr>
        <w:tabs>
          <w:tab w:leader="none" w:pos="360" w:val="left"/>
        </w:tabs>
        <w:ind w:firstLine="0" w:left="0"/>
      </w:pPr>
    </w:lvl>
    <w:lvl w:ilvl="6">
      <w:numFmt w:val="decimal"/>
      <w:lvlText w:val=""/>
      <w:lvlJc w:val="left"/>
      <w:pPr>
        <w:tabs>
          <w:tab w:leader="none" w:pos="360" w:val="left"/>
        </w:tabs>
        <w:ind w:firstLine="0" w:left="0"/>
      </w:pPr>
    </w:lvl>
    <w:lvl w:ilvl="7">
      <w:numFmt w:val="decimal"/>
      <w:lvlText w:val=""/>
      <w:lvlJc w:val="left"/>
      <w:pPr>
        <w:tabs>
          <w:tab w:leader="none" w:pos="360" w:val="left"/>
        </w:tabs>
        <w:ind w:firstLine="0" w:left="0"/>
      </w:pPr>
    </w:lvl>
    <w:lvl w:ilvl="8">
      <w:numFmt w:val="decimal"/>
      <w:lvlText w:val=""/>
      <w:lvlJc w:val="left"/>
      <w:pPr>
        <w:tabs>
          <w:tab w:leader="none" w:pos="360" w:val="left"/>
        </w:tabs>
        <w:ind w:firstLine="0" w:left="0"/>
      </w:pPr>
    </w:lvl>
  </w:abstractNum>
  <w:abstractNum w:abstractNumId="2">
    <w:lvl w:ilvl="0">
      <w:start w:val="1"/>
      <w:numFmt w:val="decimal"/>
      <w:lvlText w:val="%1."/>
      <w:lvlJc w:val="left"/>
      <w:pPr>
        <w:tabs>
          <w:tab w:leader="none" w:pos="792" w:val="left"/>
        </w:tabs>
        <w:ind w:hanging="432" w:left="792"/>
      </w:pPr>
      <w:rPr>
        <w:b w:val="1"/>
        <w:i w:val="0"/>
        <w:sz w:val="28"/>
      </w:rPr>
    </w:lvl>
    <w:lvl w:ilvl="1">
      <w:start w:val="1"/>
      <w:numFmt w:val="decimal"/>
      <w:lvlText w:val="%1.%2"/>
      <w:lvlJc w:val="left"/>
      <w:pPr>
        <w:tabs>
          <w:tab w:leader="none" w:pos="1836" w:val="left"/>
        </w:tabs>
        <w:ind w:hanging="576" w:left="1836"/>
      </w:pPr>
    </w:lvl>
    <w:lvl w:ilvl="2">
      <w:start w:val="1"/>
      <w:numFmt w:val="decimal"/>
      <w:pStyle w:val="Style_124"/>
      <w:lvlText w:val="%1.%2.%3"/>
      <w:lvlJc w:val="left"/>
      <w:pPr>
        <w:tabs>
          <w:tab w:leader="none" w:pos="1307" w:val="left"/>
        </w:tabs>
        <w:ind w:firstLine="0" w:left="1080"/>
      </w:pPr>
      <w:rPr>
        <w:b w:val="0"/>
        <w:sz w:val="28"/>
      </w:r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Таблицы (моноширинный)"/>
    <w:basedOn w:val="Style_7"/>
    <w:next w:val="Style_7"/>
    <w:link w:val="Style_8_ch"/>
    <w:pPr>
      <w:widowControl w:val="0"/>
      <w:spacing w:after="0" w:line="240" w:lineRule="auto"/>
      <w:ind/>
      <w:jc w:val="both"/>
    </w:pPr>
    <w:rPr>
      <w:rFonts w:ascii="Courier New" w:hAnsi="Courier New"/>
      <w:sz w:val="24"/>
    </w:rPr>
  </w:style>
  <w:style w:styleId="Style_8_ch" w:type="character">
    <w:name w:val="Таблицы (моноширинный)"/>
    <w:basedOn w:val="Style_7_ch"/>
    <w:link w:val="Style_8"/>
    <w:rPr>
      <w:rFonts w:ascii="Courier New" w:hAnsi="Courier New"/>
      <w:sz w:val="24"/>
    </w:rPr>
  </w:style>
  <w:style w:styleId="Style_9" w:type="paragraph">
    <w:name w:val="toc 2"/>
    <w:next w:val="Style_7"/>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WW-WW8Num4z0"/>
    <w:link w:val="Style_10_ch"/>
    <w:rPr>
      <w:rFonts w:ascii="Times New Roman" w:hAnsi="Times New Roman"/>
    </w:rPr>
  </w:style>
  <w:style w:styleId="Style_10_ch" w:type="character">
    <w:name w:val="WW-WW8Num4z0"/>
    <w:link w:val="Style_10"/>
    <w:rPr>
      <w:rFonts w:ascii="Times New Roman" w:hAnsi="Times New Roman"/>
    </w:rPr>
  </w:style>
  <w:style w:styleId="Style_11" w:type="paragraph">
    <w:name w:val="grame"/>
    <w:link w:val="Style_11_ch"/>
  </w:style>
  <w:style w:styleId="Style_11_ch" w:type="character">
    <w:name w:val="grame"/>
    <w:link w:val="Style_11"/>
  </w:style>
  <w:style w:styleId="Style_12" w:type="paragraph">
    <w:name w:val="Обычный2"/>
    <w:link w:val="Style_12_ch"/>
    <w:pPr>
      <w:spacing w:after="0" w:line="240" w:lineRule="auto"/>
      <w:ind/>
    </w:pPr>
    <w:rPr>
      <w:rFonts w:ascii="Times New Roman" w:hAnsi="Times New Roman"/>
      <w:color w:val="000000"/>
      <w:sz w:val="24"/>
    </w:rPr>
  </w:style>
  <w:style w:styleId="Style_12_ch" w:type="character">
    <w:name w:val="Обычный2"/>
    <w:link w:val="Style_12"/>
    <w:rPr>
      <w:rFonts w:ascii="Times New Roman" w:hAnsi="Times New Roman"/>
      <w:color w:val="000000"/>
      <w:sz w:val="24"/>
    </w:rPr>
  </w:style>
  <w:style w:styleId="Style_13" w:type="paragraph">
    <w:name w:val="toc 4"/>
    <w:next w:val="Style_7"/>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heading 7"/>
    <w:basedOn w:val="Style_7"/>
    <w:next w:val="Style_7"/>
    <w:link w:val="Style_14_ch"/>
    <w:uiPriority w:val="9"/>
    <w:qFormat/>
    <w:pPr>
      <w:spacing w:after="60" w:before="240" w:line="240" w:lineRule="auto"/>
      <w:ind/>
      <w:outlineLvl w:val="6"/>
    </w:pPr>
    <w:rPr>
      <w:rFonts w:ascii="Times New Roman" w:hAnsi="Times New Roman"/>
      <w:sz w:val="24"/>
    </w:rPr>
  </w:style>
  <w:style w:styleId="Style_14_ch" w:type="character">
    <w:name w:val="heading 7"/>
    <w:basedOn w:val="Style_7_ch"/>
    <w:link w:val="Style_14"/>
    <w:rPr>
      <w:rFonts w:ascii="Times New Roman" w:hAnsi="Times New Roman"/>
      <w:sz w:val="24"/>
    </w:rPr>
  </w:style>
  <w:style w:styleId="Style_15" w:type="paragraph">
    <w:name w:val="Body Text 3"/>
    <w:basedOn w:val="Style_7"/>
    <w:link w:val="Style_15_ch"/>
    <w:pPr>
      <w:tabs>
        <w:tab w:leader="none" w:pos="0" w:val="left"/>
        <w:tab w:leader="none" w:pos="40" w:val="left"/>
        <w:tab w:leader="none" w:pos="720" w:val="left"/>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 w:leader="none" w:pos="9360" w:val="left"/>
        <w:tab w:leader="none" w:pos="10080" w:val="left"/>
        <w:tab w:leader="none" w:pos="10800" w:val="left"/>
      </w:tabs>
      <w:spacing w:after="0" w:line="240" w:lineRule="auto"/>
      <w:ind/>
    </w:pPr>
    <w:rPr>
      <w:rFonts w:ascii="Times New Roman" w:hAnsi="Times New Roman"/>
      <w:color w:val="000000"/>
      <w:sz w:val="24"/>
    </w:rPr>
  </w:style>
  <w:style w:styleId="Style_15_ch" w:type="character">
    <w:name w:val="Body Text 3"/>
    <w:basedOn w:val="Style_7_ch"/>
    <w:link w:val="Style_15"/>
    <w:rPr>
      <w:rFonts w:ascii="Times New Roman" w:hAnsi="Times New Roman"/>
      <w:color w:val="000000"/>
      <w:sz w:val="24"/>
    </w:rPr>
  </w:style>
  <w:style w:styleId="Style_16" w:type="paragraph">
    <w:name w:val="Обычный1"/>
    <w:link w:val="Style_16_ch"/>
    <w:pPr>
      <w:widowControl w:val="0"/>
      <w:spacing w:after="0" w:line="276" w:lineRule="auto"/>
      <w:ind w:firstLine="0" w:left="280"/>
    </w:pPr>
    <w:rPr>
      <w:rFonts w:ascii="Times New Roman" w:hAnsi="Times New Roman"/>
      <w:sz w:val="20"/>
    </w:rPr>
  </w:style>
  <w:style w:styleId="Style_16_ch" w:type="character">
    <w:name w:val="Обычный1"/>
    <w:link w:val="Style_16"/>
    <w:rPr>
      <w:rFonts w:ascii="Times New Roman" w:hAnsi="Times New Roman"/>
      <w:sz w:val="20"/>
    </w:rPr>
  </w:style>
  <w:style w:styleId="Style_17" w:type="paragraph">
    <w:name w:val="Char Char"/>
    <w:basedOn w:val="Style_7"/>
    <w:link w:val="Style_17_ch"/>
    <w:pPr>
      <w:spacing w:afterAutospacing="on" w:beforeAutospacing="on" w:line="240" w:lineRule="auto"/>
      <w:ind/>
      <w:jc w:val="both"/>
    </w:pPr>
    <w:rPr>
      <w:rFonts w:ascii="Tahoma" w:hAnsi="Tahoma"/>
      <w:sz w:val="20"/>
    </w:rPr>
  </w:style>
  <w:style w:styleId="Style_17_ch" w:type="character">
    <w:name w:val="Char Char"/>
    <w:basedOn w:val="Style_7_ch"/>
    <w:link w:val="Style_17"/>
    <w:rPr>
      <w:rFonts w:ascii="Tahoma" w:hAnsi="Tahoma"/>
      <w:sz w:val="20"/>
    </w:rPr>
  </w:style>
  <w:style w:styleId="Style_18" w:type="paragraph">
    <w:name w:val="toc 6"/>
    <w:next w:val="Style_7"/>
    <w:link w:val="Style_18_ch"/>
    <w:uiPriority w:val="39"/>
    <w:pPr>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line number"/>
    <w:link w:val="Style_19_ch"/>
  </w:style>
  <w:style w:styleId="Style_19_ch" w:type="character">
    <w:name w:val="line number"/>
    <w:link w:val="Style_19"/>
  </w:style>
  <w:style w:styleId="Style_20" w:type="paragraph">
    <w:name w:val="toc 7"/>
    <w:next w:val="Style_7"/>
    <w:link w:val="Style_20_ch"/>
    <w:uiPriority w:val="39"/>
    <w:pPr>
      <w:ind w:firstLine="0" w:left="1200"/>
      <w:jc w:val="left"/>
    </w:pPr>
    <w:rPr>
      <w:rFonts w:ascii="XO Thames" w:hAnsi="XO Thames"/>
      <w:sz w:val="28"/>
    </w:rPr>
  </w:style>
  <w:style w:styleId="Style_20_ch" w:type="character">
    <w:name w:val="toc 7"/>
    <w:link w:val="Style_20"/>
    <w:rPr>
      <w:rFonts w:ascii="XO Thames" w:hAnsi="XO Thames"/>
      <w:sz w:val="28"/>
    </w:rPr>
  </w:style>
  <w:style w:styleId="Style_21" w:type="paragraph">
    <w:name w:val="Стиль4"/>
    <w:basedOn w:val="Style_22"/>
    <w:link w:val="Style_21_ch"/>
    <w:rPr>
      <w:rFonts w:ascii="Times New Roman" w:hAnsi="Times New Roman"/>
    </w:rPr>
  </w:style>
  <w:style w:styleId="Style_21_ch" w:type="character">
    <w:name w:val="Стиль4"/>
    <w:basedOn w:val="Style_22_ch"/>
    <w:link w:val="Style_21"/>
    <w:rPr>
      <w:rFonts w:ascii="Times New Roman" w:hAnsi="Times New Roman"/>
    </w:rPr>
  </w:style>
  <w:style w:styleId="Style_23" w:type="paragraph">
    <w:name w:val="Основной шрифт абзаца2"/>
    <w:link w:val="Style_23_ch"/>
    <w:rPr>
      <w:sz w:val="24"/>
    </w:rPr>
  </w:style>
  <w:style w:styleId="Style_23_ch" w:type="character">
    <w:name w:val="Основной шрифт абзаца2"/>
    <w:link w:val="Style_23"/>
    <w:rPr>
      <w:sz w:val="24"/>
    </w:rPr>
  </w:style>
  <w:style w:styleId="Style_24" w:type="paragraph">
    <w:name w:val="Пункт"/>
    <w:basedOn w:val="Style_7"/>
    <w:link w:val="Style_24_ch"/>
    <w:pPr>
      <w:tabs>
        <w:tab w:leader="none" w:pos="1980" w:val="left"/>
      </w:tabs>
      <w:spacing w:after="0" w:line="240" w:lineRule="auto"/>
      <w:ind w:hanging="504" w:left="1404"/>
      <w:jc w:val="both"/>
    </w:pPr>
    <w:rPr>
      <w:rFonts w:ascii="Times New Roman" w:hAnsi="Times New Roman"/>
      <w:sz w:val="24"/>
    </w:rPr>
  </w:style>
  <w:style w:styleId="Style_24_ch" w:type="character">
    <w:name w:val="Пункт"/>
    <w:basedOn w:val="Style_7_ch"/>
    <w:link w:val="Style_24"/>
    <w:rPr>
      <w:rFonts w:ascii="Times New Roman" w:hAnsi="Times New Roman"/>
      <w:sz w:val="24"/>
    </w:rPr>
  </w:style>
  <w:style w:styleId="Style_25" w:type="paragraph">
    <w:name w:val="page number"/>
    <w:link w:val="Style_25_ch"/>
  </w:style>
  <w:style w:styleId="Style_25_ch" w:type="character">
    <w:name w:val="page number"/>
    <w:link w:val="Style_25"/>
  </w:style>
  <w:style w:styleId="Style_26" w:type="paragraph">
    <w:name w:val="WW-Основной текст 2"/>
    <w:basedOn w:val="Style_7"/>
    <w:link w:val="Style_26_ch"/>
    <w:pPr>
      <w:widowControl w:val="0"/>
      <w:spacing w:after="0" w:line="240" w:lineRule="auto"/>
      <w:ind w:right="-1"/>
      <w:jc w:val="both"/>
    </w:pPr>
    <w:rPr>
      <w:rFonts w:ascii="Times New Roman" w:hAnsi="Times New Roman"/>
      <w:sz w:val="20"/>
    </w:rPr>
  </w:style>
  <w:style w:styleId="Style_26_ch" w:type="character">
    <w:name w:val="WW-Основной текст 2"/>
    <w:basedOn w:val="Style_7_ch"/>
    <w:link w:val="Style_26"/>
    <w:rPr>
      <w:rFonts w:ascii="Times New Roman" w:hAnsi="Times New Roman"/>
      <w:sz w:val="20"/>
    </w:rPr>
  </w:style>
  <w:style w:styleId="Style_27" w:type="paragraph">
    <w:name w:val="Текст выноски Знак1"/>
    <w:link w:val="Style_27_ch"/>
    <w:rPr>
      <w:rFonts w:ascii="Tahoma" w:hAnsi="Tahoma"/>
      <w:color w:val="000000"/>
      <w:sz w:val="16"/>
    </w:rPr>
  </w:style>
  <w:style w:styleId="Style_27_ch" w:type="character">
    <w:name w:val="Текст выноски Знак1"/>
    <w:link w:val="Style_27"/>
    <w:rPr>
      <w:rFonts w:ascii="Tahoma" w:hAnsi="Tahoma"/>
      <w:color w:val="000000"/>
      <w:sz w:val="16"/>
    </w:rPr>
  </w:style>
  <w:style w:styleId="Style_28" w:type="paragraph">
    <w:name w:val="_Обычный"/>
    <w:basedOn w:val="Style_7"/>
    <w:link w:val="Style_28_ch"/>
    <w:pPr>
      <w:spacing w:after="120" w:line="240" w:lineRule="auto"/>
      <w:ind w:firstLine="720" w:left="0"/>
      <w:jc w:val="both"/>
    </w:pPr>
    <w:rPr>
      <w:rFonts w:ascii="Times New Roman" w:hAnsi="Times New Roman"/>
      <w:sz w:val="24"/>
    </w:rPr>
  </w:style>
  <w:style w:styleId="Style_28_ch" w:type="character">
    <w:name w:val="_Обычный"/>
    <w:basedOn w:val="Style_7_ch"/>
    <w:link w:val="Style_28"/>
    <w:rPr>
      <w:rFonts w:ascii="Times New Roman" w:hAnsi="Times New Roman"/>
      <w:sz w:val="24"/>
    </w:rPr>
  </w:style>
  <w:style w:styleId="Style_29" w:type="paragraph">
    <w:name w:val="HTML Preformatted"/>
    <w:basedOn w:val="Style_7"/>
    <w:link w:val="Style_29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pPr>
    <w:rPr>
      <w:rFonts w:ascii="Courier New" w:hAnsi="Courier New"/>
      <w:sz w:val="20"/>
    </w:rPr>
  </w:style>
  <w:style w:styleId="Style_29_ch" w:type="character">
    <w:name w:val="HTML Preformatted"/>
    <w:basedOn w:val="Style_7_ch"/>
    <w:link w:val="Style_29"/>
    <w:rPr>
      <w:rFonts w:ascii="Courier New" w:hAnsi="Courier New"/>
      <w:sz w:val="20"/>
    </w:rPr>
  </w:style>
  <w:style w:styleId="Style_30" w:type="paragraph">
    <w:name w:val="Endnote"/>
    <w:link w:val="Style_30_ch"/>
    <w:pPr>
      <w:ind w:firstLine="851" w:left="0"/>
      <w:jc w:val="both"/>
    </w:pPr>
    <w:rPr>
      <w:rFonts w:ascii="XO Thames" w:hAnsi="XO Thames"/>
      <w:sz w:val="22"/>
    </w:rPr>
  </w:style>
  <w:style w:styleId="Style_30_ch" w:type="character">
    <w:name w:val="Endnote"/>
    <w:link w:val="Style_30"/>
    <w:rPr>
      <w:rFonts w:ascii="XO Thames" w:hAnsi="XO Thames"/>
      <w:sz w:val="22"/>
    </w:rPr>
  </w:style>
  <w:style w:styleId="Style_31" w:type="paragraph">
    <w:name w:val="heading 3"/>
    <w:basedOn w:val="Style_7"/>
    <w:next w:val="Style_7"/>
    <w:link w:val="Style_31_ch"/>
    <w:uiPriority w:val="9"/>
    <w:qFormat/>
    <w:pPr>
      <w:keepNext w:val="1"/>
      <w:spacing w:after="60" w:before="240" w:line="240" w:lineRule="auto"/>
      <w:ind/>
      <w:outlineLvl w:val="2"/>
    </w:pPr>
    <w:rPr>
      <w:rFonts w:ascii="Arial" w:hAnsi="Arial"/>
      <w:b w:val="1"/>
      <w:sz w:val="26"/>
    </w:rPr>
  </w:style>
  <w:style w:styleId="Style_31_ch" w:type="character">
    <w:name w:val="heading 3"/>
    <w:basedOn w:val="Style_7_ch"/>
    <w:link w:val="Style_31"/>
    <w:rPr>
      <w:rFonts w:ascii="Arial" w:hAnsi="Arial"/>
      <w:b w:val="1"/>
      <w:sz w:val="26"/>
    </w:rPr>
  </w:style>
  <w:style w:styleId="Style_32" w:type="paragraph">
    <w:name w:val="annotation reference"/>
    <w:link w:val="Style_32_ch"/>
    <w:rPr>
      <w:sz w:val="16"/>
    </w:rPr>
  </w:style>
  <w:style w:styleId="Style_32_ch" w:type="character">
    <w:name w:val="annotation reference"/>
    <w:link w:val="Style_32"/>
    <w:rPr>
      <w:sz w:val="16"/>
    </w:rPr>
  </w:style>
  <w:style w:styleId="Style_33" w:type="paragraph">
    <w:name w:val="Абзац списка1"/>
    <w:basedOn w:val="Style_7"/>
    <w:link w:val="Style_33_ch"/>
    <w:pPr>
      <w:spacing w:after="200" w:line="276" w:lineRule="auto"/>
      <w:ind w:firstLine="0" w:left="720"/>
      <w:contextualSpacing w:val="1"/>
    </w:pPr>
    <w:rPr>
      <w:rFonts w:ascii="Calibri" w:hAnsi="Calibri"/>
    </w:rPr>
  </w:style>
  <w:style w:styleId="Style_33_ch" w:type="character">
    <w:name w:val="Абзац списка1"/>
    <w:basedOn w:val="Style_7_ch"/>
    <w:link w:val="Style_33"/>
    <w:rPr>
      <w:rFonts w:ascii="Calibri" w:hAnsi="Calibri"/>
    </w:rPr>
  </w:style>
  <w:style w:styleId="Style_34" w:type="paragraph">
    <w:name w:val="endnote reference"/>
    <w:link w:val="Style_34_ch"/>
    <w:rPr>
      <w:vertAlign w:val="superscript"/>
    </w:rPr>
  </w:style>
  <w:style w:styleId="Style_34_ch" w:type="character">
    <w:name w:val="endnote reference"/>
    <w:link w:val="Style_34"/>
    <w:rPr>
      <w:vertAlign w:val="superscript"/>
    </w:rPr>
  </w:style>
  <w:style w:styleId="Style_35" w:type="paragraph">
    <w:name w:val="ConsNonformat"/>
    <w:link w:val="Style_35_ch"/>
    <w:pPr>
      <w:spacing w:after="0" w:line="240" w:lineRule="auto"/>
      <w:ind w:right="19772"/>
    </w:pPr>
    <w:rPr>
      <w:rFonts w:ascii="Courier New" w:hAnsi="Courier New"/>
      <w:sz w:val="20"/>
    </w:rPr>
  </w:style>
  <w:style w:styleId="Style_35_ch" w:type="character">
    <w:name w:val="ConsNonformat"/>
    <w:link w:val="Style_35"/>
    <w:rPr>
      <w:rFonts w:ascii="Courier New" w:hAnsi="Courier New"/>
      <w:sz w:val="20"/>
    </w:rPr>
  </w:style>
  <w:style w:styleId="Style_36" w:type="paragraph">
    <w:name w:val="FollowedHyperlink"/>
    <w:link w:val="Style_36_ch"/>
    <w:rPr>
      <w:color w:val="800080"/>
      <w:u w:val="single"/>
    </w:rPr>
  </w:style>
  <w:style w:styleId="Style_36_ch" w:type="character">
    <w:name w:val="FollowedHyperlink"/>
    <w:link w:val="Style_36"/>
    <w:rPr>
      <w:color w:val="800080"/>
      <w:u w:val="single"/>
    </w:rPr>
  </w:style>
  <w:style w:styleId="Style_37" w:type="paragraph">
    <w:name w:val="ConsPlusCell"/>
    <w:link w:val="Style_37_ch"/>
    <w:pPr>
      <w:widowControl w:val="0"/>
      <w:spacing w:after="0" w:line="240" w:lineRule="auto"/>
      <w:ind/>
    </w:pPr>
    <w:rPr>
      <w:rFonts w:ascii="Arial" w:hAnsi="Arial"/>
      <w:sz w:val="20"/>
    </w:rPr>
  </w:style>
  <w:style w:styleId="Style_37_ch" w:type="character">
    <w:name w:val="ConsPlusCell"/>
    <w:link w:val="Style_37"/>
    <w:rPr>
      <w:rFonts w:ascii="Arial" w:hAnsi="Arial"/>
      <w:sz w:val="20"/>
    </w:rPr>
  </w:style>
  <w:style w:styleId="Style_38" w:type="paragraph">
    <w:name w:val="Body Text Indent 2"/>
    <w:basedOn w:val="Style_7"/>
    <w:link w:val="Style_38_ch"/>
    <w:pPr>
      <w:spacing w:after="120" w:line="480" w:lineRule="auto"/>
      <w:ind w:firstLine="0" w:left="283"/>
    </w:pPr>
    <w:rPr>
      <w:rFonts w:ascii="Calibri" w:hAnsi="Calibri"/>
    </w:rPr>
  </w:style>
  <w:style w:styleId="Style_38_ch" w:type="character">
    <w:name w:val="Body Text Indent 2"/>
    <w:basedOn w:val="Style_7_ch"/>
    <w:link w:val="Style_38"/>
    <w:rPr>
      <w:rFonts w:ascii="Calibri" w:hAnsi="Calibri"/>
    </w:rPr>
  </w:style>
  <w:style w:styleId="Style_39" w:type="paragraph">
    <w:name w:val="Основной текст + Курсив"/>
    <w:link w:val="Style_39_ch"/>
    <w:rPr>
      <w:i w:val="1"/>
      <w:color w:val="000000"/>
      <w:spacing w:val="0"/>
      <w:sz w:val="25"/>
      <w:highlight w:val="white"/>
    </w:rPr>
  </w:style>
  <w:style w:styleId="Style_39_ch" w:type="character">
    <w:name w:val="Основной текст + Курсив"/>
    <w:link w:val="Style_39"/>
    <w:rPr>
      <w:i w:val="1"/>
      <w:color w:val="000000"/>
      <w:spacing w:val="0"/>
      <w:sz w:val="25"/>
      <w:highlight w:val="white"/>
    </w:rPr>
  </w:style>
  <w:style w:styleId="Style_40" w:type="paragraph">
    <w:name w:val="List Paragraph"/>
    <w:basedOn w:val="Style_7"/>
    <w:link w:val="Style_40_ch"/>
    <w:pPr>
      <w:spacing w:after="200" w:line="276" w:lineRule="auto"/>
      <w:ind w:firstLine="0" w:left="720"/>
      <w:contextualSpacing w:val="1"/>
    </w:pPr>
    <w:rPr>
      <w:rFonts w:ascii="Calibri" w:hAnsi="Calibri"/>
    </w:rPr>
  </w:style>
  <w:style w:styleId="Style_40_ch" w:type="character">
    <w:name w:val="List Paragraph"/>
    <w:basedOn w:val="Style_7_ch"/>
    <w:link w:val="Style_40"/>
    <w:rPr>
      <w:rFonts w:ascii="Calibri" w:hAnsi="Calibri"/>
    </w:rPr>
  </w:style>
  <w:style w:styleId="Style_41" w:type="paragraph">
    <w:name w:val="List"/>
    <w:basedOn w:val="Style_7"/>
    <w:link w:val="Style_41_ch"/>
    <w:pPr>
      <w:spacing w:after="60" w:line="240" w:lineRule="auto"/>
      <w:ind w:hanging="283" w:left="283"/>
      <w:jc w:val="both"/>
    </w:pPr>
    <w:rPr>
      <w:rFonts w:ascii="Times New Roman" w:hAnsi="Times New Roman"/>
      <w:sz w:val="24"/>
    </w:rPr>
  </w:style>
  <w:style w:styleId="Style_41_ch" w:type="character">
    <w:name w:val="List"/>
    <w:basedOn w:val="Style_7_ch"/>
    <w:link w:val="Style_41"/>
    <w:rPr>
      <w:rFonts w:ascii="Times New Roman" w:hAnsi="Times New Roman"/>
      <w:sz w:val="24"/>
    </w:rPr>
  </w:style>
  <w:style w:styleId="Style_42" w:type="paragraph">
    <w:name w:val="Основной текст + 11;5 pt"/>
    <w:link w:val="Style_42_ch"/>
    <w:rPr>
      <w:color w:val="000000"/>
      <w:spacing w:val="0"/>
      <w:sz w:val="23"/>
      <w:highlight w:val="white"/>
    </w:rPr>
  </w:style>
  <w:style w:styleId="Style_42_ch" w:type="character">
    <w:name w:val="Основной текст + 11;5 pt"/>
    <w:link w:val="Style_42"/>
    <w:rPr>
      <w:color w:val="000000"/>
      <w:spacing w:val="0"/>
      <w:sz w:val="23"/>
      <w:highlight w:val="white"/>
    </w:rPr>
  </w:style>
  <w:style w:styleId="Style_22" w:type="paragraph">
    <w:name w:val="Default Paragraph Font"/>
    <w:link w:val="Style_22_ch"/>
  </w:style>
  <w:style w:styleId="Style_22_ch" w:type="character">
    <w:name w:val="Default Paragraph Font"/>
    <w:link w:val="Style_22"/>
  </w:style>
  <w:style w:styleId="Style_43" w:type="paragraph">
    <w:name w:val="Основной текст (3)"/>
    <w:basedOn w:val="Style_7"/>
    <w:link w:val="Style_43_ch"/>
    <w:pPr>
      <w:spacing w:after="0" w:before="900" w:line="317" w:lineRule="exact"/>
      <w:ind/>
      <w:jc w:val="both"/>
    </w:pPr>
    <w:rPr>
      <w:sz w:val="26"/>
      <w:highlight w:val="white"/>
    </w:rPr>
  </w:style>
  <w:style w:styleId="Style_43_ch" w:type="character">
    <w:name w:val="Основной текст (3)"/>
    <w:basedOn w:val="Style_7_ch"/>
    <w:link w:val="Style_43"/>
    <w:rPr>
      <w:sz w:val="26"/>
      <w:highlight w:val="white"/>
    </w:rPr>
  </w:style>
  <w:style w:styleId="Style_44" w:type="paragraph">
    <w:name w:val="Просмотренная гиперссылка1"/>
    <w:link w:val="Style_44_ch"/>
    <w:rPr>
      <w:color w:val="800080"/>
      <w:u w:val="single"/>
    </w:rPr>
  </w:style>
  <w:style w:styleId="Style_44_ch" w:type="character">
    <w:name w:val="Просмотренная гиперссылка1"/>
    <w:link w:val="Style_44"/>
    <w:rPr>
      <w:color w:val="800080"/>
      <w:u w:val="single"/>
    </w:rPr>
  </w:style>
  <w:style w:styleId="Style_45" w:type="paragraph">
    <w:name w:val="Содержимое таблицы"/>
    <w:basedOn w:val="Style_46"/>
    <w:link w:val="Style_45_ch"/>
    <w:pPr>
      <w:spacing w:after="0"/>
      <w:ind/>
    </w:pPr>
    <w:rPr>
      <w:b w:val="1"/>
      <w:sz w:val="24"/>
    </w:rPr>
  </w:style>
  <w:style w:styleId="Style_45_ch" w:type="character">
    <w:name w:val="Содержимое таблицы"/>
    <w:basedOn w:val="Style_46_ch"/>
    <w:link w:val="Style_45"/>
    <w:rPr>
      <w:b w:val="1"/>
      <w:sz w:val="24"/>
    </w:rPr>
  </w:style>
  <w:style w:styleId="Style_47" w:type="paragraph">
    <w:name w:val="List Bullet 3"/>
    <w:basedOn w:val="Style_7"/>
    <w:link w:val="Style_47_ch"/>
    <w:pPr>
      <w:tabs>
        <w:tab w:leader="none" w:pos="926" w:val="left"/>
      </w:tabs>
      <w:spacing w:after="60" w:line="240" w:lineRule="auto"/>
      <w:ind w:hanging="360" w:left="926"/>
      <w:jc w:val="both"/>
    </w:pPr>
    <w:rPr>
      <w:rFonts w:ascii="Times New Roman" w:hAnsi="Times New Roman"/>
      <w:sz w:val="24"/>
    </w:rPr>
  </w:style>
  <w:style w:styleId="Style_47_ch" w:type="character">
    <w:name w:val="List Bullet 3"/>
    <w:basedOn w:val="Style_7_ch"/>
    <w:link w:val="Style_47"/>
    <w:rPr>
      <w:rFonts w:ascii="Times New Roman" w:hAnsi="Times New Roman"/>
      <w:sz w:val="24"/>
    </w:rPr>
  </w:style>
  <w:style w:styleId="Style_48" w:type="paragraph">
    <w:name w:val="Стиль2"/>
    <w:basedOn w:val="Style_49"/>
    <w:link w:val="Style_48_ch"/>
    <w:pPr>
      <w:keepNext w:val="1"/>
      <w:keepLines w:val="1"/>
      <w:widowControl w:val="0"/>
      <w:numPr>
        <w:numId w:val="1"/>
      </w:numPr>
      <w:tabs>
        <w:tab w:leader="none" w:pos="360" w:val="left"/>
        <w:tab w:leader="none" w:pos="643" w:val="left"/>
        <w:tab w:leader="none" w:pos="1209" w:val="left"/>
      </w:tabs>
      <w:spacing w:after="60"/>
      <w:ind w:firstLine="0" w:left="643"/>
      <w:contextualSpacing w:val="0"/>
      <w:jc w:val="both"/>
    </w:pPr>
    <w:rPr>
      <w:b w:val="1"/>
    </w:rPr>
  </w:style>
  <w:style w:styleId="Style_48_ch" w:type="character">
    <w:name w:val="Стиль2"/>
    <w:basedOn w:val="Style_49_ch"/>
    <w:link w:val="Style_48"/>
    <w:rPr>
      <w:b w:val="1"/>
    </w:rPr>
  </w:style>
  <w:style w:styleId="Style_50" w:type="paragraph">
    <w:name w:val="apple-style-span"/>
    <w:link w:val="Style_50_ch"/>
  </w:style>
  <w:style w:styleId="Style_50_ch" w:type="character">
    <w:name w:val="apple-style-span"/>
    <w:link w:val="Style_50"/>
  </w:style>
  <w:style w:styleId="Style_51" w:type="paragraph">
    <w:name w:val="Standard"/>
    <w:link w:val="Style_51_ch"/>
    <w:pPr>
      <w:spacing w:after="0" w:line="240" w:lineRule="auto"/>
      <w:ind/>
    </w:pPr>
    <w:rPr>
      <w:rFonts w:ascii="Times New Roman" w:hAnsi="Times New Roman"/>
      <w:sz w:val="24"/>
    </w:rPr>
  </w:style>
  <w:style w:styleId="Style_51_ch" w:type="character">
    <w:name w:val="Standard"/>
    <w:link w:val="Style_51"/>
    <w:rPr>
      <w:rFonts w:ascii="Times New Roman" w:hAnsi="Times New Roman"/>
      <w:sz w:val="24"/>
    </w:rPr>
  </w:style>
  <w:style w:styleId="Style_52" w:type="paragraph">
    <w:name w:val="Revision"/>
    <w:link w:val="Style_52_ch"/>
    <w:pPr>
      <w:spacing w:after="0" w:line="240" w:lineRule="auto"/>
      <w:ind/>
    </w:pPr>
    <w:rPr>
      <w:rFonts w:ascii="Times New Roman" w:hAnsi="Times New Roman"/>
      <w:sz w:val="24"/>
    </w:rPr>
  </w:style>
  <w:style w:styleId="Style_52_ch" w:type="character">
    <w:name w:val="Revision"/>
    <w:link w:val="Style_52"/>
    <w:rPr>
      <w:rFonts w:ascii="Times New Roman" w:hAnsi="Times New Roman"/>
      <w:sz w:val="24"/>
    </w:rPr>
  </w:style>
  <w:style w:styleId="Style_53" w:type="paragraph">
    <w:name w:val="Body Text Indent 3"/>
    <w:basedOn w:val="Style_7"/>
    <w:link w:val="Style_53_ch"/>
    <w:pPr>
      <w:spacing w:after="120" w:line="240" w:lineRule="auto"/>
      <w:ind w:firstLine="0" w:left="283"/>
    </w:pPr>
    <w:rPr>
      <w:rFonts w:ascii="Times New Roman" w:hAnsi="Times New Roman"/>
      <w:sz w:val="16"/>
    </w:rPr>
  </w:style>
  <w:style w:styleId="Style_53_ch" w:type="character">
    <w:name w:val="Body Text Indent 3"/>
    <w:basedOn w:val="Style_7_ch"/>
    <w:link w:val="Style_53"/>
    <w:rPr>
      <w:rFonts w:ascii="Times New Roman" w:hAnsi="Times New Roman"/>
      <w:sz w:val="16"/>
    </w:rPr>
  </w:style>
  <w:style w:styleId="Style_54" w:type="paragraph">
    <w:name w:val="Placeholder Text"/>
    <w:basedOn w:val="Style_22"/>
    <w:link w:val="Style_54_ch"/>
    <w:rPr>
      <w:color w:val="808080"/>
    </w:rPr>
  </w:style>
  <w:style w:styleId="Style_54_ch" w:type="character">
    <w:name w:val="Placeholder Text"/>
    <w:basedOn w:val="Style_22_ch"/>
    <w:link w:val="Style_54"/>
    <w:rPr>
      <w:color w:val="808080"/>
    </w:rPr>
  </w:style>
  <w:style w:styleId="Style_49" w:type="paragraph">
    <w:name w:val="List Number 2"/>
    <w:basedOn w:val="Style_7"/>
    <w:link w:val="Style_49_ch"/>
    <w:pPr>
      <w:tabs>
        <w:tab w:leader="none" w:pos="432" w:val="left"/>
      </w:tabs>
      <w:spacing w:after="0" w:line="240" w:lineRule="auto"/>
      <w:ind w:hanging="431" w:left="431"/>
      <w:contextualSpacing w:val="1"/>
    </w:pPr>
    <w:rPr>
      <w:rFonts w:ascii="Times New Roman" w:hAnsi="Times New Roman"/>
      <w:sz w:val="24"/>
    </w:rPr>
  </w:style>
  <w:style w:styleId="Style_49_ch" w:type="character">
    <w:name w:val="List Number 2"/>
    <w:basedOn w:val="Style_7_ch"/>
    <w:link w:val="Style_49"/>
    <w:rPr>
      <w:rFonts w:ascii="Times New Roman" w:hAnsi="Times New Roman"/>
      <w:sz w:val="24"/>
    </w:rPr>
  </w:style>
  <w:style w:styleId="Style_55" w:type="paragraph">
    <w:name w:val="Знак"/>
    <w:basedOn w:val="Style_7"/>
    <w:link w:val="Style_55_ch"/>
    <w:pPr>
      <w:spacing w:line="240" w:lineRule="exact"/>
      <w:ind/>
    </w:pPr>
    <w:rPr>
      <w:rFonts w:ascii="Verdana" w:hAnsi="Verdana"/>
      <w:sz w:val="20"/>
    </w:rPr>
  </w:style>
  <w:style w:styleId="Style_55_ch" w:type="character">
    <w:name w:val="Знак"/>
    <w:basedOn w:val="Style_7_ch"/>
    <w:link w:val="Style_55"/>
    <w:rPr>
      <w:rFonts w:ascii="Verdana" w:hAnsi="Verdana"/>
      <w:sz w:val="20"/>
    </w:rPr>
  </w:style>
  <w:style w:styleId="Style_56" w:type="paragraph">
    <w:name w:val="Основной текст 3 Знак1"/>
    <w:link w:val="Style_56_ch"/>
    <w:rPr>
      <w:rFonts w:ascii="Times New Roman" w:hAnsi="Times New Roman"/>
      <w:sz w:val="16"/>
    </w:rPr>
  </w:style>
  <w:style w:styleId="Style_56_ch" w:type="character">
    <w:name w:val="Основной текст 3 Знак1"/>
    <w:link w:val="Style_56"/>
    <w:rPr>
      <w:rFonts w:ascii="Times New Roman" w:hAnsi="Times New Roman"/>
      <w:sz w:val="16"/>
    </w:rPr>
  </w:style>
  <w:style w:styleId="Style_57" w:type="paragraph">
    <w:name w:val="toc 3"/>
    <w:next w:val="Style_7"/>
    <w:link w:val="Style_57_ch"/>
    <w:uiPriority w:val="39"/>
    <w:pPr>
      <w:ind w:firstLine="0" w:left="400"/>
      <w:jc w:val="left"/>
    </w:pPr>
    <w:rPr>
      <w:rFonts w:ascii="XO Thames" w:hAnsi="XO Thames"/>
      <w:sz w:val="28"/>
    </w:rPr>
  </w:style>
  <w:style w:styleId="Style_57_ch" w:type="character">
    <w:name w:val="toc 3"/>
    <w:link w:val="Style_57"/>
    <w:rPr>
      <w:rFonts w:ascii="XO Thames" w:hAnsi="XO Thames"/>
      <w:sz w:val="28"/>
    </w:rPr>
  </w:style>
  <w:style w:styleId="Style_58" w:type="paragraph">
    <w:name w:val="Уровень 2"/>
    <w:basedOn w:val="Style_7"/>
    <w:link w:val="Style_58_ch"/>
    <w:pPr>
      <w:numPr>
        <w:ilvl w:val="1"/>
        <w:numId w:val="2"/>
      </w:numPr>
      <w:tabs>
        <w:tab w:leader="none" w:pos="0" w:val="left"/>
        <w:tab w:leader="none" w:pos="360" w:val="clear"/>
        <w:tab w:leader="none" w:pos="720" w:val="left"/>
        <w:tab w:leader="none" w:pos="1080" w:val="left"/>
      </w:tabs>
      <w:spacing w:after="0" w:before="120" w:line="240" w:lineRule="auto"/>
      <w:ind/>
      <w:jc w:val="both"/>
      <w:outlineLvl w:val="2"/>
    </w:pPr>
    <w:rPr>
      <w:rFonts w:ascii="Times New Roman" w:hAnsi="Times New Roman"/>
      <w:b w:val="1"/>
      <w:sz w:val="24"/>
    </w:rPr>
  </w:style>
  <w:style w:styleId="Style_58_ch" w:type="character">
    <w:name w:val="Уровень 2"/>
    <w:basedOn w:val="Style_7_ch"/>
    <w:link w:val="Style_58"/>
    <w:rPr>
      <w:rFonts w:ascii="Times New Roman" w:hAnsi="Times New Roman"/>
      <w:b w:val="1"/>
      <w:sz w:val="24"/>
    </w:rPr>
  </w:style>
  <w:style w:styleId="Style_59" w:type="paragraph">
    <w:name w:val="Îáû÷íûé"/>
    <w:link w:val="Style_59_ch"/>
    <w:pPr>
      <w:spacing w:after="0" w:line="240" w:lineRule="auto"/>
      <w:ind/>
    </w:pPr>
    <w:rPr>
      <w:rFonts w:ascii="Times New Roman" w:hAnsi="Times New Roman"/>
      <w:sz w:val="20"/>
    </w:rPr>
  </w:style>
  <w:style w:styleId="Style_59_ch" w:type="character">
    <w:name w:val="Îáû÷íûé"/>
    <w:link w:val="Style_59"/>
    <w:rPr>
      <w:rFonts w:ascii="Times New Roman" w:hAnsi="Times New Roman"/>
      <w:sz w:val="20"/>
    </w:rPr>
  </w:style>
  <w:style w:styleId="Style_2" w:type="paragraph">
    <w:name w:val="Стиль1"/>
    <w:basedOn w:val="Style_22"/>
    <w:link w:val="Style_2_ch"/>
    <w:rPr>
      <w:rFonts w:ascii="Times New Roman" w:hAnsi="Times New Roman"/>
    </w:rPr>
  </w:style>
  <w:style w:styleId="Style_2_ch" w:type="character">
    <w:name w:val="Стиль1"/>
    <w:basedOn w:val="Style_22_ch"/>
    <w:link w:val="Style_2"/>
    <w:rPr>
      <w:rFonts w:ascii="Times New Roman" w:hAnsi="Times New Roman"/>
    </w:rPr>
  </w:style>
  <w:style w:styleId="Style_46" w:type="paragraph">
    <w:name w:val="Body Text"/>
    <w:basedOn w:val="Style_7"/>
    <w:link w:val="Style_46_ch"/>
    <w:pPr>
      <w:spacing w:after="120" w:line="240" w:lineRule="auto"/>
      <w:ind/>
    </w:pPr>
    <w:rPr>
      <w:rFonts w:ascii="Times New Roman" w:hAnsi="Times New Roman"/>
      <w:sz w:val="20"/>
    </w:rPr>
  </w:style>
  <w:style w:styleId="Style_46_ch" w:type="character">
    <w:name w:val="Body Text"/>
    <w:basedOn w:val="Style_7_ch"/>
    <w:link w:val="Style_46"/>
    <w:rPr>
      <w:rFonts w:ascii="Times New Roman" w:hAnsi="Times New Roman"/>
      <w:sz w:val="20"/>
    </w:rPr>
  </w:style>
  <w:style w:styleId="Style_60" w:type="paragraph">
    <w:name w:val="PEAformat"/>
    <w:link w:val="Style_60_ch"/>
    <w:pPr>
      <w:widowControl w:val="0"/>
      <w:spacing w:after="0" w:line="240" w:lineRule="auto"/>
      <w:ind/>
    </w:pPr>
    <w:rPr>
      <w:rFonts w:ascii="Courier New" w:hAnsi="Courier New"/>
      <w:sz w:val="20"/>
    </w:rPr>
  </w:style>
  <w:style w:styleId="Style_60_ch" w:type="character">
    <w:name w:val="PEAformat"/>
    <w:link w:val="Style_60"/>
    <w:rPr>
      <w:rFonts w:ascii="Courier New" w:hAnsi="Courier New"/>
      <w:sz w:val="20"/>
    </w:rPr>
  </w:style>
  <w:style w:styleId="Style_61" w:type="paragraph">
    <w:name w:val="Основной текст (10)"/>
    <w:basedOn w:val="Style_7"/>
    <w:link w:val="Style_61_ch"/>
    <w:pPr>
      <w:spacing w:after="0" w:line="274" w:lineRule="exact"/>
      <w:ind w:hanging="380" w:left="380"/>
      <w:jc w:val="right"/>
    </w:pPr>
    <w:rPr>
      <w:sz w:val="23"/>
    </w:rPr>
  </w:style>
  <w:style w:styleId="Style_61_ch" w:type="character">
    <w:name w:val="Основной текст (10)"/>
    <w:basedOn w:val="Style_7_ch"/>
    <w:link w:val="Style_61"/>
    <w:rPr>
      <w:sz w:val="23"/>
    </w:rPr>
  </w:style>
  <w:style w:styleId="Style_62" w:type="paragraph">
    <w:name w:val="Font Style12"/>
    <w:link w:val="Style_62_ch"/>
    <w:rPr>
      <w:rFonts w:ascii="Times New Roman" w:hAnsi="Times New Roman"/>
      <w:sz w:val="26"/>
    </w:rPr>
  </w:style>
  <w:style w:styleId="Style_62_ch" w:type="character">
    <w:name w:val="Font Style12"/>
    <w:link w:val="Style_62"/>
    <w:rPr>
      <w:rFonts w:ascii="Times New Roman" w:hAnsi="Times New Roman"/>
      <w:sz w:val="26"/>
    </w:rPr>
  </w:style>
  <w:style w:styleId="Style_63" w:type="paragraph">
    <w:name w:val="Основной текст 21"/>
    <w:basedOn w:val="Style_7"/>
    <w:link w:val="Style_63_ch"/>
    <w:pPr>
      <w:widowControl w:val="0"/>
      <w:spacing w:after="120" w:before="120" w:line="240" w:lineRule="auto"/>
      <w:ind w:firstLine="851" w:left="0"/>
      <w:jc w:val="both"/>
    </w:pPr>
    <w:rPr>
      <w:rFonts w:ascii="Times New Roman" w:hAnsi="Times New Roman"/>
      <w:sz w:val="24"/>
    </w:rPr>
  </w:style>
  <w:style w:styleId="Style_63_ch" w:type="character">
    <w:name w:val="Основной текст 21"/>
    <w:basedOn w:val="Style_7_ch"/>
    <w:link w:val="Style_63"/>
    <w:rPr>
      <w:rFonts w:ascii="Times New Roman" w:hAnsi="Times New Roman"/>
      <w:sz w:val="24"/>
    </w:rPr>
  </w:style>
  <w:style w:styleId="Style_64" w:type="paragraph">
    <w:name w:val="ConsNormal"/>
    <w:link w:val="Style_64_ch"/>
    <w:pPr>
      <w:spacing w:after="0" w:line="240" w:lineRule="auto"/>
      <w:ind w:firstLine="720" w:left="0" w:right="19772"/>
    </w:pPr>
    <w:rPr>
      <w:rFonts w:ascii="Arial" w:hAnsi="Arial"/>
      <w:sz w:val="20"/>
    </w:rPr>
  </w:style>
  <w:style w:styleId="Style_64_ch" w:type="character">
    <w:name w:val="ConsNormal"/>
    <w:link w:val="Style_64"/>
    <w:rPr>
      <w:rFonts w:ascii="Arial" w:hAnsi="Arial"/>
      <w:sz w:val="20"/>
    </w:rPr>
  </w:style>
  <w:style w:styleId="Style_65" w:type="paragraph">
    <w:name w:val="Oaeno"/>
    <w:basedOn w:val="Style_7"/>
    <w:link w:val="Style_65_ch"/>
    <w:pPr>
      <w:spacing w:after="0" w:line="240" w:lineRule="auto"/>
      <w:ind/>
    </w:pPr>
    <w:rPr>
      <w:rFonts w:ascii="Courier New" w:hAnsi="Courier New"/>
      <w:sz w:val="20"/>
    </w:rPr>
  </w:style>
  <w:style w:styleId="Style_65_ch" w:type="character">
    <w:name w:val="Oaeno"/>
    <w:basedOn w:val="Style_7_ch"/>
    <w:link w:val="Style_65"/>
    <w:rPr>
      <w:rFonts w:ascii="Courier New" w:hAnsi="Courier New"/>
      <w:sz w:val="20"/>
    </w:rPr>
  </w:style>
  <w:style w:styleId="Style_66" w:type="paragraph">
    <w:name w:val="Îñíîâí"/>
    <w:basedOn w:val="Style_7"/>
    <w:link w:val="Style_66_ch"/>
    <w:pPr>
      <w:widowControl w:val="0"/>
      <w:spacing w:after="0" w:line="240" w:lineRule="auto"/>
      <w:ind/>
      <w:jc w:val="both"/>
    </w:pPr>
    <w:rPr>
      <w:rFonts w:ascii="Arial" w:hAnsi="Arial"/>
    </w:rPr>
  </w:style>
  <w:style w:styleId="Style_66_ch" w:type="character">
    <w:name w:val="Îñíîâí"/>
    <w:basedOn w:val="Style_7_ch"/>
    <w:link w:val="Style_66"/>
    <w:rPr>
      <w:rFonts w:ascii="Arial" w:hAnsi="Arial"/>
    </w:rPr>
  </w:style>
  <w:style w:styleId="Style_67" w:type="paragraph">
    <w:name w:val="Nonformat"/>
    <w:basedOn w:val="Style_7"/>
    <w:link w:val="Style_67_ch"/>
    <w:pPr>
      <w:spacing w:after="0" w:line="240" w:lineRule="auto"/>
      <w:ind/>
    </w:pPr>
    <w:rPr>
      <w:rFonts w:ascii="Consultant" w:hAnsi="Consultant"/>
      <w:sz w:val="14"/>
    </w:rPr>
  </w:style>
  <w:style w:styleId="Style_67_ch" w:type="character">
    <w:name w:val="Nonformat"/>
    <w:basedOn w:val="Style_7_ch"/>
    <w:link w:val="Style_67"/>
    <w:rPr>
      <w:rFonts w:ascii="Consultant" w:hAnsi="Consultant"/>
      <w:sz w:val="14"/>
    </w:rPr>
  </w:style>
  <w:style w:styleId="Style_68" w:type="paragraph">
    <w:name w:val="Основной текст (2) + Не полужирный"/>
    <w:link w:val="Style_68_ch"/>
    <w:rPr>
      <w:b w:val="1"/>
      <w:sz w:val="26"/>
      <w:highlight w:val="white"/>
    </w:rPr>
  </w:style>
  <w:style w:styleId="Style_68_ch" w:type="character">
    <w:name w:val="Основной текст (2) + Не полужирный"/>
    <w:link w:val="Style_68"/>
    <w:rPr>
      <w:b w:val="1"/>
      <w:sz w:val="26"/>
      <w:highlight w:val="white"/>
    </w:rPr>
  </w:style>
  <w:style w:styleId="Style_69" w:type="paragraph">
    <w:name w:val="heading 5"/>
    <w:basedOn w:val="Style_7"/>
    <w:next w:val="Style_7"/>
    <w:link w:val="Style_69_ch"/>
    <w:uiPriority w:val="9"/>
    <w:qFormat/>
    <w:pPr>
      <w:keepNext w:val="1"/>
      <w:keepLines w:val="1"/>
      <w:spacing w:after="0" w:before="200" w:line="276" w:lineRule="auto"/>
      <w:ind/>
      <w:outlineLvl w:val="4"/>
    </w:pPr>
    <w:rPr>
      <w:rFonts w:ascii="Cambria" w:hAnsi="Cambria"/>
      <w:color w:val="243F60"/>
    </w:rPr>
  </w:style>
  <w:style w:styleId="Style_69_ch" w:type="character">
    <w:name w:val="heading 5"/>
    <w:basedOn w:val="Style_7_ch"/>
    <w:link w:val="Style_69"/>
    <w:rPr>
      <w:rFonts w:ascii="Cambria" w:hAnsi="Cambria"/>
      <w:color w:val="243F60"/>
    </w:rPr>
  </w:style>
  <w:style w:styleId="Style_70" w:type="paragraph">
    <w:name w:val="Normal (Web)"/>
    <w:basedOn w:val="Style_7"/>
    <w:link w:val="Style_70_ch"/>
    <w:rPr>
      <w:rFonts w:ascii="Times New Roman" w:hAnsi="Times New Roman"/>
      <w:sz w:val="24"/>
    </w:rPr>
  </w:style>
  <w:style w:styleId="Style_70_ch" w:type="character">
    <w:name w:val="Normal (Web)"/>
    <w:basedOn w:val="Style_7_ch"/>
    <w:link w:val="Style_70"/>
    <w:rPr>
      <w:rFonts w:ascii="Times New Roman" w:hAnsi="Times New Roman"/>
      <w:sz w:val="24"/>
    </w:rPr>
  </w:style>
  <w:style w:styleId="Style_71" w:type="paragraph">
    <w:name w:val="ConsPlusNonformat"/>
    <w:link w:val="Style_71_ch"/>
    <w:pPr>
      <w:widowControl w:val="0"/>
      <w:spacing w:after="0" w:line="240" w:lineRule="auto"/>
      <w:ind/>
    </w:pPr>
    <w:rPr>
      <w:rFonts w:ascii="Courier New" w:hAnsi="Courier New"/>
      <w:sz w:val="20"/>
    </w:rPr>
  </w:style>
  <w:style w:styleId="Style_71_ch" w:type="character">
    <w:name w:val="ConsPlusNonformat"/>
    <w:link w:val="Style_71"/>
    <w:rPr>
      <w:rFonts w:ascii="Courier New" w:hAnsi="Courier New"/>
      <w:sz w:val="20"/>
    </w:rPr>
  </w:style>
  <w:style w:styleId="Style_72" w:type="paragraph">
    <w:name w:val="formattext"/>
    <w:link w:val="Style_72_ch"/>
    <w:pPr>
      <w:widowControl w:val="0"/>
      <w:spacing w:after="0" w:line="240" w:lineRule="auto"/>
      <w:ind/>
    </w:pPr>
    <w:rPr>
      <w:rFonts w:ascii="Times New Roman" w:hAnsi="Times New Roman"/>
      <w:sz w:val="18"/>
    </w:rPr>
  </w:style>
  <w:style w:styleId="Style_72_ch" w:type="character">
    <w:name w:val="formattext"/>
    <w:link w:val="Style_72"/>
    <w:rPr>
      <w:rFonts w:ascii="Times New Roman" w:hAnsi="Times New Roman"/>
      <w:sz w:val="18"/>
    </w:rPr>
  </w:style>
  <w:style w:styleId="Style_73" w:type="paragraph">
    <w:name w:val="Body Text 2"/>
    <w:basedOn w:val="Style_7"/>
    <w:link w:val="Style_73_ch"/>
    <w:pPr>
      <w:spacing w:after="0" w:before="60" w:line="240" w:lineRule="auto"/>
      <w:ind/>
      <w:jc w:val="both"/>
    </w:pPr>
    <w:rPr>
      <w:rFonts w:ascii="Times New Roman" w:hAnsi="Times New Roman"/>
      <w:sz w:val="24"/>
    </w:rPr>
  </w:style>
  <w:style w:styleId="Style_73_ch" w:type="character">
    <w:name w:val="Body Text 2"/>
    <w:basedOn w:val="Style_7_ch"/>
    <w:link w:val="Style_73"/>
    <w:rPr>
      <w:rFonts w:ascii="Times New Roman" w:hAnsi="Times New Roman"/>
      <w:sz w:val="24"/>
    </w:rPr>
  </w:style>
  <w:style w:styleId="Style_74" w:type="paragraph">
    <w:name w:val="heading 1"/>
    <w:basedOn w:val="Style_7"/>
    <w:next w:val="Style_7"/>
    <w:link w:val="Style_74_ch"/>
    <w:uiPriority w:val="9"/>
    <w:qFormat/>
    <w:pPr>
      <w:widowControl w:val="0"/>
      <w:tabs>
        <w:tab w:leader="none" w:pos="567" w:val="left"/>
      </w:tabs>
      <w:spacing w:after="120" w:before="120" w:line="240" w:lineRule="auto"/>
      <w:ind w:hanging="567" w:left="567"/>
      <w:jc w:val="both"/>
      <w:outlineLvl w:val="0"/>
    </w:pPr>
    <w:rPr>
      <w:rFonts w:ascii="Times New Roman" w:hAnsi="Times New Roman"/>
      <w:b w:val="1"/>
      <w:sz w:val="24"/>
    </w:rPr>
  </w:style>
  <w:style w:styleId="Style_74_ch" w:type="character">
    <w:name w:val="heading 1"/>
    <w:basedOn w:val="Style_7_ch"/>
    <w:link w:val="Style_74"/>
    <w:rPr>
      <w:rFonts w:ascii="Times New Roman" w:hAnsi="Times New Roman"/>
      <w:b w:val="1"/>
      <w:sz w:val="24"/>
    </w:rPr>
  </w:style>
  <w:style w:styleId="Style_75" w:type="paragraph">
    <w:name w:val="PEA"/>
    <w:link w:val="Style_75_ch"/>
    <w:pPr>
      <w:widowControl w:val="0"/>
      <w:spacing w:after="0" w:line="240" w:lineRule="auto"/>
      <w:ind w:firstLine="720" w:left="0"/>
    </w:pPr>
    <w:rPr>
      <w:rFonts w:ascii="Arial" w:hAnsi="Arial"/>
      <w:sz w:val="20"/>
    </w:rPr>
  </w:style>
  <w:style w:styleId="Style_75_ch" w:type="character">
    <w:name w:val="PEA"/>
    <w:link w:val="Style_75"/>
    <w:rPr>
      <w:rFonts w:ascii="Arial" w:hAnsi="Arial"/>
      <w:sz w:val="20"/>
    </w:rPr>
  </w:style>
  <w:style w:styleId="Style_76" w:type="paragraph">
    <w:name w:val="Основной текст2"/>
    <w:basedOn w:val="Style_7"/>
    <w:link w:val="Style_76_ch"/>
    <w:pPr>
      <w:widowControl w:val="0"/>
      <w:spacing w:after="0" w:line="230" w:lineRule="exact"/>
      <w:ind/>
    </w:pPr>
    <w:rPr>
      <w:rFonts w:ascii="Bookman Old Style" w:hAnsi="Bookman Old Style"/>
      <w:color w:val="000000"/>
      <w:sz w:val="19"/>
    </w:rPr>
  </w:style>
  <w:style w:styleId="Style_76_ch" w:type="character">
    <w:name w:val="Основной текст2"/>
    <w:basedOn w:val="Style_7_ch"/>
    <w:link w:val="Style_76"/>
    <w:rPr>
      <w:rFonts w:ascii="Bookman Old Style" w:hAnsi="Bookman Old Style"/>
      <w:color w:val="000000"/>
      <w:sz w:val="19"/>
    </w:rPr>
  </w:style>
  <w:style w:styleId="Style_77" w:type="paragraph">
    <w:name w:val="Внимание: Криминал!!"/>
    <w:basedOn w:val="Style_7"/>
    <w:next w:val="Style_7"/>
    <w:link w:val="Style_77_ch"/>
    <w:pPr>
      <w:widowControl w:val="0"/>
      <w:spacing w:after="0" w:line="240" w:lineRule="auto"/>
      <w:ind/>
      <w:jc w:val="both"/>
    </w:pPr>
    <w:rPr>
      <w:rFonts w:ascii="Arial" w:hAnsi="Arial"/>
      <w:sz w:val="24"/>
    </w:rPr>
  </w:style>
  <w:style w:styleId="Style_77_ch" w:type="character">
    <w:name w:val="Внимание: Криминал!!"/>
    <w:basedOn w:val="Style_7_ch"/>
    <w:link w:val="Style_77"/>
    <w:rPr>
      <w:rFonts w:ascii="Arial" w:hAnsi="Arial"/>
      <w:sz w:val="24"/>
    </w:rPr>
  </w:style>
  <w:style w:styleId="Style_78" w:type="paragraph">
    <w:name w:val="Текст Знак1"/>
    <w:basedOn w:val="Style_22"/>
    <w:link w:val="Style_78_ch"/>
    <w:rPr>
      <w:rFonts w:ascii="Consolas" w:hAnsi="Consolas"/>
      <w:sz w:val="21"/>
    </w:rPr>
  </w:style>
  <w:style w:styleId="Style_78_ch" w:type="character">
    <w:name w:val="Текст Знак1"/>
    <w:basedOn w:val="Style_22_ch"/>
    <w:link w:val="Style_78"/>
    <w:rPr>
      <w:rFonts w:ascii="Consolas" w:hAnsi="Consolas"/>
      <w:sz w:val="21"/>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79" w:type="paragraph">
    <w:name w:val="Footnote"/>
    <w:basedOn w:val="Style_7"/>
    <w:link w:val="Style_79_ch"/>
    <w:pPr>
      <w:spacing w:after="0" w:line="240" w:lineRule="auto"/>
      <w:ind/>
    </w:pPr>
    <w:rPr>
      <w:rFonts w:ascii="Times New Roman" w:hAnsi="Times New Roman"/>
      <w:sz w:val="20"/>
    </w:rPr>
  </w:style>
  <w:style w:styleId="Style_79_ch" w:type="character">
    <w:name w:val="Footnote"/>
    <w:basedOn w:val="Style_7_ch"/>
    <w:link w:val="Style_79"/>
    <w:rPr>
      <w:rFonts w:ascii="Times New Roman" w:hAnsi="Times New Roman"/>
      <w:sz w:val="20"/>
    </w:rPr>
  </w:style>
  <w:style w:styleId="Style_80" w:type="paragraph">
    <w:name w:val="heading 8"/>
    <w:basedOn w:val="Style_7"/>
    <w:next w:val="Style_7"/>
    <w:link w:val="Style_80_ch"/>
    <w:uiPriority w:val="9"/>
    <w:qFormat/>
    <w:pPr>
      <w:spacing w:after="60" w:before="240" w:line="240" w:lineRule="auto"/>
      <w:ind/>
      <w:outlineLvl w:val="7"/>
    </w:pPr>
    <w:rPr>
      <w:rFonts w:ascii="Times New Roman" w:hAnsi="Times New Roman"/>
      <w:i w:val="1"/>
      <w:sz w:val="24"/>
    </w:rPr>
  </w:style>
  <w:style w:styleId="Style_80_ch" w:type="character">
    <w:name w:val="heading 8"/>
    <w:basedOn w:val="Style_7_ch"/>
    <w:link w:val="Style_80"/>
    <w:rPr>
      <w:rFonts w:ascii="Times New Roman" w:hAnsi="Times New Roman"/>
      <w:i w:val="1"/>
      <w:sz w:val="24"/>
    </w:rPr>
  </w:style>
  <w:style w:styleId="Style_81" w:type="paragraph">
    <w:name w:val="toc 1"/>
    <w:next w:val="Style_7"/>
    <w:link w:val="Style_81_ch"/>
    <w:uiPriority w:val="39"/>
    <w:pPr>
      <w:ind w:firstLine="0" w:left="0"/>
      <w:jc w:val="left"/>
    </w:pPr>
    <w:rPr>
      <w:rFonts w:ascii="XO Thames" w:hAnsi="XO Thames"/>
      <w:b w:val="1"/>
      <w:sz w:val="28"/>
    </w:rPr>
  </w:style>
  <w:style w:styleId="Style_81_ch" w:type="character">
    <w:name w:val="toc 1"/>
    <w:link w:val="Style_81"/>
    <w:rPr>
      <w:rFonts w:ascii="XO Thames" w:hAnsi="XO Thames"/>
      <w:b w:val="1"/>
      <w:sz w:val="28"/>
    </w:rPr>
  </w:style>
  <w:style w:styleId="Style_82" w:type="paragraph">
    <w:name w:val="Выделение1"/>
    <w:link w:val="Style_82_ch"/>
    <w:rPr>
      <w:i w:val="1"/>
      <w:sz w:val="24"/>
    </w:rPr>
  </w:style>
  <w:style w:styleId="Style_82_ch" w:type="character">
    <w:name w:val="Выделение1"/>
    <w:link w:val="Style_82"/>
    <w:rPr>
      <w:i w:val="1"/>
      <w:sz w:val="24"/>
    </w:rPr>
  </w:style>
  <w:style w:styleId="Style_83" w:type="paragraph">
    <w:name w:val="s_1"/>
    <w:basedOn w:val="Style_7"/>
    <w:link w:val="Style_83_ch"/>
    <w:pPr>
      <w:spacing w:afterAutospacing="on" w:beforeAutospacing="on" w:line="240" w:lineRule="auto"/>
      <w:ind/>
    </w:pPr>
    <w:rPr>
      <w:rFonts w:ascii="Times New Roman" w:hAnsi="Times New Roman"/>
      <w:sz w:val="24"/>
    </w:rPr>
  </w:style>
  <w:style w:styleId="Style_83_ch" w:type="character">
    <w:name w:val="s_1"/>
    <w:basedOn w:val="Style_7_ch"/>
    <w:link w:val="Style_83"/>
    <w:rPr>
      <w:rFonts w:ascii="Times New Roman" w:hAnsi="Times New Roman"/>
      <w:sz w:val="24"/>
    </w:rPr>
  </w:style>
  <w:style w:styleId="Style_84" w:type="paragraph">
    <w:name w:val="Header and Footer"/>
    <w:link w:val="Style_84_ch"/>
    <w:pPr>
      <w:spacing w:line="240" w:lineRule="auto"/>
      <w:ind/>
      <w:jc w:val="both"/>
    </w:pPr>
    <w:rPr>
      <w:rFonts w:ascii="XO Thames" w:hAnsi="XO Thames"/>
      <w:sz w:val="28"/>
    </w:rPr>
  </w:style>
  <w:style w:styleId="Style_84_ch" w:type="character">
    <w:name w:val="Header and Footer"/>
    <w:link w:val="Style_84"/>
    <w:rPr>
      <w:rFonts w:ascii="XO Thames" w:hAnsi="XO Thames"/>
      <w:sz w:val="28"/>
    </w:rPr>
  </w:style>
  <w:style w:styleId="Style_85" w:type="paragraph">
    <w:name w:val="Основной текст + Arial Unicode MS;9 pt"/>
    <w:link w:val="Style_85_ch"/>
    <w:rPr>
      <w:rFonts w:ascii="Arial Unicode MS" w:hAnsi="Arial Unicode MS"/>
      <w:b w:val="0"/>
      <w:i w:val="0"/>
      <w:smallCaps w:val="0"/>
      <w:strike w:val="0"/>
      <w:color w:val="000000"/>
      <w:spacing w:val="0"/>
      <w:sz w:val="18"/>
      <w:u w:val="none"/>
    </w:rPr>
  </w:style>
  <w:style w:styleId="Style_85_ch" w:type="character">
    <w:name w:val="Основной текст + Arial Unicode MS;9 pt"/>
    <w:link w:val="Style_85"/>
    <w:rPr>
      <w:rFonts w:ascii="Arial Unicode MS" w:hAnsi="Arial Unicode MS"/>
      <w:b w:val="0"/>
      <w:i w:val="0"/>
      <w:smallCaps w:val="0"/>
      <w:strike w:val="0"/>
      <w:color w:val="000000"/>
      <w:spacing w:val="0"/>
      <w:sz w:val="18"/>
      <w:u w:val="none"/>
    </w:rPr>
  </w:style>
  <w:style w:styleId="Style_86" w:type="paragraph">
    <w:name w:val="Основной текст (2)"/>
    <w:basedOn w:val="Style_7"/>
    <w:link w:val="Style_86_ch"/>
    <w:pPr>
      <w:widowControl w:val="0"/>
      <w:spacing w:after="0" w:before="660" w:line="298" w:lineRule="exact"/>
      <w:ind/>
      <w:jc w:val="both"/>
    </w:pPr>
    <w:rPr>
      <w:b w:val="1"/>
      <w:sz w:val="25"/>
    </w:rPr>
  </w:style>
  <w:style w:styleId="Style_86_ch" w:type="character">
    <w:name w:val="Основной текст (2)"/>
    <w:basedOn w:val="Style_7_ch"/>
    <w:link w:val="Style_86"/>
    <w:rPr>
      <w:b w:val="1"/>
      <w:sz w:val="25"/>
    </w:rPr>
  </w:style>
  <w:style w:styleId="Style_87" w:type="paragraph">
    <w:name w:val="1 Знак"/>
    <w:basedOn w:val="Style_7"/>
    <w:link w:val="Style_87_ch"/>
    <w:pPr>
      <w:spacing w:afterAutospacing="on" w:beforeAutospacing="on" w:line="240" w:lineRule="auto"/>
      <w:ind/>
    </w:pPr>
    <w:rPr>
      <w:rFonts w:ascii="Tahoma" w:hAnsi="Tahoma"/>
      <w:sz w:val="20"/>
    </w:rPr>
  </w:style>
  <w:style w:styleId="Style_87_ch" w:type="character">
    <w:name w:val="1 Знак"/>
    <w:basedOn w:val="Style_7_ch"/>
    <w:link w:val="Style_87"/>
    <w:rPr>
      <w:rFonts w:ascii="Tahoma" w:hAnsi="Tahoma"/>
      <w:sz w:val="20"/>
    </w:rPr>
  </w:style>
  <w:style w:styleId="Style_1" w:type="paragraph">
    <w:name w:val="footer"/>
    <w:basedOn w:val="Style_7"/>
    <w:link w:val="Style_1_ch"/>
    <w:pPr>
      <w:tabs>
        <w:tab w:leader="none" w:pos="4677" w:val="center"/>
        <w:tab w:leader="none" w:pos="9355" w:val="right"/>
      </w:tabs>
      <w:spacing w:after="0" w:line="240" w:lineRule="auto"/>
      <w:ind/>
    </w:pPr>
    <w:rPr>
      <w:rFonts w:ascii="Calibri" w:hAnsi="Calibri"/>
    </w:rPr>
  </w:style>
  <w:style w:styleId="Style_1_ch" w:type="character">
    <w:name w:val="footer"/>
    <w:basedOn w:val="Style_7_ch"/>
    <w:link w:val="Style_1"/>
    <w:rPr>
      <w:rFonts w:ascii="Calibri" w:hAnsi="Calibri"/>
    </w:rPr>
  </w:style>
  <w:style w:styleId="Style_88" w:type="paragraph">
    <w:name w:val="Font Style15"/>
    <w:link w:val="Style_88_ch"/>
    <w:rPr>
      <w:rFonts w:ascii="Times New Roman" w:hAnsi="Times New Roman"/>
      <w:sz w:val="22"/>
    </w:rPr>
  </w:style>
  <w:style w:styleId="Style_88_ch" w:type="character">
    <w:name w:val="Font Style15"/>
    <w:link w:val="Style_88"/>
    <w:rPr>
      <w:rFonts w:ascii="Times New Roman" w:hAnsi="Times New Roman"/>
      <w:sz w:val="22"/>
    </w:rPr>
  </w:style>
  <w:style w:styleId="Style_89" w:type="paragraph">
    <w:name w:val="Balloon Text"/>
    <w:basedOn w:val="Style_7"/>
    <w:link w:val="Style_89_ch"/>
    <w:pPr>
      <w:spacing w:after="0" w:line="240" w:lineRule="auto"/>
      <w:ind/>
    </w:pPr>
    <w:rPr>
      <w:rFonts w:ascii="Tahoma" w:hAnsi="Tahoma"/>
      <w:sz w:val="16"/>
    </w:rPr>
  </w:style>
  <w:style w:styleId="Style_89_ch" w:type="character">
    <w:name w:val="Balloon Text"/>
    <w:basedOn w:val="Style_7_ch"/>
    <w:link w:val="Style_89"/>
    <w:rPr>
      <w:rFonts w:ascii="Tahoma" w:hAnsi="Tahoma"/>
      <w:sz w:val="16"/>
    </w:rPr>
  </w:style>
  <w:style w:styleId="Style_90" w:type="paragraph">
    <w:name w:val="toc 9"/>
    <w:next w:val="Style_7"/>
    <w:link w:val="Style_90_ch"/>
    <w:uiPriority w:val="39"/>
    <w:pPr>
      <w:ind w:firstLine="0" w:left="1600"/>
      <w:jc w:val="left"/>
    </w:pPr>
    <w:rPr>
      <w:rFonts w:ascii="XO Thames" w:hAnsi="XO Thames"/>
      <w:sz w:val="28"/>
    </w:rPr>
  </w:style>
  <w:style w:styleId="Style_90_ch" w:type="character">
    <w:name w:val="toc 9"/>
    <w:link w:val="Style_90"/>
    <w:rPr>
      <w:rFonts w:ascii="XO Thames" w:hAnsi="XO Thames"/>
      <w:sz w:val="28"/>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91" w:type="paragraph">
    <w:name w:val="header"/>
    <w:basedOn w:val="Style_7"/>
    <w:link w:val="Style_91_ch"/>
    <w:pPr>
      <w:tabs>
        <w:tab w:leader="none" w:pos="4677" w:val="center"/>
        <w:tab w:leader="none" w:pos="9355" w:val="right"/>
      </w:tabs>
      <w:spacing w:after="0" w:line="240" w:lineRule="auto"/>
      <w:ind/>
    </w:pPr>
    <w:rPr>
      <w:rFonts w:ascii="Calibri" w:hAnsi="Calibri"/>
    </w:rPr>
  </w:style>
  <w:style w:styleId="Style_91_ch" w:type="character">
    <w:name w:val="header"/>
    <w:basedOn w:val="Style_7_ch"/>
    <w:link w:val="Style_91"/>
    <w:rPr>
      <w:rFonts w:ascii="Calibri" w:hAnsi="Calibri"/>
    </w:rPr>
  </w:style>
  <w:style w:styleId="Style_92" w:type="paragraph">
    <w:name w:val="f"/>
    <w:link w:val="Style_92_ch"/>
  </w:style>
  <w:style w:styleId="Style_92_ch" w:type="character">
    <w:name w:val="f"/>
    <w:link w:val="Style_92"/>
  </w:style>
  <w:style w:styleId="Style_93" w:type="paragraph">
    <w:name w:val="apple-converted-space"/>
    <w:basedOn w:val="Style_22"/>
    <w:link w:val="Style_93_ch"/>
  </w:style>
  <w:style w:styleId="Style_93_ch" w:type="character">
    <w:name w:val="apple-converted-space"/>
    <w:basedOn w:val="Style_22_ch"/>
    <w:link w:val="Style_93"/>
  </w:style>
  <w:style w:styleId="Style_94" w:type="paragraph">
    <w:name w:val="toc 8"/>
    <w:next w:val="Style_7"/>
    <w:link w:val="Style_94_ch"/>
    <w:uiPriority w:val="39"/>
    <w:pPr>
      <w:ind w:firstLine="0" w:left="1400"/>
      <w:jc w:val="left"/>
    </w:pPr>
    <w:rPr>
      <w:rFonts w:ascii="XO Thames" w:hAnsi="XO Thames"/>
      <w:sz w:val="28"/>
    </w:rPr>
  </w:style>
  <w:style w:styleId="Style_94_ch" w:type="character">
    <w:name w:val="toc 8"/>
    <w:link w:val="Style_94"/>
    <w:rPr>
      <w:rFonts w:ascii="XO Thames" w:hAnsi="XO Thames"/>
      <w:sz w:val="28"/>
    </w:rPr>
  </w:style>
  <w:style w:styleId="Style_95" w:type="paragraph">
    <w:name w:val="Основной текст + 9"/>
    <w:link w:val="Style_95_ch"/>
    <w:rPr>
      <w:rFonts w:ascii="Times New Roman" w:hAnsi="Times New Roman"/>
      <w:b w:val="1"/>
      <w:i w:val="0"/>
      <w:smallCaps w:val="0"/>
      <w:strike w:val="0"/>
      <w:color w:val="000000"/>
      <w:spacing w:val="0"/>
      <w:sz w:val="19"/>
      <w:u w:val="none"/>
    </w:rPr>
  </w:style>
  <w:style w:styleId="Style_95_ch" w:type="character">
    <w:name w:val="Основной текст + 9"/>
    <w:link w:val="Style_95"/>
    <w:rPr>
      <w:rFonts w:ascii="Times New Roman" w:hAnsi="Times New Roman"/>
      <w:b w:val="1"/>
      <w:i w:val="0"/>
      <w:smallCaps w:val="0"/>
      <w:strike w:val="0"/>
      <w:color w:val="000000"/>
      <w:spacing w:val="0"/>
      <w:sz w:val="19"/>
      <w:u w:val="none"/>
    </w:rPr>
  </w:style>
  <w:style w:styleId="Style_96" w:type="paragraph">
    <w:name w:val="Основной текст30"/>
    <w:basedOn w:val="Style_7"/>
    <w:link w:val="Style_96_ch"/>
    <w:pPr>
      <w:spacing w:after="0" w:line="240" w:lineRule="atLeast"/>
      <w:ind w:hanging="380" w:left="380"/>
    </w:pPr>
    <w:rPr>
      <w:rFonts w:ascii="Times New Roman" w:hAnsi="Times New Roman"/>
      <w:i w:val="1"/>
      <w:color w:val="000000"/>
      <w:sz w:val="23"/>
    </w:rPr>
  </w:style>
  <w:style w:styleId="Style_96_ch" w:type="character">
    <w:name w:val="Основной текст30"/>
    <w:basedOn w:val="Style_7_ch"/>
    <w:link w:val="Style_96"/>
    <w:rPr>
      <w:rFonts w:ascii="Times New Roman" w:hAnsi="Times New Roman"/>
      <w:i w:val="1"/>
      <w:color w:val="000000"/>
      <w:sz w:val="23"/>
    </w:rPr>
  </w:style>
  <w:style w:styleId="Style_97" w:type="paragraph">
    <w:name w:val="j0eбычный"/>
    <w:link w:val="Style_97_ch"/>
    <w:pPr>
      <w:widowControl w:val="0"/>
      <w:spacing w:after="0" w:line="240" w:lineRule="auto"/>
      <w:ind/>
    </w:pPr>
    <w:rPr>
      <w:rFonts w:ascii="Times New Roman" w:hAnsi="Times New Roman"/>
      <w:sz w:val="20"/>
    </w:rPr>
  </w:style>
  <w:style w:styleId="Style_97_ch" w:type="character">
    <w:name w:val="j0eбычный"/>
    <w:link w:val="Style_97"/>
    <w:rPr>
      <w:rFonts w:ascii="Times New Roman" w:hAnsi="Times New Roman"/>
      <w:sz w:val="20"/>
    </w:rPr>
  </w:style>
  <w:style w:styleId="Style_98" w:type="paragraph">
    <w:name w:val="Strong"/>
    <w:link w:val="Style_98_ch"/>
    <w:rPr>
      <w:b w:val="1"/>
    </w:rPr>
  </w:style>
  <w:style w:styleId="Style_98_ch" w:type="character">
    <w:name w:val="Strong"/>
    <w:link w:val="Style_98"/>
    <w:rPr>
      <w:b w:val="1"/>
    </w:rPr>
  </w:style>
  <w:style w:styleId="Style_99" w:type="paragraph">
    <w:name w:val="Основной текст3"/>
    <w:basedOn w:val="Style_7"/>
    <w:link w:val="Style_99_ch"/>
    <w:pPr>
      <w:spacing w:after="0" w:line="0" w:lineRule="atLeast"/>
      <w:ind w:hanging="340" w:left="340"/>
    </w:pPr>
    <w:rPr>
      <w:rFonts w:ascii="Calibri" w:hAnsi="Calibri"/>
      <w:sz w:val="20"/>
      <w:highlight w:val="white"/>
    </w:rPr>
  </w:style>
  <w:style w:styleId="Style_99_ch" w:type="character">
    <w:name w:val="Основной текст3"/>
    <w:basedOn w:val="Style_7_ch"/>
    <w:link w:val="Style_99"/>
    <w:rPr>
      <w:rFonts w:ascii="Calibri" w:hAnsi="Calibri"/>
      <w:sz w:val="20"/>
      <w:highlight w:val="white"/>
    </w:rPr>
  </w:style>
  <w:style w:styleId="Style_100" w:type="paragraph">
    <w:name w:val="Emphasis"/>
    <w:link w:val="Style_100_ch"/>
    <w:rPr>
      <w:i w:val="1"/>
    </w:rPr>
  </w:style>
  <w:style w:styleId="Style_100_ch" w:type="character">
    <w:name w:val="Emphasis"/>
    <w:link w:val="Style_100"/>
    <w:rPr>
      <w:i w:val="1"/>
    </w:rPr>
  </w:style>
  <w:style w:styleId="Style_101" w:type="paragraph">
    <w:name w:val="annotation text"/>
    <w:basedOn w:val="Style_7"/>
    <w:link w:val="Style_101_ch"/>
    <w:pPr>
      <w:spacing w:after="0" w:line="240" w:lineRule="auto"/>
      <w:ind/>
    </w:pPr>
  </w:style>
  <w:style w:styleId="Style_101_ch" w:type="character">
    <w:name w:val="annotation text"/>
    <w:basedOn w:val="Style_7_ch"/>
    <w:link w:val="Style_101"/>
  </w:style>
  <w:style w:styleId="Style_102" w:type="paragraph">
    <w:name w:val="Текст примечания Знак1"/>
    <w:basedOn w:val="Style_22"/>
    <w:link w:val="Style_102_ch"/>
    <w:rPr>
      <w:sz w:val="20"/>
    </w:rPr>
  </w:style>
  <w:style w:styleId="Style_102_ch" w:type="character">
    <w:name w:val="Текст примечания Знак1"/>
    <w:basedOn w:val="Style_22_ch"/>
    <w:link w:val="Style_102"/>
    <w:rPr>
      <w:sz w:val="20"/>
    </w:rPr>
  </w:style>
  <w:style w:styleId="Style_103" w:type="paragraph">
    <w:name w:val="Unresolved Mention"/>
    <w:basedOn w:val="Style_22"/>
    <w:link w:val="Style_103_ch"/>
    <w:rPr>
      <w:color w:val="605E5C"/>
      <w:shd w:fill="E1DFDD" w:val="clear"/>
    </w:rPr>
  </w:style>
  <w:style w:styleId="Style_103_ch" w:type="character">
    <w:name w:val="Unresolved Mention"/>
    <w:basedOn w:val="Style_22_ch"/>
    <w:link w:val="Style_103"/>
    <w:rPr>
      <w:color w:val="605E5C"/>
      <w:shd w:fill="E1DFDD" w:val="clear"/>
    </w:rPr>
  </w:style>
  <w:style w:styleId="Style_104" w:type="paragraph">
    <w:name w:val="toc 5"/>
    <w:next w:val="Style_7"/>
    <w:link w:val="Style_104_ch"/>
    <w:uiPriority w:val="39"/>
    <w:pPr>
      <w:ind w:firstLine="0" w:left="800"/>
      <w:jc w:val="left"/>
    </w:pPr>
    <w:rPr>
      <w:rFonts w:ascii="XO Thames" w:hAnsi="XO Thames"/>
      <w:sz w:val="28"/>
    </w:rPr>
  </w:style>
  <w:style w:styleId="Style_104_ch" w:type="character">
    <w:name w:val="toc 5"/>
    <w:link w:val="Style_104"/>
    <w:rPr>
      <w:rFonts w:ascii="XO Thames" w:hAnsi="XO Thames"/>
      <w:sz w:val="28"/>
    </w:rPr>
  </w:style>
  <w:style w:styleId="Style_105" w:type="paragraph">
    <w:name w:val="02statia2"/>
    <w:basedOn w:val="Style_7"/>
    <w:link w:val="Style_105_ch"/>
    <w:pPr>
      <w:spacing w:after="0" w:before="120" w:line="320" w:lineRule="atLeast"/>
      <w:ind w:hanging="880" w:left="2020"/>
      <w:jc w:val="both"/>
    </w:pPr>
    <w:rPr>
      <w:rFonts w:ascii="GaramondNarrowC" w:hAnsi="GaramondNarrowC"/>
      <w:color w:val="000000"/>
      <w:sz w:val="21"/>
    </w:rPr>
  </w:style>
  <w:style w:styleId="Style_105_ch" w:type="character">
    <w:name w:val="02statia2"/>
    <w:basedOn w:val="Style_7_ch"/>
    <w:link w:val="Style_105"/>
    <w:rPr>
      <w:rFonts w:ascii="GaramondNarrowC" w:hAnsi="GaramondNarrowC"/>
      <w:color w:val="000000"/>
      <w:sz w:val="21"/>
    </w:rPr>
  </w:style>
  <w:style w:styleId="Style_106" w:type="paragraph">
    <w:name w:val="Основной текст1"/>
    <w:basedOn w:val="Style_7"/>
    <w:link w:val="Style_106_ch"/>
    <w:pPr>
      <w:widowControl w:val="0"/>
      <w:spacing w:after="0" w:line="298" w:lineRule="exact"/>
      <w:ind w:hanging="1320" w:left="1320"/>
      <w:jc w:val="right"/>
    </w:pPr>
    <w:rPr>
      <w:sz w:val="25"/>
    </w:rPr>
  </w:style>
  <w:style w:styleId="Style_106_ch" w:type="character">
    <w:name w:val="Основной текст1"/>
    <w:basedOn w:val="Style_7_ch"/>
    <w:link w:val="Style_106"/>
    <w:rPr>
      <w:sz w:val="25"/>
    </w:rPr>
  </w:style>
  <w:style w:styleId="Style_107" w:type="paragraph">
    <w:name w:val="ConsPlusNormal"/>
    <w:link w:val="Style_107_ch"/>
    <w:pPr>
      <w:spacing w:after="0" w:line="240" w:lineRule="auto"/>
      <w:ind w:firstLine="720" w:left="0"/>
    </w:pPr>
    <w:rPr>
      <w:rFonts w:ascii="Arial" w:hAnsi="Arial"/>
      <w:sz w:val="20"/>
    </w:rPr>
  </w:style>
  <w:style w:styleId="Style_107_ch" w:type="character">
    <w:name w:val="ConsPlusNormal"/>
    <w:link w:val="Style_107"/>
    <w:rPr>
      <w:rFonts w:ascii="Arial" w:hAnsi="Arial"/>
      <w:sz w:val="20"/>
    </w:rPr>
  </w:style>
  <w:style w:styleId="Style_108" w:type="paragraph">
    <w:name w:val="Абзац списка2"/>
    <w:basedOn w:val="Style_7"/>
    <w:link w:val="Style_108_ch"/>
    <w:pPr>
      <w:spacing w:after="0" w:line="240" w:lineRule="auto"/>
      <w:ind w:firstLine="0" w:left="708"/>
    </w:pPr>
    <w:rPr>
      <w:rFonts w:ascii="Times New Roman" w:hAnsi="Times New Roman"/>
      <w:sz w:val="24"/>
    </w:rPr>
  </w:style>
  <w:style w:styleId="Style_108_ch" w:type="character">
    <w:name w:val="Абзац списка2"/>
    <w:basedOn w:val="Style_7_ch"/>
    <w:link w:val="Style_108"/>
    <w:rPr>
      <w:rFonts w:ascii="Times New Roman" w:hAnsi="Times New Roman"/>
      <w:sz w:val="24"/>
    </w:rPr>
  </w:style>
  <w:style w:styleId="Style_109" w:type="paragraph">
    <w:name w:val="Основной текст 31"/>
    <w:basedOn w:val="Style_7"/>
    <w:link w:val="Style_109_ch"/>
    <w:pPr>
      <w:spacing w:after="120" w:line="240" w:lineRule="auto"/>
      <w:ind/>
    </w:pPr>
    <w:rPr>
      <w:rFonts w:ascii="Times New Roman" w:hAnsi="Times New Roman"/>
      <w:sz w:val="16"/>
    </w:rPr>
  </w:style>
  <w:style w:styleId="Style_109_ch" w:type="character">
    <w:name w:val="Основной текст 31"/>
    <w:basedOn w:val="Style_7_ch"/>
    <w:link w:val="Style_109"/>
    <w:rPr>
      <w:rFonts w:ascii="Times New Roman" w:hAnsi="Times New Roman"/>
      <w:sz w:val="16"/>
    </w:rPr>
  </w:style>
  <w:style w:styleId="Style_110" w:type="paragraph">
    <w:name w:val="Основной текст Знак1"/>
    <w:link w:val="Style_110_ch"/>
    <w:rPr>
      <w:rFonts w:ascii="Times New Roman" w:hAnsi="Times New Roman"/>
      <w:sz w:val="24"/>
    </w:rPr>
  </w:style>
  <w:style w:styleId="Style_110_ch" w:type="character">
    <w:name w:val="Основной текст Знак1"/>
    <w:link w:val="Style_110"/>
    <w:rPr>
      <w:rFonts w:ascii="Times New Roman" w:hAnsi="Times New Roman"/>
      <w:sz w:val="24"/>
    </w:rPr>
  </w:style>
  <w:style w:styleId="Style_111" w:type="paragraph">
    <w:name w:val="Основной текст с отступом 31"/>
    <w:basedOn w:val="Style_7"/>
    <w:link w:val="Style_111_ch"/>
    <w:pPr>
      <w:spacing w:after="0" w:line="240" w:lineRule="auto"/>
      <w:ind w:firstLine="567" w:left="0"/>
      <w:jc w:val="both"/>
    </w:pPr>
    <w:rPr>
      <w:rFonts w:ascii="Times New Roman" w:hAnsi="Times New Roman"/>
      <w:color w:val="000000"/>
    </w:rPr>
  </w:style>
  <w:style w:styleId="Style_111_ch" w:type="character">
    <w:name w:val="Основной текст с отступом 31"/>
    <w:basedOn w:val="Style_7_ch"/>
    <w:link w:val="Style_111"/>
    <w:rPr>
      <w:rFonts w:ascii="Times New Roman" w:hAnsi="Times New Roman"/>
      <w:color w:val="000000"/>
    </w:rPr>
  </w:style>
  <w:style w:styleId="Style_112" w:type="paragraph">
    <w:name w:val="Тема примечания1"/>
    <w:basedOn w:val="Style_101"/>
    <w:next w:val="Style_101"/>
    <w:link w:val="Style_112_ch"/>
    <w:rPr>
      <w:rFonts w:ascii="Arial" w:hAnsi="Arial"/>
      <w:b w:val="1"/>
    </w:rPr>
  </w:style>
  <w:style w:styleId="Style_112_ch" w:type="character">
    <w:name w:val="Тема примечания1"/>
    <w:basedOn w:val="Style_101_ch"/>
    <w:link w:val="Style_112"/>
    <w:rPr>
      <w:rFonts w:ascii="Arial" w:hAnsi="Arial"/>
      <w:b w:val="1"/>
    </w:rPr>
  </w:style>
  <w:style w:styleId="Style_113" w:type="paragraph">
    <w:name w:val="Основной текст27"/>
    <w:link w:val="Style_113_ch"/>
    <w:rPr>
      <w:rFonts w:ascii="Times New Roman" w:hAnsi="Times New Roman"/>
      <w:spacing w:val="0"/>
      <w:sz w:val="23"/>
      <w:highlight w:val="white"/>
    </w:rPr>
  </w:style>
  <w:style w:styleId="Style_113_ch" w:type="character">
    <w:name w:val="Основной текст27"/>
    <w:link w:val="Style_113"/>
    <w:rPr>
      <w:rFonts w:ascii="Times New Roman" w:hAnsi="Times New Roman"/>
      <w:spacing w:val="0"/>
      <w:sz w:val="23"/>
      <w:highlight w:val="white"/>
    </w:rPr>
  </w:style>
  <w:style w:styleId="Style_114" w:type="paragraph">
    <w:name w:val="annotation subject"/>
    <w:basedOn w:val="Style_101"/>
    <w:next w:val="Style_101"/>
    <w:link w:val="Style_114_ch"/>
    <w:rPr>
      <w:b w:val="1"/>
    </w:rPr>
  </w:style>
  <w:style w:styleId="Style_114_ch" w:type="character">
    <w:name w:val="annotation subject"/>
    <w:basedOn w:val="Style_101_ch"/>
    <w:link w:val="Style_114"/>
    <w:rPr>
      <w:b w:val="1"/>
    </w:rPr>
  </w:style>
  <w:style w:styleId="Style_115" w:type="paragraph">
    <w:name w:val="Знак1 Знак Знак Знак Знак Знак Знак"/>
    <w:basedOn w:val="Style_7"/>
    <w:link w:val="Style_115_ch"/>
    <w:pPr>
      <w:spacing w:line="240" w:lineRule="exact"/>
      <w:ind/>
    </w:pPr>
    <w:rPr>
      <w:rFonts w:ascii="Verdana" w:hAnsi="Verdana"/>
      <w:sz w:val="20"/>
    </w:rPr>
  </w:style>
  <w:style w:styleId="Style_115_ch" w:type="character">
    <w:name w:val="Знак1 Знак Знак Знак Знак Знак Знак"/>
    <w:basedOn w:val="Style_7_ch"/>
    <w:link w:val="Style_115"/>
    <w:rPr>
      <w:rFonts w:ascii="Verdana" w:hAnsi="Verdana"/>
      <w:sz w:val="20"/>
    </w:rPr>
  </w:style>
  <w:style w:styleId="Style_116" w:type="paragraph">
    <w:name w:val="Subtitle"/>
    <w:basedOn w:val="Style_7"/>
    <w:next w:val="Style_7"/>
    <w:link w:val="Style_116_ch"/>
    <w:uiPriority w:val="11"/>
    <w:qFormat/>
    <w:pPr>
      <w:widowControl w:val="0"/>
      <w:spacing w:after="60" w:line="240" w:lineRule="auto"/>
      <w:ind/>
      <w:jc w:val="center"/>
      <w:outlineLvl w:val="1"/>
    </w:pPr>
    <w:rPr>
      <w:rFonts w:ascii="Cambria" w:hAnsi="Cambria"/>
      <w:sz w:val="24"/>
    </w:rPr>
  </w:style>
  <w:style w:styleId="Style_116_ch" w:type="character">
    <w:name w:val="Subtitle"/>
    <w:basedOn w:val="Style_7_ch"/>
    <w:link w:val="Style_116"/>
    <w:rPr>
      <w:rFonts w:ascii="Cambria" w:hAnsi="Cambria"/>
      <w:sz w:val="24"/>
    </w:rPr>
  </w:style>
  <w:style w:styleId="Style_117" w:type="paragraph">
    <w:name w:val="Default"/>
    <w:link w:val="Style_117_ch"/>
    <w:pPr>
      <w:spacing w:after="0" w:line="240" w:lineRule="auto"/>
      <w:ind/>
    </w:pPr>
    <w:rPr>
      <w:rFonts w:ascii="Times New Roman" w:hAnsi="Times New Roman"/>
      <w:color w:val="000000"/>
      <w:sz w:val="24"/>
    </w:rPr>
  </w:style>
  <w:style w:styleId="Style_117_ch" w:type="character">
    <w:name w:val="Default"/>
    <w:link w:val="Style_117"/>
    <w:rPr>
      <w:rFonts w:ascii="Times New Roman" w:hAnsi="Times New Roman"/>
      <w:color w:val="000000"/>
      <w:sz w:val="24"/>
    </w:rPr>
  </w:style>
  <w:style w:styleId="Style_118" w:type="paragraph">
    <w:name w:val="Body Text Indent"/>
    <w:basedOn w:val="Style_7"/>
    <w:link w:val="Style_118_ch"/>
    <w:pPr>
      <w:widowControl w:val="0"/>
      <w:spacing w:after="0" w:line="240" w:lineRule="auto"/>
      <w:ind w:firstLine="485" w:left="0"/>
      <w:jc w:val="both"/>
    </w:pPr>
    <w:rPr>
      <w:rFonts w:ascii="Times New Roman" w:hAnsi="Times New Roman"/>
      <w:sz w:val="20"/>
    </w:rPr>
  </w:style>
  <w:style w:styleId="Style_118_ch" w:type="character">
    <w:name w:val="Body Text Indent"/>
    <w:basedOn w:val="Style_7_ch"/>
    <w:link w:val="Style_118"/>
    <w:rPr>
      <w:rFonts w:ascii="Times New Roman" w:hAnsi="Times New Roman"/>
      <w:sz w:val="20"/>
    </w:rPr>
  </w:style>
  <w:style w:styleId="Style_119" w:type="paragraph">
    <w:name w:val="Выделение2"/>
    <w:link w:val="Style_119_ch"/>
    <w:rPr>
      <w:i w:val="1"/>
      <w:sz w:val="24"/>
    </w:rPr>
  </w:style>
  <w:style w:styleId="Style_119_ch" w:type="character">
    <w:name w:val="Выделение2"/>
    <w:link w:val="Style_119"/>
    <w:rPr>
      <w:i w:val="1"/>
      <w:sz w:val="24"/>
    </w:rPr>
  </w:style>
  <w:style w:styleId="Style_120" w:type="paragraph">
    <w:name w:val="Plain Text"/>
    <w:basedOn w:val="Style_7"/>
    <w:link w:val="Style_120_ch"/>
    <w:pPr>
      <w:spacing w:after="0" w:line="240" w:lineRule="auto"/>
      <w:ind/>
      <w:jc w:val="both"/>
    </w:pPr>
    <w:rPr>
      <w:rFonts w:ascii="Courier New" w:hAnsi="Courier New"/>
    </w:rPr>
  </w:style>
  <w:style w:styleId="Style_120_ch" w:type="character">
    <w:name w:val="Plain Text"/>
    <w:basedOn w:val="Style_7_ch"/>
    <w:link w:val="Style_120"/>
    <w:rPr>
      <w:rFonts w:ascii="Courier New" w:hAnsi="Courier New"/>
    </w:rPr>
  </w:style>
  <w:style w:styleId="Style_121" w:type="paragraph">
    <w:name w:val="Title"/>
    <w:next w:val="Style_7"/>
    <w:link w:val="Style_121_ch"/>
    <w:uiPriority w:val="10"/>
    <w:qFormat/>
    <w:pPr>
      <w:spacing w:after="567" w:before="567"/>
      <w:ind/>
      <w:jc w:val="center"/>
    </w:pPr>
    <w:rPr>
      <w:rFonts w:ascii="XO Thames" w:hAnsi="XO Thames"/>
      <w:b w:val="1"/>
      <w:caps w:val="1"/>
      <w:sz w:val="40"/>
    </w:rPr>
  </w:style>
  <w:style w:styleId="Style_121_ch" w:type="character">
    <w:name w:val="Title"/>
    <w:link w:val="Style_121"/>
    <w:rPr>
      <w:rFonts w:ascii="XO Thames" w:hAnsi="XO Thames"/>
      <w:b w:val="1"/>
      <w:caps w:val="1"/>
      <w:sz w:val="40"/>
    </w:rPr>
  </w:style>
  <w:style w:styleId="Style_122" w:type="paragraph">
    <w:name w:val="heading 4"/>
    <w:basedOn w:val="Style_31"/>
    <w:next w:val="Style_7"/>
    <w:link w:val="Style_122_ch"/>
    <w:uiPriority w:val="9"/>
    <w:qFormat/>
    <w:pPr>
      <w:keepNext w:val="0"/>
      <w:widowControl w:val="0"/>
      <w:spacing w:after="0" w:before="0"/>
      <w:ind/>
      <w:jc w:val="both"/>
      <w:outlineLvl w:val="3"/>
    </w:pPr>
    <w:rPr>
      <w:b w:val="0"/>
      <w:sz w:val="24"/>
    </w:rPr>
  </w:style>
  <w:style w:styleId="Style_122_ch" w:type="character">
    <w:name w:val="heading 4"/>
    <w:basedOn w:val="Style_31_ch"/>
    <w:link w:val="Style_122"/>
    <w:rPr>
      <w:b w:val="0"/>
      <w:sz w:val="24"/>
    </w:rPr>
  </w:style>
  <w:style w:styleId="Style_123" w:type="paragraph">
    <w:name w:val="Неразрешенное упоминание1"/>
    <w:link w:val="Style_123_ch"/>
    <w:rPr>
      <w:color w:val="605E5C"/>
      <w:shd w:fill="E1DFDD" w:val="clear"/>
    </w:rPr>
  </w:style>
  <w:style w:styleId="Style_123_ch" w:type="character">
    <w:name w:val="Неразрешенное упоминание1"/>
    <w:link w:val="Style_123"/>
    <w:rPr>
      <w:color w:val="605E5C"/>
      <w:shd w:fill="E1DFDD" w:val="clear"/>
    </w:rPr>
  </w:style>
  <w:style w:styleId="Style_124" w:type="paragraph">
    <w:name w:val="Стиль3"/>
    <w:basedOn w:val="Style_38"/>
    <w:link w:val="Style_124_ch"/>
    <w:pPr>
      <w:widowControl w:val="0"/>
      <w:numPr>
        <w:ilvl w:val="2"/>
        <w:numId w:val="3"/>
      </w:numPr>
      <w:tabs>
        <w:tab w:leader="none" w:pos="360" w:val="left"/>
        <w:tab w:leader="none" w:pos="1307" w:val="clear"/>
      </w:tabs>
      <w:spacing w:after="0" w:line="240" w:lineRule="auto"/>
      <w:ind w:firstLine="0" w:left="742"/>
      <w:jc w:val="both"/>
    </w:pPr>
    <w:rPr>
      <w:rFonts w:asciiTheme="minorAscii" w:hAnsiTheme="minorHAnsi"/>
      <w:sz w:val="24"/>
    </w:rPr>
  </w:style>
  <w:style w:styleId="Style_124_ch" w:type="character">
    <w:name w:val="Стиль3"/>
    <w:basedOn w:val="Style_38_ch"/>
    <w:link w:val="Style_124"/>
    <w:rPr>
      <w:rFonts w:asciiTheme="minorAscii" w:hAnsiTheme="minorHAnsi"/>
      <w:sz w:val="24"/>
    </w:rPr>
  </w:style>
  <w:style w:styleId="Style_125" w:type="paragraph">
    <w:name w:val="Основной текст + 9;5 pt;Не полужирный"/>
    <w:link w:val="Style_125_ch"/>
    <w:rPr>
      <w:rFonts w:ascii="Times New Roman" w:hAnsi="Times New Roman"/>
      <w:b w:val="1"/>
      <w:i w:val="0"/>
      <w:smallCaps w:val="0"/>
      <w:strike w:val="0"/>
      <w:color w:val="000000"/>
      <w:spacing w:val="0"/>
      <w:sz w:val="19"/>
      <w:highlight w:val="white"/>
      <w:u w:val="none"/>
    </w:rPr>
  </w:style>
  <w:style w:styleId="Style_125_ch" w:type="character">
    <w:name w:val="Основной текст + 9;5 pt;Не полужирный"/>
    <w:link w:val="Style_125"/>
    <w:rPr>
      <w:rFonts w:ascii="Times New Roman" w:hAnsi="Times New Roman"/>
      <w:b w:val="1"/>
      <w:i w:val="0"/>
      <w:smallCaps w:val="0"/>
      <w:strike w:val="0"/>
      <w:color w:val="000000"/>
      <w:spacing w:val="0"/>
      <w:sz w:val="19"/>
      <w:highlight w:val="white"/>
      <w:u w:val="none"/>
    </w:rPr>
  </w:style>
  <w:style w:styleId="Style_126" w:type="paragraph">
    <w:name w:val="heading 2"/>
    <w:basedOn w:val="Style_7"/>
    <w:next w:val="Style_7"/>
    <w:link w:val="Style_126_ch"/>
    <w:uiPriority w:val="9"/>
    <w:qFormat/>
    <w:pPr>
      <w:keepNext w:val="1"/>
      <w:spacing w:after="0" w:line="240" w:lineRule="auto"/>
      <w:ind/>
      <w:jc w:val="both"/>
      <w:outlineLvl w:val="1"/>
    </w:pPr>
    <w:rPr>
      <w:rFonts w:ascii="Times New Roman" w:hAnsi="Times New Roman"/>
      <w:b w:val="1"/>
      <w:sz w:val="28"/>
    </w:rPr>
  </w:style>
  <w:style w:styleId="Style_126_ch" w:type="character">
    <w:name w:val="heading 2"/>
    <w:basedOn w:val="Style_7_ch"/>
    <w:link w:val="Style_126"/>
    <w:rPr>
      <w:rFonts w:ascii="Times New Roman" w:hAnsi="Times New Roman"/>
      <w:b w:val="1"/>
      <w:sz w:val="28"/>
    </w:rPr>
  </w:style>
  <w:style w:styleId="Style_127" w:type="paragraph">
    <w:name w:val="Без интервала1"/>
    <w:link w:val="Style_127_ch"/>
    <w:pPr>
      <w:spacing w:after="0" w:line="240" w:lineRule="auto"/>
      <w:ind/>
    </w:pPr>
    <w:rPr>
      <w:rFonts w:ascii="Calibri" w:hAnsi="Calibri"/>
    </w:rPr>
  </w:style>
  <w:style w:styleId="Style_127_ch" w:type="character">
    <w:name w:val="Без интервала1"/>
    <w:link w:val="Style_127"/>
    <w:rPr>
      <w:rFonts w:ascii="Calibri" w:hAnsi="Calibri"/>
    </w:rPr>
  </w:style>
  <w:style w:styleId="Style_128" w:type="paragraph">
    <w:name w:val="Цветовое выделение"/>
    <w:link w:val="Style_128_ch"/>
    <w:rPr>
      <w:b w:val="1"/>
      <w:color w:val="000080"/>
    </w:rPr>
  </w:style>
  <w:style w:styleId="Style_128_ch" w:type="character">
    <w:name w:val="Цветовое выделение"/>
    <w:link w:val="Style_128"/>
    <w:rPr>
      <w:b w:val="1"/>
      <w:color w:val="000080"/>
    </w:rPr>
  </w:style>
  <w:style w:styleId="Style_129" w:type="paragraph">
    <w:name w:val="heading 6"/>
    <w:basedOn w:val="Style_7"/>
    <w:next w:val="Style_7"/>
    <w:link w:val="Style_129_ch"/>
    <w:uiPriority w:val="9"/>
    <w:qFormat/>
    <w:pPr>
      <w:spacing w:after="60" w:before="240" w:line="240" w:lineRule="auto"/>
      <w:ind/>
      <w:outlineLvl w:val="5"/>
    </w:pPr>
    <w:rPr>
      <w:rFonts w:ascii="Times New Roman" w:hAnsi="Times New Roman"/>
      <w:b w:val="1"/>
    </w:rPr>
  </w:style>
  <w:style w:styleId="Style_129_ch" w:type="character">
    <w:name w:val="heading 6"/>
    <w:basedOn w:val="Style_7_ch"/>
    <w:link w:val="Style_129"/>
    <w:rPr>
      <w:rFonts w:ascii="Times New Roman" w:hAnsi="Times New Roman"/>
      <w:b w:val="1"/>
    </w:rPr>
  </w:style>
  <w:style w:styleId="Style_130" w:type="paragraph">
    <w:name w:val="No Spacing"/>
    <w:link w:val="Style_130_ch"/>
    <w:pPr>
      <w:spacing w:after="0" w:line="240" w:lineRule="auto"/>
      <w:ind/>
    </w:pPr>
    <w:rPr>
      <w:rFonts w:ascii="Calibri" w:hAnsi="Calibri"/>
    </w:rPr>
  </w:style>
  <w:style w:styleId="Style_130_ch" w:type="character">
    <w:name w:val="No Spacing"/>
    <w:link w:val="Style_130"/>
    <w:rPr>
      <w:rFonts w:ascii="Calibri" w:hAnsi="Calibri"/>
    </w:rPr>
  </w:style>
  <w:style w:styleId="Style_131" w:type="paragraph">
    <w:name w:val="Основной текст с отступом 21"/>
    <w:basedOn w:val="Style_7"/>
    <w:link w:val="Style_131_ch"/>
    <w:pPr>
      <w:widowControl w:val="0"/>
      <w:spacing w:after="0" w:line="240" w:lineRule="auto"/>
      <w:ind w:firstLine="567" w:left="0"/>
      <w:jc w:val="both"/>
    </w:pPr>
    <w:rPr>
      <w:rFonts w:ascii="Courier New" w:hAnsi="Courier New"/>
    </w:rPr>
  </w:style>
  <w:style w:styleId="Style_131_ch" w:type="character">
    <w:name w:val="Основной текст с отступом 21"/>
    <w:basedOn w:val="Style_7_ch"/>
    <w:link w:val="Style_131"/>
    <w:rPr>
      <w:rFonts w:ascii="Courier New" w:hAnsi="Courier New"/>
    </w:rPr>
  </w:style>
  <w:style w:styleId="Style_132" w:type="paragraph">
    <w:name w:val="Тема примечания Знак1"/>
    <w:basedOn w:val="Style_102"/>
    <w:link w:val="Style_132_ch"/>
    <w:rPr>
      <w:b w:val="1"/>
      <w:sz w:val="20"/>
    </w:rPr>
  </w:style>
  <w:style w:styleId="Style_132_ch" w:type="character">
    <w:name w:val="Тема примечания Знак1"/>
    <w:basedOn w:val="Style_102_ch"/>
    <w:link w:val="Style_132"/>
    <w:rPr>
      <w:b w:val="1"/>
      <w:sz w:val="20"/>
    </w:rPr>
  </w:style>
  <w:style w:styleId="Style_133" w:type="paragraph">
    <w:name w:val="Обычный (веб) Знак Знак"/>
    <w:basedOn w:val="Style_7"/>
    <w:next w:val="Style_70"/>
    <w:link w:val="Style_133_ch"/>
    <w:pPr>
      <w:spacing w:afterAutospacing="on" w:beforeAutospacing="on" w:line="240" w:lineRule="auto"/>
      <w:ind/>
    </w:pPr>
    <w:rPr>
      <w:rFonts w:ascii="Times New Roman" w:hAnsi="Times New Roman"/>
      <w:sz w:val="24"/>
    </w:rPr>
  </w:style>
  <w:style w:styleId="Style_133_ch" w:type="character">
    <w:name w:val="Обычный (веб) Знак Знак"/>
    <w:basedOn w:val="Style_7_ch"/>
    <w:link w:val="Style_133"/>
    <w:rPr>
      <w:rFonts w:ascii="Times New Roman" w:hAnsi="Times New Roman"/>
      <w:sz w:val="24"/>
    </w:rPr>
  </w:style>
  <w:style w:styleId="Style_134" w:type="table">
    <w:name w:val="Сетка таблицы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 w:type="table">
    <w:name w:val="Простая таблица 12"/>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 w:type="table">
    <w:name w:val="Сетка таблицы11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 w:type="table">
    <w:name w:val="Сетка таблицы3"/>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 w:type="table">
    <w:name w:val="Сетка таблицы1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 w:type="table">
    <w:name w:val="Сетка таблицы2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0" w:type="table">
    <w:name w:val="Простая таблица 11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 w:type="table">
    <w:name w:val="Сетка таблицы5"/>
    <w:basedOn w:val="Style_5"/>
    <w:pPr>
      <w:spacing w:after="0" w:line="240" w:lineRule="auto"/>
      <w:ind/>
    </w:pPr>
    <w:rPr>
      <w:rFonts w:ascii="Calibri" w:hAnsi="Calibri"/>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2" w:type="table">
    <w:name w:val="Сетка таблицы21"/>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 w:styleId="Style_143" w:type="table">
    <w:name w:val="Сетка таблицы4"/>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 w:type="table">
    <w:name w:val="Сетка таблицы11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 w:type="table">
    <w:name w:val="Table Grid"/>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5" w:type="table">
    <w:name w:val="Сетка таблицы2"/>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 w:type="table">
    <w:name w:val="Сетка таблицы13"/>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 w:type="table">
    <w:name w:val="Простая таблица 1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 w:type="table">
    <w:name w:val="Table Simple 1"/>
    <w:basedOn w:val="Style_5"/>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 w:type="table">
    <w:name w:val="Сетка таблицы12"/>
    <w:basedOn w:val="Style_5"/>
    <w:pPr>
      <w:spacing w:after="0" w:line="240" w:lineRule="auto"/>
      <w:ind/>
    </w:pPr>
    <w:rPr>
      <w:rFonts w:ascii="Calibri" w:hAnsi="Calibri"/>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2026-06-17T08:11:47Z</dcterms:modified>
</cp:coreProperties>
</file>