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87CFE3" w14:textId="77777777"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3AB0684C" w14:textId="65FF41AF"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оказание​﻿‌﻿‍​​⁠⁠‌‌‌⁠⁠​​﻿‍﻿﻿⁠‍​‍‌‍﻿​‌​‍‍‍‌⁠​​‍﻿​⁠‌‌​ услуг по охране объект</w:t>
      </w:r>
      <w:r>
        <w:rPr>
          <w:b/>
          <w:sz w:val="22"/>
          <w:szCs w:val="22"/>
        </w:rPr>
        <w:t xml:space="preserve">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1C9DF7E4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33B95DB" w14:textId="16A371AE">
      <w:pPr>
        <w:pStyle w:val="896"/>
        <w:numPr>
          <w:ilvl w:val="0"/>
          <w:numId w:val="2"/>
        </w:num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Описание оказываемых услуг: 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0769AC4" w14:textId="77777777">
      <w:pPr>
        <w:pStyle w:val="896"/>
        <w:pBdr/>
        <w:spacing/>
        <w:ind w:left="585"/>
        <w:rPr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ОКПД 2: </w:t>
      </w:r>
      <w:r>
        <w:rPr>
          <w:bCs/>
          <w:i/>
          <w:iCs/>
          <w:sz w:val="22"/>
          <w:szCs w:val="22"/>
        </w:rPr>
        <w:t xml:space="preserve">80.10.12.200 Услуги частных охранных организаций</w:t>
      </w:r>
      <w:r>
        <w:rPr>
          <w:bCs/>
          <w:i/>
          <w:iCs/>
          <w:sz w:val="22"/>
          <w:szCs w:val="22"/>
        </w:rPr>
      </w:r>
      <w:r>
        <w:rPr>
          <w:bCs/>
          <w:i/>
          <w:iCs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39"/>
        <w:gridCol w:w="1776"/>
        <w:gridCol w:w="1791"/>
        <w:gridCol w:w="1404"/>
        <w:gridCol w:w="1405"/>
        <w:gridCol w:w="1738"/>
        <w:gridCol w:w="144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  <w:vAlign w:val="center"/>
          </w:tcPr>
          <w:p w14:paraId="511C196F" w14:textId="77777777"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6" w:type="dxa"/>
            <w:vAlign w:val="center"/>
          </w:tcPr>
          <w:p w14:paraId="3E08950F" w14:textId="77777777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охраняемого объекта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1" w:type="dxa"/>
          </w:tcPr>
          <w:p w14:paraId="6A4B4334" w14:textId="77777777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места нахождения охраняемого объекта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</w:tcPr>
          <w:p w14:paraId="645E0B2A" w14:textId="77777777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постов охраны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</w:tcPr>
          <w:p w14:paraId="0C48E3EC" w14:textId="1D8F2891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охранников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8" w:type="dxa"/>
          </w:tcPr>
          <w:p w14:paraId="06DF2BF8" w14:textId="267C5EAD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Режим работы постов охраны на каждом объекте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</w:tcPr>
          <w:p w14:paraId="40296277" w14:textId="59103835"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Количество, человеко-час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</w:tcPr>
          <w:p w14:paraId="1F36C806" w14:textId="77777777"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6" w:type="dxa"/>
          </w:tcPr>
          <w:p w14:paraId="13A45D62" w14:textId="3F4DC8B9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113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1" w:type="dxa"/>
          </w:tcPr>
          <w:p w14:paraId="239F2BDB" w14:textId="7FEF410A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Екатеринбург, ул. Бакинских комиссаров, д. 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</w:tcPr>
          <w:p w14:paraId="2C622D54" w14:textId="77777777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</w:tcPr>
          <w:p w14:paraId="72F5EDDA" w14:textId="18141194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38" w:type="dxa"/>
          </w:tcPr>
          <w:p w14:paraId="4D71AEE8" w14:textId="7E01E28A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ежедневно, круглосуточно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 понедельника по воскресенье: с 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8.00 до 08.00 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47" w:type="dxa"/>
          </w:tcPr>
          <w:p w14:paraId="10FE1295" w14:textId="73FD619A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4416</w:t>
            </w:r>
            <w:r>
              <w:rPr>
                <w:sz w:val="22"/>
                <w:szCs w:val="22"/>
              </w:rPr>
            </w:r>
          </w:p>
        </w:tc>
      </w:tr>
    </w:tbl>
    <w:p w14:paraId="068C56E2" w14:textId="77777777">
      <w:pPr>
        <w:widowControl w:val="false"/>
        <w:pBdr/>
        <w:spacing/>
        <w:ind w:right="-35"/>
        <w:jc w:val="both"/>
        <w:rPr>
          <w:bCs/>
          <w:i/>
          <w:iCs/>
          <w:sz w:val="22"/>
          <w:szCs w:val="22"/>
          <w:highlight w:val="yellow"/>
        </w:rPr>
      </w:pPr>
      <w:r>
        <w:rPr>
          <w:bCs/>
          <w:i/>
          <w:iCs/>
          <w:sz w:val="22"/>
          <w:szCs w:val="22"/>
          <w:highlight w:val="yellow"/>
        </w:rPr>
        <w:t xml:space="preserve">В целях организации охраны объекта Исполнитель обязан </w:t>
      </w:r>
      <w:r>
        <w:rPr>
          <w:bCs/>
          <w:i/>
          <w:iCs/>
          <w:sz w:val="22"/>
          <w:szCs w:val="22"/>
          <w:highlight w:val="yellow"/>
          <w:u w:val="single"/>
        </w:rPr>
        <w:t xml:space="preserve">до вступления договора в силу</w:t>
      </w:r>
      <w:r>
        <w:rPr>
          <w:bCs/>
          <w:i/>
          <w:iCs/>
          <w:sz w:val="22"/>
          <w:szCs w:val="22"/>
          <w:highlight w:val="yellow"/>
        </w:rPr>
        <w:t xml:space="preserve">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  <w:r>
        <w:rPr>
          <w:bCs/>
          <w:i/>
          <w:iCs/>
          <w:sz w:val="22"/>
          <w:szCs w:val="22"/>
          <w:highlight w:val="yellow"/>
        </w:rPr>
      </w:r>
      <w:r>
        <w:rPr>
          <w:bCs/>
          <w:i/>
          <w:iCs/>
          <w:sz w:val="22"/>
          <w:szCs w:val="22"/>
          <w:highlight w:val="yellow"/>
        </w:rPr>
      </w:r>
    </w:p>
    <w:p w14:paraId="497852C4" w14:textId="77777777">
      <w:pPr>
        <w:pStyle w:val="896"/>
        <w:pBdr/>
        <w:spacing/>
        <w:ind w:left="58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24D3E41" w14:textId="24F6320E">
      <w:pPr>
        <w:pStyle w:val="896"/>
        <w:numPr>
          <w:ilvl w:val="0"/>
          <w:numId w:val="2"/>
        </w:numPr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оказания услуг: </w:t>
      </w:r>
      <w:r>
        <w:rPr>
          <w:sz w:val="22"/>
          <w:szCs w:val="22"/>
        </w:rPr>
        <w:t xml:space="preserve">620042, обл. Свердловская, г. Екатеринбург, ул. Бакинских комиссаров, д. 50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1AA20353" w14:textId="795C237C">
      <w:pPr>
        <w:pStyle w:val="896"/>
        <w:numPr>
          <w:ilvl w:val="0"/>
          <w:numId w:val="2"/>
        </w:numPr>
        <w:pBdr/>
        <w:spacing/>
        <w:ind/>
        <w:jc w:val="both"/>
        <w:rPr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 xml:space="preserve">Срок оказания услуг</w:t>
      </w:r>
      <w:r>
        <w:rPr>
          <w:sz w:val="22"/>
          <w:szCs w:val="22"/>
          <w:highlight w:val="yellow"/>
        </w:rPr>
        <w:t xml:space="preserve">: </w:t>
      </w:r>
      <w:r>
        <w:rPr>
          <w:sz w:val="22"/>
          <w:szCs w:val="22"/>
        </w:rPr>
        <w:t xml:space="preserve">с 01</w:t>
      </w:r>
      <w:r>
        <w:rPr>
          <w:sz w:val="22"/>
          <w:szCs w:val="22"/>
        </w:rPr>
        <w:t xml:space="preserve"> июля 2026 года</w:t>
      </w:r>
      <w:r>
        <w:rPr>
          <w:sz w:val="22"/>
          <w:szCs w:val="22"/>
        </w:rPr>
        <w:t xml:space="preserve"> по 31 декабря</w:t>
      </w:r>
      <w:r>
        <w:rPr>
          <w:sz w:val="22"/>
          <w:szCs w:val="22"/>
        </w:rPr>
        <w:t xml:space="preserve"> 2026 года.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 w14:paraId="4FF0DCF5" w14:textId="3706133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 должны быть оказаны своевременно </w:t>
      </w:r>
      <w:r>
        <w:rPr>
          <w:sz w:val="22"/>
          <w:szCs w:val="22"/>
        </w:rPr>
        <w:t xml:space="preserve">и качественно</w:t>
      </w:r>
      <w:r>
        <w:rPr>
          <w:sz w:val="22"/>
          <w:szCs w:val="22"/>
        </w:rPr>
        <w:t xml:space="preserve">, с соблюдением всех принятых норм и правил в соответствии с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6597A25" w14:textId="7777777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 должны быть оказаны в соответствии с требованиями законодательства РФ в части промышленной безопасности, охраны труда, техники безопасности и электробезопасности.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FDF869D" w14:textId="77777777">
      <w:pPr>
        <w:widowControl w:val="false"/>
        <w:pBdr/>
        <w:tabs>
          <w:tab w:val="left" w:leader="none" w:pos="1364"/>
        </w:tabs>
        <w:spacing/>
        <w:ind w:right="105"/>
        <w:jc w:val="both"/>
        <w:rPr>
          <w:rFonts w:eastAsia="Calibri"/>
          <w:sz w:val="22"/>
          <w:szCs w:val="22"/>
        </w:rPr>
      </w:pPr>
      <w:r>
        <w:rPr>
          <w:b/>
          <w:sz w:val="22"/>
          <w:szCs w:val="22"/>
        </w:rPr>
        <w:t xml:space="preserve">3. Требования к качеству услуг, к их техническим и функциональным и эксплуатационным характеристикам: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 w14:paraId="2D3C06B5" w14:textId="77777777">
      <w:pPr>
        <w:widowControl w:val="false"/>
        <w:pBdr/>
        <w:spacing/>
        <w:ind w:right="-35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bCs/>
          <w:sz w:val="22"/>
          <w:szCs w:val="22"/>
        </w:rPr>
        <w:t xml:space="preserve">3.1. Исполнитель должен иметь действующую лицензию на осуществление частной охранной деятельности* либо д</w:t>
      </w:r>
      <w:r>
        <w:rPr>
          <w:bCs/>
          <w:sz w:val="22"/>
          <w:szCs w:val="22"/>
        </w:rPr>
        <w:t xml:space="preserve">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  <w:r>
        <w:rPr>
          <w:rFonts w:eastAsia="Times New Roman"/>
          <w:bCs/>
          <w:sz w:val="22"/>
          <w:szCs w:val="22"/>
          <w:lang w:eastAsia="ru-RU"/>
        </w:rPr>
      </w:r>
      <w:r>
        <w:rPr>
          <w:rFonts w:eastAsia="Times New Roman"/>
          <w:bCs/>
          <w:sz w:val="22"/>
          <w:szCs w:val="22"/>
          <w:lang w:eastAsia="ru-RU"/>
        </w:rPr>
      </w:r>
    </w:p>
    <w:p w14:paraId="72DA2724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Требования установлены в соответствии с подпу</w:t>
      </w:r>
      <w:r>
        <w:rPr>
          <w:bCs/>
          <w:sz w:val="22"/>
          <w:szCs w:val="22"/>
        </w:rPr>
        <w:t xml:space="preserve">нктом 32 пункта 1 статьи 12 Федерального закона от 04.05.2011 № 99-ФЗ «О лицензировании отдельных видов деятельности», Положениями Закона от 11.03.1992 №2487-1 «О частной детективной и охранной деятельности в Российской Федерации» (далее – Закон № 2487-1).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61C84A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7F1A5FDF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1DCE05A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197BDB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5566B07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охрана объектов и (или) имущества, а также обеспечение </w:t>
      </w:r>
      <w:r>
        <w:rPr>
          <w:bCs/>
          <w:sz w:val="22"/>
          <w:szCs w:val="22"/>
        </w:rPr>
        <w:t xml:space="preserve">внутриобьектового</w:t>
      </w:r>
      <w:r>
        <w:rPr>
          <w:bCs/>
          <w:sz w:val="22"/>
          <w:szCs w:val="22"/>
        </w:rPr>
        <w:t xml:space="preserve"> и пропускного режимов на объектах, в отношении которых установлены об</w:t>
      </w:r>
      <w:r>
        <w:rPr>
          <w:bCs/>
          <w:sz w:val="22"/>
          <w:szCs w:val="22"/>
        </w:rPr>
        <w:t xml:space="preserve">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F54B8F2" w14:textId="77777777"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047F33F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34B7314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08AB32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Федеральный закон «О ведомственной охране» от 14 апреля 1999 года № 77-ФЗ;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4072B05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Закон Российской Федерации «О частной детективной и охранной деятельности в Российской Федерации» 11 марта 1992 года № 2487-1;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20A2878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</w:t>
      </w:r>
      <w:r>
        <w:rPr>
          <w:bCs/>
          <w:sz w:val="22"/>
          <w:szCs w:val="22"/>
        </w:rPr>
        <w:t xml:space="preserve">осуществления частной детективной (сыскной) и частной охранной деятельности»;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ABF72A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D9DB865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Приказ Минтруда России от 11.12.2015 № 1010н «Об утверждении профессионального стандарта "Работник по обеспечению охраны образовательных организаций»;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6B7EB1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8C2702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 начала оказания услуг Исполнитель обязан представить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</w:t>
      </w:r>
      <w:r>
        <w:rPr>
          <w:bCs/>
          <w:sz w:val="22"/>
          <w:szCs w:val="22"/>
        </w:rPr>
        <w:t xml:space="preserve">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</w:t>
      </w:r>
      <w:r>
        <w:rPr>
          <w:bCs/>
          <w:sz w:val="22"/>
          <w:szCs w:val="22"/>
        </w:rPr>
        <w:t xml:space="preserve">9 N 310-ФЗ, либо для организаций, на которых не распространяется действие 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65554BF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2A0EF4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3.2. Во время нахождения на территории объекта Заказчика сотрудников исполнителя.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7308C3C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 Услуги, оказываемые Исполнителем, должны соответствовать требованиям, установленным настоящим техническим заданием.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24C41C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2834F0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727B5EB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</w:t>
      </w:r>
      <w:r>
        <w:rPr>
          <w:bCs/>
          <w:sz w:val="22"/>
          <w:szCs w:val="22"/>
        </w:rPr>
        <w:t xml:space="preserve">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1ED5B8A" w14:textId="7EAC6ED8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объекте: предотвращает совершение противоправных д</w:t>
      </w:r>
      <w:r>
        <w:rPr>
          <w:bCs/>
          <w:sz w:val="22"/>
          <w:szCs w:val="22"/>
        </w:rPr>
        <w:t xml:space="preserve">ействий в отношении сотрудников, посетителей объекта, а также имущества Заказчика, сотрудник охраны обязан незамедлительно нажать кнопку тревожной сигнализации, сообщить о происшествии в правоохранительные органы, вызвать через дежурное подразделение Испол</w:t>
      </w:r>
      <w:r>
        <w:rPr>
          <w:bCs/>
          <w:sz w:val="22"/>
          <w:szCs w:val="22"/>
        </w:rPr>
        <w:t xml:space="preserve">нителя мобильную вооруженную группу,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</w:t>
      </w:r>
      <w:r>
        <w:rPr>
          <w:bCs/>
          <w:sz w:val="22"/>
          <w:szCs w:val="22"/>
        </w:rPr>
        <w:t xml:space="preserve">Росгвардии</w:t>
      </w:r>
      <w:r>
        <w:rPr>
          <w:bCs/>
          <w:sz w:val="22"/>
          <w:szCs w:val="22"/>
        </w:rPr>
        <w:t xml:space="preserve"> по </w:t>
      </w:r>
      <w:r>
        <w:rPr>
          <w:bCs/>
          <w:sz w:val="22"/>
          <w:szCs w:val="22"/>
        </w:rPr>
        <w:t xml:space="preserve">Свердловск</w:t>
      </w:r>
      <w:r>
        <w:rPr>
          <w:bCs/>
          <w:sz w:val="22"/>
          <w:szCs w:val="22"/>
        </w:rPr>
        <w:t xml:space="preserve">ой области.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9DD7482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FCB5BA0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</w:t>
      </w:r>
      <w:r>
        <w:rPr>
          <w:bCs/>
          <w:sz w:val="22"/>
          <w:szCs w:val="22"/>
        </w:rPr>
        <w:t xml:space="preserve">услуг Исполнитель в дневное время каждые два часа обязан обеспечить обход объекта Заказчика. Во время обхода Исполнитель обязан обеспечить контроль за закрытием и целостностью окон, дверей, противопожарных дверей, отсутствием посторонних людей на объекте.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700B58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</w:t>
      </w:r>
      <w:r>
        <w:rPr>
          <w:bCs/>
          <w:sz w:val="22"/>
          <w:szCs w:val="22"/>
        </w:rPr>
        <w:t xml:space="preserve">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1404C6D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ежедневной связи с указанными лицами вне зависимости от места их пребывания.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AC0CE10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</w:t>
      </w:r>
      <w:r>
        <w:rPr>
          <w:bCs/>
          <w:sz w:val="22"/>
          <w:szCs w:val="22"/>
        </w:rPr>
        <w:t xml:space="preserve">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1ADF4D5" w14:textId="51DA43EF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</w:t>
      </w:r>
      <w:r>
        <w:rPr>
          <w:bCs/>
          <w:sz w:val="22"/>
          <w:szCs w:val="22"/>
        </w:rPr>
        <w:t xml:space="preserve">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</w:t>
      </w:r>
      <w:r>
        <w:rPr>
          <w:bCs/>
          <w:sz w:val="22"/>
          <w:szCs w:val="22"/>
        </w:rPr>
        <w:t xml:space="preserve">управления </w:t>
      </w:r>
      <w:r>
        <w:rPr>
          <w:bCs/>
          <w:sz w:val="22"/>
          <w:szCs w:val="22"/>
        </w:rPr>
        <w:t xml:space="preserve">Росгвардии</w:t>
      </w:r>
      <w:r>
        <w:rPr>
          <w:bCs/>
          <w:sz w:val="22"/>
          <w:szCs w:val="22"/>
        </w:rPr>
        <w:t xml:space="preserve"> по </w:t>
      </w:r>
      <w:r>
        <w:rPr>
          <w:bCs/>
          <w:sz w:val="22"/>
          <w:szCs w:val="22"/>
        </w:rPr>
        <w:t xml:space="preserve">Свердловск</w:t>
      </w:r>
      <w:r>
        <w:rPr>
          <w:bCs/>
          <w:sz w:val="22"/>
          <w:szCs w:val="22"/>
        </w:rPr>
        <w:t xml:space="preserve">ой области.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99671FC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B9FABE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</w:t>
      </w:r>
      <w:r>
        <w:rPr>
          <w:bCs/>
          <w:sz w:val="22"/>
          <w:szCs w:val="22"/>
        </w:rPr>
        <w:t xml:space="preserve">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791E70D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359B16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2F82B97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</w:t>
      </w:r>
      <w:r>
        <w:rPr>
          <w:bCs/>
          <w:sz w:val="22"/>
          <w:szCs w:val="22"/>
        </w:rPr>
        <w:t xml:space="preserve">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5AD11E7" w14:textId="009186D8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50 минут, </w:t>
      </w:r>
      <w:r>
        <w:rPr>
          <w:bCs/>
          <w:sz w:val="22"/>
          <w:szCs w:val="22"/>
          <w:u w:val="single"/>
        </w:rPr>
        <w:t xml:space="preserve">а так же незамедлительно уведомить об этом Заказчика, </w:t>
      </w:r>
      <w:r>
        <w:rPr>
          <w:bCs/>
          <w:sz w:val="22"/>
          <w:szCs w:val="22"/>
        </w:rPr>
        <w:t xml:space="preserve">в случае отстранения сотрудника Исполнителя от выполнен</w:t>
      </w:r>
      <w:r>
        <w:rPr>
          <w:bCs/>
          <w:sz w:val="22"/>
          <w:szCs w:val="22"/>
        </w:rPr>
        <w:t xml:space="preserve">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1B94A0CA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FE91F0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</w:t>
      </w:r>
      <w:r>
        <w:rPr>
          <w:bCs/>
          <w:sz w:val="22"/>
          <w:szCs w:val="22"/>
        </w:rPr>
        <w:t xml:space="preserve">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</w:t>
      </w:r>
      <w:r>
        <w:rPr>
          <w:bCs/>
          <w:sz w:val="22"/>
          <w:szCs w:val="22"/>
        </w:rPr>
        <w:t xml:space="preserve">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5E568A5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быть одетым в форменную одежду</w:t>
      </w:r>
      <w:r>
        <w:rPr>
          <w:bCs/>
          <w:sz w:val="22"/>
          <w:szCs w:val="22"/>
        </w:rPr>
        <w:t xml:space="preserve">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одежды;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8B2F701" w14:textId="77777777">
      <w:pPr>
        <w:pBdr/>
        <w:spacing w:after="160"/>
        <w:ind/>
        <w:contextualSpacing w:val="true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-  иметь удостоверение охранника;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 w14:paraId="64BAC265" w14:textId="77777777">
      <w:pPr>
        <w:pBdr/>
        <w:spacing/>
        <w:ind/>
        <w:jc w:val="both"/>
        <w:rPr>
          <w:rFonts w:eastAsia="Calibri"/>
          <w:color w:val="0000ff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-  иметь личную карточку охранника; </w:t>
      </w:r>
      <w:r>
        <w:rPr>
          <w:rFonts w:eastAsia="Calibri"/>
          <w:color w:val="0000ff"/>
          <w:sz w:val="22"/>
          <w:szCs w:val="22"/>
        </w:rPr>
      </w:r>
      <w:r>
        <w:rPr>
          <w:rFonts w:eastAsia="Calibri"/>
          <w:color w:val="0000ff"/>
          <w:sz w:val="22"/>
          <w:szCs w:val="22"/>
        </w:rPr>
      </w:r>
    </w:p>
    <w:p w14:paraId="6BC07F25" w14:textId="68983016">
      <w:pPr>
        <w:pBdr/>
        <w:spacing/>
        <w:ind/>
        <w:jc w:val="both"/>
        <w:rPr>
          <w:rFonts w:eastAsia="Calibri"/>
          <w:color w:val="0000ff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-  иметь свидетельство о присвоении квалификации</w:t>
      </w:r>
      <w:r>
        <w:rPr>
          <w:rFonts w:eastAsia="Calibri"/>
          <w:color w:val="000000"/>
          <w:sz w:val="22"/>
          <w:szCs w:val="22"/>
        </w:rPr>
        <w:t xml:space="preserve">.</w:t>
      </w:r>
      <w:r>
        <w:rPr>
          <w:rFonts w:eastAsia="Calibri"/>
          <w:color w:val="0000ff"/>
          <w:sz w:val="22"/>
          <w:szCs w:val="22"/>
        </w:rPr>
      </w:r>
      <w:r>
        <w:rPr>
          <w:rFonts w:eastAsia="Calibri"/>
          <w:color w:val="0000ff"/>
          <w:sz w:val="22"/>
          <w:szCs w:val="22"/>
        </w:rPr>
      </w:r>
    </w:p>
    <w:p w14:paraId="288D9728" w14:textId="7D275296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случае если охранник является сотрудником частной охранной организации: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AECB372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 допускать ношение форменной одежды, не позволяющей определить его принадлежность к конкретной частной охранной о</w:t>
      </w:r>
      <w:r>
        <w:rPr>
          <w:bCs/>
          <w:sz w:val="22"/>
          <w:szCs w:val="22"/>
        </w:rPr>
        <w:t xml:space="preserve">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5ACF50E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сотрудниками охраны не допускается к несению службы более 24 (двадцати четырех) часов без смены.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1741EF5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</w:t>
      </w:r>
      <w:r>
        <w:rPr>
          <w:bCs/>
          <w:sz w:val="22"/>
          <w:szCs w:val="22"/>
        </w:rPr>
        <w:t xml:space="preserve">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78844A8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1BECFA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0300ADD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в собственности средства связи и вспомогательные средства;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E1D7CAE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C44E220" w14:textId="77777777">
      <w:pPr>
        <w:widowControl w:val="false"/>
        <w:pBdr/>
        <w:spacing/>
        <w:ind w:right="-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иметь на объекте ручной металлоискатель (за счет Исполнителя);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49A3A0F8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5631E8A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69762CE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8B66E6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 срабатывании охранно-пожарной сигнализации, тревожн</w:t>
      </w:r>
      <w:r>
        <w:rPr>
          <w:bCs/>
          <w:sz w:val="22"/>
          <w:szCs w:val="22"/>
        </w:rPr>
        <w:t xml:space="preserve">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9B618A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9DD3B4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736EC02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</w:t>
      </w:r>
      <w:r>
        <w:rPr>
          <w:bCs/>
          <w:sz w:val="22"/>
          <w:szCs w:val="22"/>
        </w:rPr>
        <w:t xml:space="preserve">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108AF7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физическую и психологическую подготовку сотрудника охраны обязана обеспечить этику общения с обслуживаемым Исполнителем контингентом, работниками Заказчика, предотвратить конфликт и отразить, при необходимости нападение.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5403E8D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проводить входной контроль температуры сотрудников и посетителей.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CAC644A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Ведение на объекте необходимой документации: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C904625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 учета посетителей;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75DFDC6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817F32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9D6EF0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59C1E82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 досмотра машин;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14B2197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копию лицензии Исполнителя;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A5478D1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5ABD76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Служебные документы, разработанные</w:t>
      </w:r>
      <w:r>
        <w:rPr>
          <w:bCs/>
          <w:sz w:val="22"/>
          <w:szCs w:val="22"/>
        </w:rPr>
        <w:t xml:space="preserve">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C7325FE" w14:textId="77777777">
      <w:pPr>
        <w:widowControl w:val="false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Гарантийные требования: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7885551D" w14:textId="77777777"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E1F438E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06F688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D0A5AB0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145E2A3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11145E3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</w:t>
      </w:r>
      <w:r>
        <w:rPr>
          <w:bCs/>
          <w:sz w:val="22"/>
          <w:szCs w:val="22"/>
        </w:rPr>
        <w:t xml:space="preserve">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556EECAC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1B7A5F0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09C292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</w:t>
      </w:r>
      <w:r>
        <w:rPr>
          <w:bCs/>
          <w:sz w:val="22"/>
          <w:szCs w:val="22"/>
        </w:rPr>
        <w:t xml:space="preserve">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1E4351B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4.7. При возмещении Заказчику похищенных ценностей, присутствие представителя Исполнителя являет</w:t>
      </w:r>
      <w:r>
        <w:rPr>
          <w:bCs/>
          <w:sz w:val="22"/>
          <w:szCs w:val="22"/>
        </w:rPr>
        <w:t xml:space="preserve">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6AD62885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</w:t>
      </w:r>
      <w:r>
        <w:rPr>
          <w:bCs/>
          <w:sz w:val="22"/>
          <w:szCs w:val="22"/>
        </w:rPr>
        <w:t xml:space="preserve">Федерации.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34DD5CBF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B3BCA8E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2FD661C9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4E721856" w14:textId="77777777">
      <w:pPr>
        <w:widowControl w:val="false"/>
        <w:pBdr/>
        <w:spacing/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A1C7D8D" w14:textId="77777777">
      <w:pPr>
        <w:widowControl w:val="false"/>
        <w:pBdr/>
        <w:spacing/>
        <w:ind w:right="-35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в случае, когда ущерб наступил несмотря на то, что сотрудниками Исполнителя были предприняты все меры, предусмотренные Законом, для пресечения преступных посягательств.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20949B1" w14:textId="7777777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68BEF06" w14:textId="7777777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135" w:right="566" w:bottom="993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358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74ED0985"/>
    <w:lvl w:ilvl="0">
      <w:isLgl w:val="false"/>
      <w:lvlJc w:val="left"/>
      <w:lvlText w:val="%1."/>
      <w:numFmt w:val="decimal"/>
      <w:pPr>
        <w:pBdr/>
        <w:spacing/>
        <w:ind w:hanging="585" w:left="585"/>
      </w:pPr>
      <w:rPr>
        <w:rFonts w:hint="default"/>
        <w:b/>
        <w:bCs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85" w:left="585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88"/>
    <w:next w:val="888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88"/>
    <w:next w:val="888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88"/>
    <w:next w:val="888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8"/>
    <w:next w:val="888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8"/>
    <w:next w:val="888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1 Char"/>
    <w:basedOn w:val="88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8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8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8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8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8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8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8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8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8"/>
    <w:next w:val="888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89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8"/>
    <w:next w:val="888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89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8"/>
    <w:next w:val="888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89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8"/>
    <w:next w:val="888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89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88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88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89"/>
    <w:link w:val="864"/>
    <w:uiPriority w:val="99"/>
    <w:pPr>
      <w:pBdr/>
      <w:spacing/>
      <w:ind/>
    </w:pPr>
  </w:style>
  <w:style w:type="paragraph" w:styleId="866">
    <w:name w:val="Footer"/>
    <w:basedOn w:val="888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89"/>
    <w:link w:val="866"/>
    <w:uiPriority w:val="99"/>
    <w:pPr>
      <w:pBdr/>
      <w:spacing/>
      <w:ind/>
    </w:pPr>
  </w:style>
  <w:style w:type="paragraph" w:styleId="868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88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89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8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8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89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character" w:styleId="892">
    <w:name w:val="Hyperlink"/>
    <w:basedOn w:val="88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93">
    <w:name w:val="Table Grid"/>
    <w:basedOn w:val="89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Balloon Text"/>
    <w:basedOn w:val="888"/>
    <w:link w:val="89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89"/>
    <w:link w:val="8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6">
    <w:name w:val="List Paragraph"/>
    <w:basedOn w:val="88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D2DF0C03-CEB3-4E00-A404-8B3C9C269B6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dc:description>DOC-MARKER-JKR5hk8UyNsuqYVwbSuThQ</dc:description>
  <cp:revision>12</cp:revision>
  <dcterms:created xsi:type="dcterms:W3CDTF">2026-03-10T10:47:00Z</dcterms:created>
  <dcterms:modified xsi:type="dcterms:W3CDTF">2026-06-15T15:32:06Z</dcterms:modified>
</cp:coreProperties>
</file>