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4683F" w14:textId="77777777" w:rsidR="00FA2145" w:rsidRPr="00FA2145" w:rsidRDefault="00FA2145" w:rsidP="00FA2145">
      <w:pPr>
        <w:jc w:val="center"/>
        <w:rPr>
          <w:b/>
          <w:sz w:val="22"/>
          <w:szCs w:val="22"/>
        </w:rPr>
      </w:pPr>
      <w:r w:rsidRPr="00FA2145">
        <w:rPr>
          <w:b/>
          <w:sz w:val="22"/>
          <w:szCs w:val="22"/>
        </w:rPr>
        <w:t>Техническое задание</w:t>
      </w:r>
    </w:p>
    <w:p w14:paraId="468FF988" w14:textId="5D6D33C6" w:rsidR="00B63A29" w:rsidRPr="00FA2145" w:rsidRDefault="00FA2145" w:rsidP="00FA2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spacing w:after="200"/>
        <w:contextualSpacing/>
        <w:jc w:val="center"/>
        <w:rPr>
          <w:b/>
          <w:spacing w:val="1"/>
          <w:sz w:val="22"/>
          <w:szCs w:val="22"/>
        </w:rPr>
      </w:pPr>
      <w:r w:rsidRPr="00FA2145">
        <w:rPr>
          <w:b/>
          <w:sz w:val="22"/>
          <w:szCs w:val="22"/>
        </w:rPr>
        <w:t xml:space="preserve">на оказание услуг по </w:t>
      </w:r>
      <w:r w:rsidRPr="00FA2145">
        <w:rPr>
          <w:b/>
          <w:spacing w:val="1"/>
          <w:sz w:val="22"/>
          <w:szCs w:val="22"/>
        </w:rPr>
        <w:t>организации го‍﻿⁠‌⁠⁠‌​⁠‍​⁠﻿‌​⁠﻿‌‍​⁠‍‍⁠⁠﻿‍‌⁠​‌‍‌‍‌​﻿​‍​​﻿‍‍рячего питания</w:t>
      </w:r>
    </w:p>
    <w:p w14:paraId="41682DBD" w14:textId="52462238" w:rsidR="00FA2145" w:rsidRPr="00FA2145" w:rsidRDefault="00FA2145" w:rsidP="00FA2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spacing w:after="200"/>
        <w:contextualSpacing/>
        <w:jc w:val="center"/>
        <w:rPr>
          <w:rFonts w:eastAsia="Calibri"/>
          <w:b/>
          <w:bCs/>
          <w:sz w:val="22"/>
          <w:szCs w:val="22"/>
        </w:rPr>
      </w:pPr>
    </w:p>
    <w:p w14:paraId="55B7456E" w14:textId="64A865F3" w:rsidR="00FA2145" w:rsidRDefault="00FA2145" w:rsidP="00FA2145">
      <w:pPr>
        <w:jc w:val="center"/>
        <w:rPr>
          <w:bCs/>
          <w:i/>
          <w:iCs/>
          <w:sz w:val="22"/>
          <w:szCs w:val="22"/>
        </w:rPr>
      </w:pPr>
      <w:r w:rsidRPr="00FA2145">
        <w:rPr>
          <w:bCs/>
          <w:i/>
          <w:iCs/>
          <w:sz w:val="22"/>
          <w:szCs w:val="22"/>
          <w:highlight w:val="yellow"/>
        </w:rPr>
        <w:t>56.29.20.120 Услуги школьных столовых и кухонь</w:t>
      </w:r>
    </w:p>
    <w:p w14:paraId="2B5C1569" w14:textId="77777777" w:rsidR="00FA2145" w:rsidRPr="00FA2145" w:rsidRDefault="00FA2145" w:rsidP="00FA2145">
      <w:pPr>
        <w:jc w:val="center"/>
        <w:rPr>
          <w:bCs/>
          <w:i/>
          <w:iCs/>
          <w:sz w:val="22"/>
          <w:szCs w:val="22"/>
        </w:rPr>
      </w:pPr>
    </w:p>
    <w:p w14:paraId="00941C45" w14:textId="77777777" w:rsidR="00FA2145" w:rsidRPr="00FA2145" w:rsidRDefault="00FA2145" w:rsidP="00FA2145">
      <w:pPr>
        <w:jc w:val="both"/>
        <w:rPr>
          <w:b/>
          <w:bCs/>
          <w:color w:val="00000A"/>
          <w:sz w:val="22"/>
          <w:szCs w:val="22"/>
        </w:rPr>
      </w:pPr>
      <w:r w:rsidRPr="00FA2145">
        <w:rPr>
          <w:b/>
          <w:bCs/>
          <w:color w:val="00000A"/>
          <w:sz w:val="22"/>
          <w:szCs w:val="22"/>
        </w:rPr>
        <w:t>1. Основные сведения по оказанию услуг</w:t>
      </w:r>
    </w:p>
    <w:tbl>
      <w:tblPr>
        <w:tblW w:w="4934" w:type="pct"/>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6694"/>
        <w:gridCol w:w="1547"/>
        <w:gridCol w:w="1237"/>
      </w:tblGrid>
      <w:tr w:rsidR="00FA2145" w:rsidRPr="00FA2145" w14:paraId="74C24F43" w14:textId="77777777" w:rsidTr="00FA2145">
        <w:trPr>
          <w:trHeight w:val="20"/>
        </w:trPr>
        <w:tc>
          <w:tcPr>
            <w:tcW w:w="533" w:type="dxa"/>
          </w:tcPr>
          <w:p w14:paraId="1C64A9BB" w14:textId="77777777" w:rsidR="00FA2145" w:rsidRPr="00FA2145" w:rsidRDefault="00FA2145" w:rsidP="00FA2145">
            <w:pPr>
              <w:widowControl/>
              <w:suppressAutoHyphens w:val="0"/>
              <w:overflowPunct/>
              <w:spacing w:after="200"/>
              <w:contextualSpacing/>
              <w:jc w:val="center"/>
              <w:rPr>
                <w:b/>
                <w:bCs/>
                <w:sz w:val="22"/>
                <w:szCs w:val="22"/>
                <w:shd w:val="clear" w:color="auto" w:fill="FFFFFF"/>
              </w:rPr>
            </w:pPr>
            <w:r w:rsidRPr="00FA2145">
              <w:rPr>
                <w:b/>
                <w:bCs/>
                <w:sz w:val="22"/>
                <w:szCs w:val="22"/>
                <w:shd w:val="clear" w:color="auto" w:fill="FFFFFF"/>
              </w:rPr>
              <w:t>№ п/п</w:t>
            </w:r>
          </w:p>
        </w:tc>
        <w:tc>
          <w:tcPr>
            <w:tcW w:w="6136" w:type="dxa"/>
          </w:tcPr>
          <w:p w14:paraId="5CD01DCF" w14:textId="77777777" w:rsidR="00FA2145" w:rsidRPr="00FA2145" w:rsidRDefault="00FA2145" w:rsidP="00FA2145">
            <w:pPr>
              <w:widowControl/>
              <w:suppressAutoHyphens w:val="0"/>
              <w:overflowPunct/>
              <w:spacing w:after="200"/>
              <w:contextualSpacing/>
              <w:jc w:val="center"/>
              <w:rPr>
                <w:b/>
                <w:bCs/>
                <w:sz w:val="22"/>
                <w:szCs w:val="22"/>
                <w:shd w:val="clear" w:color="auto" w:fill="FFFFFF"/>
              </w:rPr>
            </w:pPr>
            <w:r w:rsidRPr="00FA2145">
              <w:rPr>
                <w:b/>
                <w:bCs/>
                <w:sz w:val="22"/>
                <w:szCs w:val="22"/>
                <w:shd w:val="clear" w:color="auto" w:fill="FFFFFF"/>
              </w:rPr>
              <w:t>Наименование</w:t>
            </w:r>
          </w:p>
        </w:tc>
        <w:tc>
          <w:tcPr>
            <w:tcW w:w="1418" w:type="dxa"/>
          </w:tcPr>
          <w:p w14:paraId="371474DA" w14:textId="77777777" w:rsidR="00FA2145" w:rsidRPr="00FA2145" w:rsidRDefault="00FA2145" w:rsidP="00FA2145">
            <w:pPr>
              <w:widowControl/>
              <w:suppressAutoHyphens w:val="0"/>
              <w:overflowPunct/>
              <w:spacing w:after="200"/>
              <w:contextualSpacing/>
              <w:jc w:val="center"/>
              <w:rPr>
                <w:b/>
                <w:bCs/>
                <w:sz w:val="22"/>
                <w:szCs w:val="22"/>
                <w:shd w:val="clear" w:color="auto" w:fill="FFFFFF"/>
              </w:rPr>
            </w:pPr>
            <w:r w:rsidRPr="00FA2145">
              <w:rPr>
                <w:b/>
                <w:bCs/>
                <w:sz w:val="22"/>
                <w:szCs w:val="22"/>
                <w:shd w:val="clear" w:color="auto" w:fill="FFFFFF"/>
              </w:rPr>
              <w:t>Количество питающихся детей</w:t>
            </w:r>
          </w:p>
        </w:tc>
        <w:tc>
          <w:tcPr>
            <w:tcW w:w="1134" w:type="dxa"/>
          </w:tcPr>
          <w:p w14:paraId="26D3A331" w14:textId="77777777" w:rsidR="00FA2145" w:rsidRPr="00FA2145" w:rsidRDefault="00FA2145" w:rsidP="00FA2145">
            <w:pPr>
              <w:widowControl/>
              <w:suppressAutoHyphens w:val="0"/>
              <w:overflowPunct/>
              <w:spacing w:after="200"/>
              <w:contextualSpacing/>
              <w:jc w:val="center"/>
              <w:rPr>
                <w:b/>
                <w:bCs/>
                <w:sz w:val="22"/>
                <w:szCs w:val="22"/>
                <w:shd w:val="clear" w:color="auto" w:fill="FFFFFF"/>
              </w:rPr>
            </w:pPr>
            <w:r w:rsidRPr="00FA2145">
              <w:rPr>
                <w:b/>
                <w:bCs/>
                <w:sz w:val="22"/>
                <w:szCs w:val="22"/>
                <w:shd w:val="clear" w:color="auto" w:fill="FFFFFF"/>
              </w:rPr>
              <w:t>Количество дето-дней</w:t>
            </w:r>
          </w:p>
        </w:tc>
      </w:tr>
      <w:tr w:rsidR="00FA2145" w:rsidRPr="00FA2145" w14:paraId="23B20198" w14:textId="77777777" w:rsidTr="00FA2145">
        <w:trPr>
          <w:trHeight w:val="20"/>
        </w:trPr>
        <w:tc>
          <w:tcPr>
            <w:tcW w:w="533" w:type="dxa"/>
          </w:tcPr>
          <w:p w14:paraId="0C61ECDF" w14:textId="77777777" w:rsidR="00FA2145" w:rsidRPr="00FA2145" w:rsidRDefault="00FA2145" w:rsidP="00FA2145">
            <w:pPr>
              <w:widowControl/>
              <w:suppressAutoHyphens w:val="0"/>
              <w:overflowPunct/>
              <w:spacing w:after="200"/>
              <w:contextualSpacing/>
              <w:rPr>
                <w:sz w:val="22"/>
                <w:szCs w:val="22"/>
              </w:rPr>
            </w:pPr>
            <w:r w:rsidRPr="00FA2145">
              <w:rPr>
                <w:sz w:val="22"/>
                <w:szCs w:val="22"/>
              </w:rPr>
              <w:t>1</w:t>
            </w:r>
          </w:p>
        </w:tc>
        <w:tc>
          <w:tcPr>
            <w:tcW w:w="6136" w:type="dxa"/>
          </w:tcPr>
          <w:p w14:paraId="23C8E820" w14:textId="77777777" w:rsidR="00FA2145" w:rsidRPr="00FA2145" w:rsidRDefault="00FA2145" w:rsidP="00FA2145">
            <w:pPr>
              <w:suppressAutoHyphens w:val="0"/>
              <w:overflowPunct/>
              <w:spacing w:after="200"/>
              <w:contextualSpacing/>
              <w:rPr>
                <w:sz w:val="22"/>
                <w:szCs w:val="22"/>
              </w:rPr>
            </w:pPr>
            <w:r w:rsidRPr="00FA2145">
              <w:rPr>
                <w:sz w:val="22"/>
                <w:szCs w:val="22"/>
              </w:rPr>
              <w:t xml:space="preserve">Организация питания обучающиеся 2-4-х классов за исключением обучающихся </w:t>
            </w:r>
            <w:proofErr w:type="gramStart"/>
            <w:r w:rsidRPr="00FA2145">
              <w:rPr>
                <w:sz w:val="22"/>
                <w:szCs w:val="22"/>
              </w:rPr>
              <w:t>с  ОВЗ</w:t>
            </w:r>
            <w:proofErr w:type="gramEnd"/>
            <w:r w:rsidRPr="00FA2145">
              <w:rPr>
                <w:sz w:val="22"/>
                <w:szCs w:val="22"/>
              </w:rPr>
              <w:t xml:space="preserve">  (одноразовое питание) (завтрак)</w:t>
            </w:r>
          </w:p>
        </w:tc>
        <w:tc>
          <w:tcPr>
            <w:tcW w:w="1418" w:type="dxa"/>
          </w:tcPr>
          <w:p w14:paraId="6D7DE78B" w14:textId="77777777"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102</w:t>
            </w:r>
          </w:p>
        </w:tc>
        <w:tc>
          <w:tcPr>
            <w:tcW w:w="1134" w:type="dxa"/>
          </w:tcPr>
          <w:p w14:paraId="1228AA1F" w14:textId="3F9D2B68"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78</w:t>
            </w:r>
          </w:p>
        </w:tc>
      </w:tr>
      <w:tr w:rsidR="00FA2145" w:rsidRPr="00FA2145" w14:paraId="58A36646" w14:textId="77777777" w:rsidTr="00FA2145">
        <w:trPr>
          <w:trHeight w:val="20"/>
        </w:trPr>
        <w:tc>
          <w:tcPr>
            <w:tcW w:w="533" w:type="dxa"/>
          </w:tcPr>
          <w:p w14:paraId="7EF3DAC3" w14:textId="77777777" w:rsidR="00FA2145" w:rsidRPr="00FA2145" w:rsidRDefault="00FA2145" w:rsidP="00FA2145">
            <w:pPr>
              <w:widowControl/>
              <w:suppressAutoHyphens w:val="0"/>
              <w:overflowPunct/>
              <w:spacing w:after="200"/>
              <w:contextualSpacing/>
              <w:rPr>
                <w:sz w:val="22"/>
                <w:szCs w:val="22"/>
              </w:rPr>
            </w:pPr>
            <w:r w:rsidRPr="00FA2145">
              <w:rPr>
                <w:sz w:val="22"/>
                <w:szCs w:val="22"/>
              </w:rPr>
              <w:t>2</w:t>
            </w:r>
          </w:p>
        </w:tc>
        <w:tc>
          <w:tcPr>
            <w:tcW w:w="6136" w:type="dxa"/>
          </w:tcPr>
          <w:p w14:paraId="6C1C7408" w14:textId="77777777" w:rsidR="00FA2145" w:rsidRPr="00FA2145" w:rsidRDefault="00FA2145" w:rsidP="00FA2145">
            <w:pPr>
              <w:suppressAutoHyphens w:val="0"/>
              <w:overflowPunct/>
              <w:spacing w:after="200"/>
              <w:contextualSpacing/>
              <w:rPr>
                <w:sz w:val="22"/>
                <w:szCs w:val="22"/>
              </w:rPr>
            </w:pPr>
            <w:r w:rsidRPr="00FA2145">
              <w:rPr>
                <w:sz w:val="22"/>
                <w:szCs w:val="22"/>
              </w:rPr>
              <w:t xml:space="preserve">Организация питания обучающиеся 1-х </w:t>
            </w:r>
            <w:proofErr w:type="gramStart"/>
            <w:r w:rsidRPr="00FA2145">
              <w:rPr>
                <w:sz w:val="22"/>
                <w:szCs w:val="22"/>
              </w:rPr>
              <w:t>классов,  за</w:t>
            </w:r>
            <w:proofErr w:type="gramEnd"/>
            <w:r w:rsidRPr="00FA2145">
              <w:rPr>
                <w:sz w:val="22"/>
                <w:szCs w:val="22"/>
              </w:rPr>
              <w:t xml:space="preserve"> исключением обучающихся с  ОВЗ  (одноразовое питание) (завтрак)</w:t>
            </w:r>
          </w:p>
        </w:tc>
        <w:tc>
          <w:tcPr>
            <w:tcW w:w="1418" w:type="dxa"/>
          </w:tcPr>
          <w:p w14:paraId="1A9C473A" w14:textId="77777777"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25</w:t>
            </w:r>
          </w:p>
        </w:tc>
        <w:tc>
          <w:tcPr>
            <w:tcW w:w="1134" w:type="dxa"/>
          </w:tcPr>
          <w:p w14:paraId="78653A55" w14:textId="193D8ADF"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78</w:t>
            </w:r>
          </w:p>
        </w:tc>
      </w:tr>
      <w:tr w:rsidR="00FA2145" w:rsidRPr="00FA2145" w14:paraId="57046B9C" w14:textId="77777777" w:rsidTr="00FA2145">
        <w:trPr>
          <w:trHeight w:val="20"/>
        </w:trPr>
        <w:tc>
          <w:tcPr>
            <w:tcW w:w="533" w:type="dxa"/>
          </w:tcPr>
          <w:p w14:paraId="0F976CEA" w14:textId="77777777" w:rsidR="00FA2145" w:rsidRPr="00FA2145" w:rsidRDefault="00FA2145" w:rsidP="00FA2145">
            <w:pPr>
              <w:widowControl/>
              <w:suppressAutoHyphens w:val="0"/>
              <w:overflowPunct/>
              <w:spacing w:after="200"/>
              <w:contextualSpacing/>
              <w:rPr>
                <w:sz w:val="22"/>
                <w:szCs w:val="22"/>
              </w:rPr>
            </w:pPr>
            <w:r w:rsidRPr="00FA2145">
              <w:rPr>
                <w:sz w:val="22"/>
                <w:szCs w:val="22"/>
              </w:rPr>
              <w:t>3</w:t>
            </w:r>
          </w:p>
        </w:tc>
        <w:tc>
          <w:tcPr>
            <w:tcW w:w="6136" w:type="dxa"/>
          </w:tcPr>
          <w:p w14:paraId="3F3A0C8C" w14:textId="77777777" w:rsidR="00FA2145" w:rsidRPr="00FA2145" w:rsidRDefault="00FA2145" w:rsidP="00FA2145">
            <w:pPr>
              <w:suppressAutoHyphens w:val="0"/>
              <w:overflowPunct/>
              <w:spacing w:after="200"/>
              <w:contextualSpacing/>
              <w:rPr>
                <w:sz w:val="22"/>
                <w:szCs w:val="22"/>
              </w:rPr>
            </w:pPr>
            <w:r w:rsidRPr="00FA2145">
              <w:rPr>
                <w:sz w:val="22"/>
                <w:szCs w:val="22"/>
              </w:rPr>
              <w:t>Организация питания о</w:t>
            </w:r>
            <w:r w:rsidRPr="00FA2145">
              <w:rPr>
                <w:rStyle w:val="2"/>
                <w:b w:val="0"/>
                <w:sz w:val="22"/>
                <w:szCs w:val="22"/>
              </w:rPr>
              <w:t>бучающиеся 2-4-х классов с ограниченными возможностями здоровья (двухразовое питание (завтрак и обед)</w:t>
            </w:r>
          </w:p>
        </w:tc>
        <w:tc>
          <w:tcPr>
            <w:tcW w:w="1418" w:type="dxa"/>
          </w:tcPr>
          <w:p w14:paraId="310031E6" w14:textId="77777777"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12</w:t>
            </w:r>
          </w:p>
        </w:tc>
        <w:tc>
          <w:tcPr>
            <w:tcW w:w="1134" w:type="dxa"/>
          </w:tcPr>
          <w:p w14:paraId="6F8712A1" w14:textId="0A59A3A5"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78</w:t>
            </w:r>
          </w:p>
        </w:tc>
      </w:tr>
      <w:tr w:rsidR="00FA2145" w:rsidRPr="00FA2145" w14:paraId="29BFF119" w14:textId="77777777" w:rsidTr="00FA2145">
        <w:trPr>
          <w:trHeight w:val="20"/>
        </w:trPr>
        <w:tc>
          <w:tcPr>
            <w:tcW w:w="533" w:type="dxa"/>
          </w:tcPr>
          <w:p w14:paraId="5FA1171D" w14:textId="77777777" w:rsidR="00FA2145" w:rsidRPr="00FA2145" w:rsidRDefault="00FA2145" w:rsidP="00FA2145">
            <w:pPr>
              <w:widowControl/>
              <w:suppressAutoHyphens w:val="0"/>
              <w:overflowPunct/>
              <w:spacing w:after="200"/>
              <w:contextualSpacing/>
              <w:rPr>
                <w:sz w:val="22"/>
                <w:szCs w:val="22"/>
              </w:rPr>
            </w:pPr>
            <w:r w:rsidRPr="00FA2145">
              <w:rPr>
                <w:sz w:val="22"/>
                <w:szCs w:val="22"/>
              </w:rPr>
              <w:t>4</w:t>
            </w:r>
          </w:p>
        </w:tc>
        <w:tc>
          <w:tcPr>
            <w:tcW w:w="6136" w:type="dxa"/>
          </w:tcPr>
          <w:p w14:paraId="42008C66" w14:textId="77777777" w:rsidR="00FA2145" w:rsidRPr="00FA2145" w:rsidRDefault="00FA2145" w:rsidP="00FA2145">
            <w:pPr>
              <w:suppressAutoHyphens w:val="0"/>
              <w:overflowPunct/>
              <w:spacing w:after="200"/>
              <w:contextualSpacing/>
              <w:rPr>
                <w:sz w:val="22"/>
                <w:szCs w:val="22"/>
              </w:rPr>
            </w:pPr>
            <w:r w:rsidRPr="00FA2145">
              <w:rPr>
                <w:sz w:val="22"/>
                <w:szCs w:val="22"/>
              </w:rPr>
              <w:t>Организация питания о</w:t>
            </w:r>
            <w:r w:rsidRPr="00FA2145">
              <w:rPr>
                <w:rStyle w:val="2"/>
                <w:b w:val="0"/>
                <w:sz w:val="22"/>
                <w:szCs w:val="22"/>
              </w:rPr>
              <w:t>бучающиеся 1-х классов с ограниченными возможностями здоровья (двухразовое питание (завтрак и обед)</w:t>
            </w:r>
          </w:p>
        </w:tc>
        <w:tc>
          <w:tcPr>
            <w:tcW w:w="1418" w:type="dxa"/>
          </w:tcPr>
          <w:p w14:paraId="2A170F3B" w14:textId="77777777"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1</w:t>
            </w:r>
          </w:p>
        </w:tc>
        <w:tc>
          <w:tcPr>
            <w:tcW w:w="1134" w:type="dxa"/>
          </w:tcPr>
          <w:p w14:paraId="51B00CAB" w14:textId="1A289F7D"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78</w:t>
            </w:r>
          </w:p>
        </w:tc>
      </w:tr>
      <w:tr w:rsidR="00FA2145" w:rsidRPr="00FA2145" w14:paraId="55F88281" w14:textId="77777777" w:rsidTr="00FA2145">
        <w:trPr>
          <w:trHeight w:val="20"/>
        </w:trPr>
        <w:tc>
          <w:tcPr>
            <w:tcW w:w="533" w:type="dxa"/>
          </w:tcPr>
          <w:p w14:paraId="4391149D" w14:textId="77777777" w:rsidR="00FA2145" w:rsidRPr="00FA2145" w:rsidRDefault="00FA2145" w:rsidP="00FA2145">
            <w:pPr>
              <w:widowControl/>
              <w:suppressAutoHyphens w:val="0"/>
              <w:overflowPunct/>
              <w:spacing w:after="200"/>
              <w:contextualSpacing/>
              <w:rPr>
                <w:sz w:val="22"/>
                <w:szCs w:val="22"/>
              </w:rPr>
            </w:pPr>
            <w:r w:rsidRPr="00FA2145">
              <w:rPr>
                <w:sz w:val="22"/>
                <w:szCs w:val="22"/>
              </w:rPr>
              <w:t>5</w:t>
            </w:r>
          </w:p>
        </w:tc>
        <w:tc>
          <w:tcPr>
            <w:tcW w:w="6136" w:type="dxa"/>
          </w:tcPr>
          <w:p w14:paraId="2FD09E48" w14:textId="77777777" w:rsidR="00FA2145" w:rsidRPr="00FA2145" w:rsidRDefault="00FA2145" w:rsidP="00FA2145">
            <w:pPr>
              <w:suppressAutoHyphens w:val="0"/>
              <w:overflowPunct/>
              <w:spacing w:after="200"/>
              <w:contextualSpacing/>
              <w:rPr>
                <w:b/>
                <w:sz w:val="22"/>
                <w:szCs w:val="22"/>
              </w:rPr>
            </w:pPr>
            <w:r w:rsidRPr="00FA2145">
              <w:rPr>
                <w:sz w:val="22"/>
                <w:szCs w:val="22"/>
              </w:rPr>
              <w:t xml:space="preserve">Организация </w:t>
            </w:r>
            <w:proofErr w:type="spellStart"/>
            <w:r w:rsidRPr="00FA2145">
              <w:rPr>
                <w:sz w:val="22"/>
                <w:szCs w:val="22"/>
              </w:rPr>
              <w:t>питания</w:t>
            </w:r>
            <w:r w:rsidRPr="00FA2145">
              <w:rPr>
                <w:rStyle w:val="EndnoteCharacters"/>
                <w:sz w:val="22"/>
                <w:szCs w:val="22"/>
              </w:rPr>
              <w:t>о</w:t>
            </w:r>
            <w:r w:rsidRPr="00FA2145">
              <w:rPr>
                <w:rStyle w:val="2"/>
                <w:b w:val="0"/>
                <w:sz w:val="22"/>
                <w:szCs w:val="22"/>
              </w:rPr>
              <w:t>бучающиеся</w:t>
            </w:r>
            <w:proofErr w:type="spellEnd"/>
            <w:r w:rsidRPr="00FA2145">
              <w:rPr>
                <w:rStyle w:val="2"/>
                <w:b w:val="0"/>
                <w:sz w:val="22"/>
                <w:szCs w:val="22"/>
              </w:rPr>
              <w:t xml:space="preserve"> 5-8-х классов с ограниченными возможностями здоровья (двухразовое питание (завтрак и обед)</w:t>
            </w:r>
          </w:p>
        </w:tc>
        <w:tc>
          <w:tcPr>
            <w:tcW w:w="1418" w:type="dxa"/>
          </w:tcPr>
          <w:p w14:paraId="7155026D" w14:textId="77777777"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13</w:t>
            </w:r>
          </w:p>
        </w:tc>
        <w:tc>
          <w:tcPr>
            <w:tcW w:w="1134" w:type="dxa"/>
          </w:tcPr>
          <w:p w14:paraId="654AFA5E" w14:textId="6D0D4D94"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78</w:t>
            </w:r>
          </w:p>
        </w:tc>
      </w:tr>
      <w:tr w:rsidR="00FA2145" w:rsidRPr="00FA2145" w14:paraId="6DA2B9A3" w14:textId="77777777" w:rsidTr="00FA2145">
        <w:trPr>
          <w:trHeight w:val="20"/>
        </w:trPr>
        <w:tc>
          <w:tcPr>
            <w:tcW w:w="533" w:type="dxa"/>
          </w:tcPr>
          <w:p w14:paraId="39B364BB" w14:textId="77777777" w:rsidR="00FA2145" w:rsidRPr="00FA2145" w:rsidRDefault="00FA2145" w:rsidP="00FA2145">
            <w:pPr>
              <w:widowControl/>
              <w:suppressAutoHyphens w:val="0"/>
              <w:overflowPunct/>
              <w:spacing w:after="200"/>
              <w:contextualSpacing/>
              <w:rPr>
                <w:sz w:val="22"/>
                <w:szCs w:val="22"/>
              </w:rPr>
            </w:pPr>
            <w:r w:rsidRPr="00FA2145">
              <w:rPr>
                <w:sz w:val="22"/>
                <w:szCs w:val="22"/>
              </w:rPr>
              <w:t>6</w:t>
            </w:r>
          </w:p>
        </w:tc>
        <w:tc>
          <w:tcPr>
            <w:tcW w:w="6136" w:type="dxa"/>
          </w:tcPr>
          <w:p w14:paraId="322C39EB" w14:textId="77777777" w:rsidR="00FA2145" w:rsidRPr="00FA2145" w:rsidRDefault="00FA2145" w:rsidP="00FA2145">
            <w:pPr>
              <w:suppressAutoHyphens w:val="0"/>
              <w:overflowPunct/>
              <w:spacing w:after="200"/>
              <w:contextualSpacing/>
              <w:rPr>
                <w:sz w:val="22"/>
                <w:szCs w:val="22"/>
              </w:rPr>
            </w:pPr>
            <w:r w:rsidRPr="00FA2145">
              <w:rPr>
                <w:sz w:val="22"/>
                <w:szCs w:val="22"/>
              </w:rPr>
              <w:t xml:space="preserve">Организация </w:t>
            </w:r>
            <w:proofErr w:type="spellStart"/>
            <w:r w:rsidRPr="00FA2145">
              <w:rPr>
                <w:sz w:val="22"/>
                <w:szCs w:val="22"/>
              </w:rPr>
              <w:t>питания</w:t>
            </w:r>
            <w:r w:rsidRPr="00FA2145">
              <w:rPr>
                <w:rStyle w:val="EndnoteCharacters"/>
                <w:sz w:val="22"/>
                <w:szCs w:val="22"/>
              </w:rPr>
              <w:t>о</w:t>
            </w:r>
            <w:r w:rsidRPr="00FA2145">
              <w:rPr>
                <w:rStyle w:val="2"/>
                <w:b w:val="0"/>
                <w:sz w:val="22"/>
                <w:szCs w:val="22"/>
              </w:rPr>
              <w:t>бучающиеся</w:t>
            </w:r>
            <w:proofErr w:type="spellEnd"/>
            <w:r w:rsidRPr="00FA2145">
              <w:rPr>
                <w:rStyle w:val="2"/>
                <w:b w:val="0"/>
                <w:sz w:val="22"/>
                <w:szCs w:val="22"/>
              </w:rPr>
              <w:t xml:space="preserve"> 9-х классов с ограниченными возможностями здоровья (двухразовое питание (завтрак и обед)</w:t>
            </w:r>
          </w:p>
        </w:tc>
        <w:tc>
          <w:tcPr>
            <w:tcW w:w="1418" w:type="dxa"/>
          </w:tcPr>
          <w:p w14:paraId="65B6B9FF" w14:textId="77777777"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11</w:t>
            </w:r>
          </w:p>
        </w:tc>
        <w:tc>
          <w:tcPr>
            <w:tcW w:w="1134" w:type="dxa"/>
          </w:tcPr>
          <w:p w14:paraId="2E0A4C5F" w14:textId="1042F443"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78</w:t>
            </w:r>
          </w:p>
        </w:tc>
      </w:tr>
      <w:tr w:rsidR="00FA2145" w:rsidRPr="00FA2145" w14:paraId="5416D759" w14:textId="77777777" w:rsidTr="00FA2145">
        <w:trPr>
          <w:trHeight w:val="20"/>
        </w:trPr>
        <w:tc>
          <w:tcPr>
            <w:tcW w:w="533" w:type="dxa"/>
          </w:tcPr>
          <w:p w14:paraId="16B88340" w14:textId="0525DE21" w:rsidR="00FA2145" w:rsidRPr="00FA2145" w:rsidRDefault="00FA2145" w:rsidP="00FA2145">
            <w:pPr>
              <w:widowControl/>
              <w:suppressAutoHyphens w:val="0"/>
              <w:overflowPunct/>
              <w:spacing w:after="200"/>
              <w:contextualSpacing/>
              <w:rPr>
                <w:sz w:val="22"/>
                <w:szCs w:val="22"/>
              </w:rPr>
            </w:pPr>
            <w:r w:rsidRPr="00FA2145">
              <w:rPr>
                <w:sz w:val="22"/>
                <w:szCs w:val="22"/>
              </w:rPr>
              <w:t>7</w:t>
            </w:r>
          </w:p>
        </w:tc>
        <w:tc>
          <w:tcPr>
            <w:tcW w:w="6136" w:type="dxa"/>
          </w:tcPr>
          <w:p w14:paraId="3F8FEA6B" w14:textId="5F456AFA" w:rsidR="00FA2145" w:rsidRPr="00FA2145" w:rsidRDefault="00FA2145" w:rsidP="00FA2145">
            <w:pPr>
              <w:suppressAutoHyphens w:val="0"/>
              <w:overflowPunct/>
              <w:spacing w:after="200"/>
              <w:contextualSpacing/>
              <w:rPr>
                <w:sz w:val="22"/>
                <w:szCs w:val="22"/>
              </w:rPr>
            </w:pPr>
            <w:r w:rsidRPr="00FA2145">
              <w:rPr>
                <w:sz w:val="22"/>
                <w:szCs w:val="22"/>
              </w:rPr>
              <w:t>Организация питания обучающихся 5-11 классов, родители которых призваны на военную службу по мобилизации</w:t>
            </w:r>
          </w:p>
        </w:tc>
        <w:tc>
          <w:tcPr>
            <w:tcW w:w="1418" w:type="dxa"/>
          </w:tcPr>
          <w:p w14:paraId="0F20DF3E" w14:textId="77777777"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13</w:t>
            </w:r>
          </w:p>
        </w:tc>
        <w:tc>
          <w:tcPr>
            <w:tcW w:w="1134" w:type="dxa"/>
          </w:tcPr>
          <w:p w14:paraId="7B21153A" w14:textId="6C3AB7D1" w:rsidR="00FA2145" w:rsidRPr="00FA2145" w:rsidRDefault="00FA2145" w:rsidP="00FA2145">
            <w:pPr>
              <w:widowControl/>
              <w:suppressAutoHyphens w:val="0"/>
              <w:overflowPunct/>
              <w:spacing w:before="280" w:after="119"/>
              <w:contextualSpacing/>
              <w:jc w:val="center"/>
              <w:rPr>
                <w:sz w:val="22"/>
                <w:szCs w:val="22"/>
              </w:rPr>
            </w:pPr>
            <w:r w:rsidRPr="00FA2145">
              <w:rPr>
                <w:sz w:val="22"/>
                <w:szCs w:val="22"/>
              </w:rPr>
              <w:t>78</w:t>
            </w:r>
          </w:p>
        </w:tc>
      </w:tr>
    </w:tbl>
    <w:p w14:paraId="6CFFFEA1" w14:textId="202CB288" w:rsidR="00232DA8" w:rsidRPr="00FA2145" w:rsidRDefault="00232DA8" w:rsidP="00FA2145">
      <w:pPr>
        <w:widowControl/>
        <w:suppressAutoHyphens w:val="0"/>
        <w:overflowPunct/>
        <w:spacing w:after="200"/>
        <w:contextualSpacing/>
        <w:rPr>
          <w:sz w:val="22"/>
          <w:szCs w:val="22"/>
        </w:rPr>
      </w:pPr>
    </w:p>
    <w:p w14:paraId="6DC9C95F" w14:textId="5BC20740" w:rsidR="00FA2145" w:rsidRPr="00FA2145" w:rsidRDefault="00FA2145" w:rsidP="00FA2145">
      <w:pPr>
        <w:widowControl/>
        <w:suppressAutoHyphens w:val="0"/>
        <w:overflowPunct/>
        <w:spacing w:after="200"/>
        <w:contextualSpacing/>
        <w:rPr>
          <w:color w:val="00000A"/>
          <w:sz w:val="22"/>
          <w:szCs w:val="22"/>
        </w:rPr>
      </w:pPr>
      <w:r w:rsidRPr="00FA2145">
        <w:rPr>
          <w:sz w:val="22"/>
          <w:szCs w:val="22"/>
          <w:highlight w:val="yellow"/>
        </w:rPr>
        <w:t xml:space="preserve">2. </w:t>
      </w:r>
      <w:r w:rsidRPr="00FA2145">
        <w:rPr>
          <w:b/>
          <w:bCs/>
          <w:color w:val="00000A"/>
          <w:sz w:val="22"/>
          <w:szCs w:val="22"/>
          <w:highlight w:val="yellow"/>
        </w:rPr>
        <w:t>Место оказания услуг</w:t>
      </w:r>
      <w:r w:rsidRPr="00FA2145">
        <w:rPr>
          <w:color w:val="00000A"/>
          <w:sz w:val="22"/>
          <w:szCs w:val="22"/>
          <w:highlight w:val="yellow"/>
        </w:rPr>
        <w:t>:</w:t>
      </w:r>
      <w:r w:rsidRPr="00FA2145">
        <w:rPr>
          <w:color w:val="00000A"/>
          <w:sz w:val="22"/>
          <w:szCs w:val="22"/>
          <w:highlight w:val="yellow"/>
        </w:rPr>
        <w:t xml:space="preserve"> </w:t>
      </w:r>
      <w:r w:rsidRPr="00FA2145">
        <w:rPr>
          <w:color w:val="00000A"/>
          <w:sz w:val="22"/>
          <w:szCs w:val="22"/>
          <w:highlight w:val="yellow"/>
        </w:rPr>
        <w:t xml:space="preserve">174581, </w:t>
      </w:r>
      <w:r w:rsidRPr="00FA2145">
        <w:rPr>
          <w:color w:val="00000A"/>
          <w:sz w:val="22"/>
          <w:szCs w:val="22"/>
          <w:highlight w:val="yellow"/>
        </w:rPr>
        <w:t xml:space="preserve">Новгородская Область, Р-Н </w:t>
      </w:r>
      <w:proofErr w:type="spellStart"/>
      <w:r w:rsidRPr="00FA2145">
        <w:rPr>
          <w:color w:val="00000A"/>
          <w:sz w:val="22"/>
          <w:szCs w:val="22"/>
          <w:highlight w:val="yellow"/>
        </w:rPr>
        <w:t>Хвойнинский</w:t>
      </w:r>
      <w:proofErr w:type="spellEnd"/>
      <w:r w:rsidRPr="00FA2145">
        <w:rPr>
          <w:color w:val="00000A"/>
          <w:sz w:val="22"/>
          <w:szCs w:val="22"/>
          <w:highlight w:val="yellow"/>
        </w:rPr>
        <w:t xml:space="preserve">, Ул. Связи, </w:t>
      </w:r>
      <w:proofErr w:type="spellStart"/>
      <w:r w:rsidRPr="00FA2145">
        <w:rPr>
          <w:color w:val="00000A"/>
          <w:sz w:val="22"/>
          <w:szCs w:val="22"/>
          <w:highlight w:val="yellow"/>
        </w:rPr>
        <w:t>Рп</w:t>
      </w:r>
      <w:proofErr w:type="spellEnd"/>
      <w:r w:rsidRPr="00FA2145">
        <w:rPr>
          <w:color w:val="00000A"/>
          <w:sz w:val="22"/>
          <w:szCs w:val="22"/>
          <w:highlight w:val="yellow"/>
        </w:rPr>
        <w:t>. Хвойная, Д. 37</w:t>
      </w:r>
    </w:p>
    <w:p w14:paraId="6477E94B" w14:textId="71F4BBF5" w:rsidR="00FA2145" w:rsidRPr="00FA2145" w:rsidRDefault="00FA2145" w:rsidP="00FA2145">
      <w:pPr>
        <w:widowControl/>
        <w:suppressAutoHyphens w:val="0"/>
        <w:overflowPunct/>
        <w:spacing w:after="200"/>
        <w:contextualSpacing/>
        <w:rPr>
          <w:color w:val="00000A"/>
          <w:sz w:val="22"/>
          <w:szCs w:val="22"/>
        </w:rPr>
      </w:pPr>
      <w:r w:rsidRPr="00FA2145">
        <w:rPr>
          <w:color w:val="00000A"/>
          <w:sz w:val="22"/>
          <w:szCs w:val="22"/>
        </w:rPr>
        <w:t xml:space="preserve">3. срок оказания услуг: </w:t>
      </w:r>
      <w:r w:rsidRPr="00FA2145">
        <w:rPr>
          <w:color w:val="00000A"/>
          <w:sz w:val="22"/>
          <w:szCs w:val="22"/>
        </w:rPr>
        <w:t>с 1 сентября 26 года по 31 декабря 26 года</w:t>
      </w:r>
    </w:p>
    <w:p w14:paraId="74035DF3" w14:textId="428C350F" w:rsidR="00FA2145" w:rsidRPr="00FA2145" w:rsidRDefault="00FA2145" w:rsidP="00FA2145">
      <w:pPr>
        <w:jc w:val="both"/>
        <w:rPr>
          <w:b/>
          <w:bCs/>
          <w:color w:val="00000A"/>
          <w:sz w:val="22"/>
          <w:szCs w:val="22"/>
        </w:rPr>
      </w:pPr>
      <w:r w:rsidRPr="00FA2145">
        <w:rPr>
          <w:b/>
          <w:bCs/>
          <w:color w:val="00000A"/>
          <w:sz w:val="22"/>
          <w:szCs w:val="22"/>
        </w:rPr>
        <w:t>4</w:t>
      </w:r>
      <w:r w:rsidRPr="00FA2145">
        <w:rPr>
          <w:b/>
          <w:bCs/>
          <w:color w:val="00000A"/>
          <w:sz w:val="22"/>
          <w:szCs w:val="22"/>
        </w:rPr>
        <w:t>. Требования соответствия качественным характеристикам объекта закупки</w:t>
      </w:r>
    </w:p>
    <w:p w14:paraId="403834E7" w14:textId="3D9CFB91" w:rsidR="00FA2145" w:rsidRPr="00FA2145" w:rsidRDefault="00FA2145" w:rsidP="00FA2145">
      <w:pPr>
        <w:jc w:val="both"/>
        <w:rPr>
          <w:color w:val="00000A"/>
          <w:sz w:val="22"/>
          <w:szCs w:val="22"/>
        </w:rPr>
      </w:pPr>
      <w:r w:rsidRPr="00FA2145">
        <w:rPr>
          <w:color w:val="00000A"/>
          <w:sz w:val="22"/>
          <w:szCs w:val="22"/>
        </w:rPr>
        <w:t>Ежедневное рациональное питание учащихся в соответствии с действующими государственными стандартами и технологическими нормативами. Оказание услуг питания, в соответствии с требованиями Технического регламента ТР ТС 021/2011 «О безопасности пищевой продукции», утвержденного Решением Комиссии Таможенного союза от 09.12.2011 № 880 и национальными стандартами РФ.</w:t>
      </w:r>
    </w:p>
    <w:p w14:paraId="4752650C" w14:textId="77777777" w:rsidR="00FA2145" w:rsidRPr="00FA2145" w:rsidRDefault="00FA2145" w:rsidP="00FA2145">
      <w:pPr>
        <w:jc w:val="both"/>
        <w:rPr>
          <w:color w:val="00000A"/>
          <w:sz w:val="22"/>
          <w:szCs w:val="22"/>
        </w:rPr>
      </w:pPr>
      <w:r w:rsidRPr="00FA2145">
        <w:rPr>
          <w:color w:val="00000A"/>
          <w:sz w:val="22"/>
          <w:szCs w:val="22"/>
        </w:rPr>
        <w:t>Качество услуг питания, оказываемых Исполнителем, должно соответствовать требованиям следующих нормативных и методических документов:</w:t>
      </w:r>
    </w:p>
    <w:p w14:paraId="3EFB631D" w14:textId="77777777" w:rsidR="00FA2145" w:rsidRPr="00FA2145" w:rsidRDefault="00FA2145" w:rsidP="00FA2145">
      <w:pPr>
        <w:jc w:val="both"/>
        <w:rPr>
          <w:color w:val="00000A"/>
          <w:sz w:val="22"/>
          <w:szCs w:val="22"/>
        </w:rPr>
      </w:pPr>
      <w:r w:rsidRPr="00FA2145">
        <w:rPr>
          <w:color w:val="00000A"/>
          <w:sz w:val="22"/>
          <w:szCs w:val="22"/>
        </w:rPr>
        <w:t>- Решение Комиссии Таможенного союза от 28.05.2010 № 299 "О применении санитарных мер в Евразийском экономическом союзе".</w:t>
      </w:r>
    </w:p>
    <w:p w14:paraId="4D161CA3" w14:textId="77777777" w:rsidR="00FA2145" w:rsidRPr="00FA2145" w:rsidRDefault="00FA2145" w:rsidP="00FA2145">
      <w:pPr>
        <w:jc w:val="both"/>
        <w:rPr>
          <w:color w:val="00000A"/>
          <w:sz w:val="22"/>
          <w:szCs w:val="22"/>
        </w:rPr>
      </w:pPr>
      <w:r w:rsidRPr="00FA2145">
        <w:rPr>
          <w:color w:val="00000A"/>
          <w:sz w:val="22"/>
          <w:szCs w:val="22"/>
        </w:rPr>
        <w:t>- Решение Комиссии Таможенного союза от 16.08.2011 № 769 "О принятии технического регламента Таможенного союза "О безопасности упаковки".</w:t>
      </w:r>
    </w:p>
    <w:p w14:paraId="64556F88" w14:textId="77777777" w:rsidR="00FA2145" w:rsidRPr="00FA2145" w:rsidRDefault="00FA2145" w:rsidP="00FA2145">
      <w:pPr>
        <w:jc w:val="both"/>
        <w:rPr>
          <w:color w:val="00000A"/>
          <w:sz w:val="22"/>
          <w:szCs w:val="22"/>
        </w:rPr>
      </w:pPr>
      <w:r w:rsidRPr="00FA2145">
        <w:rPr>
          <w:color w:val="00000A"/>
          <w:sz w:val="22"/>
          <w:szCs w:val="22"/>
        </w:rPr>
        <w:t>- Решение Комиссии Таможенного союза от 09.12.2011 № 880 "О принятии технического регламента Таможенного союза "О безопасности пищевой продукции".</w:t>
      </w:r>
    </w:p>
    <w:p w14:paraId="3CA497D6" w14:textId="77777777" w:rsidR="00FA2145" w:rsidRPr="00FA2145" w:rsidRDefault="00FA2145" w:rsidP="00FA2145">
      <w:pPr>
        <w:jc w:val="both"/>
        <w:rPr>
          <w:color w:val="00000A"/>
          <w:sz w:val="22"/>
          <w:szCs w:val="22"/>
        </w:rPr>
      </w:pPr>
      <w:r w:rsidRPr="00FA2145">
        <w:rPr>
          <w:color w:val="00000A"/>
          <w:sz w:val="22"/>
          <w:szCs w:val="22"/>
        </w:rPr>
        <w:t>- Решение Комиссии Таможенного союза от 09.12.2011 № 881 "О принятии технического регламента Таможенного союза "Пищевая продукция в части ее маркировки" (вместе с "ТР ТС 022/2011. Технический регламент Таможенного союза. Пищевая продукция в части ее маркировки").</w:t>
      </w:r>
    </w:p>
    <w:p w14:paraId="1161C802" w14:textId="77777777" w:rsidR="00FA2145" w:rsidRPr="00FA2145" w:rsidRDefault="00FA2145" w:rsidP="00FA2145">
      <w:pPr>
        <w:jc w:val="both"/>
        <w:rPr>
          <w:color w:val="00000A"/>
          <w:sz w:val="22"/>
          <w:szCs w:val="22"/>
        </w:rPr>
      </w:pPr>
      <w:r w:rsidRPr="00FA2145">
        <w:rPr>
          <w:color w:val="00000A"/>
          <w:sz w:val="22"/>
          <w:szCs w:val="22"/>
        </w:rPr>
        <w:t>- Решение Комиссии Таможенного союза от 09.12.2011 N 882 "О принятии технического регламента Таможенного союза "Технический регламент на соковую продукцию из фруктов и овощей". (Вместе с «ТР ТС 021/2011 Технический регламент Таможенного союза. О безопасности пищевой продукции.»)</w:t>
      </w:r>
    </w:p>
    <w:p w14:paraId="6F42B157" w14:textId="77777777" w:rsidR="00FA2145" w:rsidRPr="00FA2145" w:rsidRDefault="00FA2145" w:rsidP="00FA2145">
      <w:pPr>
        <w:jc w:val="both"/>
        <w:rPr>
          <w:color w:val="00000A"/>
          <w:sz w:val="22"/>
          <w:szCs w:val="22"/>
        </w:rPr>
      </w:pPr>
      <w:r w:rsidRPr="00FA2145">
        <w:rPr>
          <w:color w:val="00000A"/>
          <w:sz w:val="22"/>
          <w:szCs w:val="22"/>
        </w:rPr>
        <w:t>- Решение Комиссии Таможенного союза от 09.12.2011 N 883 "О принятии технического регламента Таможенного союза "Технический регламент на масложировую продукцию".</w:t>
      </w:r>
    </w:p>
    <w:p w14:paraId="6C9A54C8" w14:textId="77777777" w:rsidR="00FA2145" w:rsidRPr="00FA2145" w:rsidRDefault="00FA2145" w:rsidP="00FA2145">
      <w:pPr>
        <w:jc w:val="both"/>
        <w:rPr>
          <w:color w:val="00000A"/>
          <w:sz w:val="22"/>
          <w:szCs w:val="22"/>
        </w:rPr>
      </w:pPr>
      <w:r w:rsidRPr="00FA2145">
        <w:rPr>
          <w:color w:val="00000A"/>
          <w:sz w:val="22"/>
          <w:szCs w:val="22"/>
        </w:rPr>
        <w:t>- Решение Совета Евразийской экономической комиссии от 09.10.2013 N 67 "О техническом регламенте Таможенного союза "О безопасности молока и молочной продукции".</w:t>
      </w:r>
    </w:p>
    <w:p w14:paraId="77B3785C" w14:textId="77777777" w:rsidR="00FA2145" w:rsidRPr="00FA2145" w:rsidRDefault="00FA2145" w:rsidP="00FA2145">
      <w:pPr>
        <w:jc w:val="both"/>
        <w:rPr>
          <w:color w:val="00000A"/>
          <w:sz w:val="22"/>
          <w:szCs w:val="22"/>
        </w:rPr>
      </w:pPr>
      <w:r w:rsidRPr="00FA2145">
        <w:rPr>
          <w:color w:val="00000A"/>
          <w:sz w:val="22"/>
          <w:szCs w:val="22"/>
        </w:rPr>
        <w:t>- Решение Совета Евразийской экономической комиссии от 09.10.2013 N 68 "О техническом регламенте Таможенного союза "О безопасности мяса и мясной продукции".</w:t>
      </w:r>
    </w:p>
    <w:p w14:paraId="3B1D5D6E" w14:textId="77777777" w:rsidR="00FA2145" w:rsidRPr="00FA2145" w:rsidRDefault="00FA2145" w:rsidP="00FA2145">
      <w:pPr>
        <w:jc w:val="both"/>
        <w:rPr>
          <w:color w:val="00000A"/>
          <w:sz w:val="22"/>
          <w:szCs w:val="22"/>
        </w:rPr>
      </w:pPr>
      <w:r w:rsidRPr="00FA2145">
        <w:rPr>
          <w:color w:val="00000A"/>
          <w:sz w:val="22"/>
          <w:szCs w:val="22"/>
        </w:rPr>
        <w:t>- Решение Совета Евразийской экономической комиссии от 18.10.2016 N 162 "О техническом регламенте Евразийского экономического союза "О безопасности рыбы и рыбной продукции"</w:t>
      </w:r>
    </w:p>
    <w:p w14:paraId="7096101D" w14:textId="77777777" w:rsidR="00FA2145" w:rsidRPr="00FA2145" w:rsidRDefault="00FA2145" w:rsidP="00FA2145">
      <w:pPr>
        <w:jc w:val="both"/>
        <w:rPr>
          <w:color w:val="00000A"/>
          <w:sz w:val="22"/>
          <w:szCs w:val="22"/>
        </w:rPr>
      </w:pPr>
      <w:r w:rsidRPr="00FA2145">
        <w:rPr>
          <w:color w:val="00000A"/>
          <w:sz w:val="22"/>
          <w:szCs w:val="22"/>
        </w:rPr>
        <w:t>- ТР ТС 022/2011 «Пищевая продукция в части ее маркировки»;</w:t>
      </w:r>
    </w:p>
    <w:p w14:paraId="47F5097E" w14:textId="77777777" w:rsidR="00FA2145" w:rsidRPr="00FA2145" w:rsidRDefault="00FA2145" w:rsidP="00FA2145">
      <w:pPr>
        <w:jc w:val="both"/>
        <w:rPr>
          <w:color w:val="00000A"/>
          <w:sz w:val="22"/>
          <w:szCs w:val="22"/>
        </w:rPr>
      </w:pPr>
      <w:r w:rsidRPr="00FA2145">
        <w:rPr>
          <w:color w:val="00000A"/>
          <w:sz w:val="22"/>
          <w:szCs w:val="22"/>
        </w:rPr>
        <w:t>- ТР ТС 005/2011 «О безопасности упаковки»;</w:t>
      </w:r>
    </w:p>
    <w:p w14:paraId="1E7A026A" w14:textId="77777777" w:rsidR="00FA2145" w:rsidRPr="00FA2145" w:rsidRDefault="00FA2145" w:rsidP="00FA2145">
      <w:pPr>
        <w:jc w:val="both"/>
        <w:rPr>
          <w:color w:val="00000A"/>
          <w:sz w:val="22"/>
          <w:szCs w:val="22"/>
        </w:rPr>
      </w:pPr>
      <w:r w:rsidRPr="00FA2145">
        <w:rPr>
          <w:color w:val="00000A"/>
          <w:sz w:val="22"/>
          <w:szCs w:val="22"/>
        </w:rPr>
        <w:t>- ТР ТС 007/2011 «О безопасности продукции, предназначенной для детей и подростков»;</w:t>
      </w:r>
    </w:p>
    <w:p w14:paraId="49BB559A" w14:textId="77777777" w:rsidR="00FA2145" w:rsidRPr="00FA2145" w:rsidRDefault="00FA2145" w:rsidP="00FA2145">
      <w:pPr>
        <w:jc w:val="both"/>
        <w:rPr>
          <w:color w:val="00000A"/>
          <w:sz w:val="22"/>
          <w:szCs w:val="22"/>
        </w:rPr>
      </w:pPr>
      <w:r w:rsidRPr="00FA2145">
        <w:rPr>
          <w:color w:val="00000A"/>
          <w:sz w:val="22"/>
          <w:szCs w:val="22"/>
        </w:rPr>
        <w:t xml:space="preserve">- Постановление Правительства РФ от 21.09.2020 N 1515 "Об утверждении Правил оказания услуг </w:t>
      </w:r>
      <w:r w:rsidRPr="00FA2145">
        <w:rPr>
          <w:color w:val="00000A"/>
          <w:sz w:val="22"/>
          <w:szCs w:val="22"/>
        </w:rPr>
        <w:lastRenderedPageBreak/>
        <w:t>общественного питания".</w:t>
      </w:r>
    </w:p>
    <w:p w14:paraId="32CFDE85" w14:textId="77777777" w:rsidR="00FA2145" w:rsidRPr="00FA2145" w:rsidRDefault="00FA2145" w:rsidP="00FA2145">
      <w:pPr>
        <w:jc w:val="both"/>
        <w:rPr>
          <w:color w:val="00000A"/>
          <w:sz w:val="22"/>
          <w:szCs w:val="22"/>
        </w:rPr>
      </w:pPr>
      <w:r w:rsidRPr="00FA2145">
        <w:rPr>
          <w:color w:val="00000A"/>
          <w:sz w:val="22"/>
          <w:szCs w:val="22"/>
        </w:rPr>
        <w:t>- ТР ТС 029/2012 «Требования безопасности пищевых добавок, ароматизаторов и технологических вспомогательных средств»;</w:t>
      </w:r>
    </w:p>
    <w:p w14:paraId="6B986B88" w14:textId="77777777" w:rsidR="00FA2145" w:rsidRPr="00FA2145" w:rsidRDefault="00FA2145" w:rsidP="00FA2145">
      <w:pPr>
        <w:jc w:val="both"/>
        <w:rPr>
          <w:color w:val="00000A"/>
          <w:sz w:val="22"/>
          <w:szCs w:val="22"/>
        </w:rPr>
      </w:pPr>
      <w:r w:rsidRPr="00FA2145">
        <w:rPr>
          <w:color w:val="00000A"/>
          <w:sz w:val="22"/>
          <w:szCs w:val="22"/>
        </w:rPr>
        <w:t>- ТР ТС 024/2011 «Технический регламент на масложировую продукцию»;</w:t>
      </w:r>
    </w:p>
    <w:p w14:paraId="51622ABB" w14:textId="77777777" w:rsidR="00FA2145" w:rsidRPr="00FA2145" w:rsidRDefault="00FA2145" w:rsidP="00FA2145">
      <w:pPr>
        <w:jc w:val="both"/>
        <w:rPr>
          <w:color w:val="00000A"/>
          <w:sz w:val="22"/>
          <w:szCs w:val="22"/>
        </w:rPr>
      </w:pPr>
      <w:r w:rsidRPr="00FA2145">
        <w:rPr>
          <w:color w:val="00000A"/>
          <w:sz w:val="22"/>
          <w:szCs w:val="22"/>
        </w:rPr>
        <w:t>- ТР ТС 023/2011 «Технический регламент на соковую продукцию из фруктов и овощей»;</w:t>
      </w:r>
    </w:p>
    <w:p w14:paraId="3E0E182F" w14:textId="77777777" w:rsidR="00FA2145" w:rsidRPr="00FA2145" w:rsidRDefault="00FA2145" w:rsidP="00FA2145">
      <w:pPr>
        <w:jc w:val="both"/>
        <w:rPr>
          <w:color w:val="00000A"/>
          <w:sz w:val="22"/>
          <w:szCs w:val="22"/>
        </w:rPr>
      </w:pPr>
      <w:r w:rsidRPr="00FA2145">
        <w:rPr>
          <w:color w:val="00000A"/>
          <w:sz w:val="22"/>
          <w:szCs w:val="22"/>
        </w:rPr>
        <w:t xml:space="preserve">- ТР ТС 034/2013 «О безопасности мяса и мясной продукции»; </w:t>
      </w:r>
    </w:p>
    <w:p w14:paraId="3DC28B28" w14:textId="77777777" w:rsidR="00FA2145" w:rsidRPr="00FA2145" w:rsidRDefault="00FA2145" w:rsidP="00FA2145">
      <w:pPr>
        <w:jc w:val="both"/>
        <w:rPr>
          <w:color w:val="00000A"/>
          <w:sz w:val="22"/>
          <w:szCs w:val="22"/>
        </w:rPr>
      </w:pPr>
      <w:r w:rsidRPr="00FA2145">
        <w:rPr>
          <w:color w:val="00000A"/>
          <w:sz w:val="22"/>
          <w:szCs w:val="22"/>
        </w:rPr>
        <w:t>- ТР ТС 033/2013 «О безопасности молока и молочной продукции»;</w:t>
      </w:r>
    </w:p>
    <w:p w14:paraId="6B614D54" w14:textId="77777777" w:rsidR="00FA2145" w:rsidRPr="00FA2145" w:rsidRDefault="00FA2145" w:rsidP="00FA2145">
      <w:pPr>
        <w:jc w:val="both"/>
        <w:rPr>
          <w:color w:val="00000A"/>
          <w:sz w:val="22"/>
          <w:szCs w:val="22"/>
        </w:rPr>
      </w:pPr>
      <w:r w:rsidRPr="00FA2145">
        <w:rPr>
          <w:color w:val="00000A"/>
          <w:sz w:val="22"/>
          <w:szCs w:val="22"/>
        </w:rPr>
        <w:t>- ТР ЕАЭС 040/2016 «Технический регламент Евразийского экономического союза. О безопасности рыбы и рыбной продукции»</w:t>
      </w:r>
    </w:p>
    <w:p w14:paraId="0EE07A84" w14:textId="77777777" w:rsidR="00FA2145" w:rsidRPr="00FA2145" w:rsidRDefault="00FA2145" w:rsidP="00FA2145">
      <w:pPr>
        <w:jc w:val="both"/>
        <w:rPr>
          <w:color w:val="00000A"/>
          <w:sz w:val="22"/>
          <w:szCs w:val="22"/>
        </w:rPr>
      </w:pPr>
      <w:r w:rsidRPr="00FA2145">
        <w:rPr>
          <w:color w:val="00000A"/>
          <w:sz w:val="22"/>
          <w:szCs w:val="22"/>
        </w:rPr>
        <w:t>- "ГОСТ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N 401-ст).</w:t>
      </w:r>
    </w:p>
    <w:p w14:paraId="54C8DC1D" w14:textId="77777777" w:rsidR="00FA2145" w:rsidRPr="00FA2145" w:rsidRDefault="00FA2145" w:rsidP="00FA2145">
      <w:pPr>
        <w:jc w:val="both"/>
        <w:rPr>
          <w:color w:val="00000A"/>
          <w:sz w:val="22"/>
          <w:szCs w:val="22"/>
        </w:rPr>
      </w:pPr>
      <w:r w:rsidRPr="00FA2145">
        <w:rPr>
          <w:color w:val="00000A"/>
          <w:sz w:val="22"/>
          <w:szCs w:val="22"/>
        </w:rPr>
        <w:t>- Федеральный закон от 02.01.2000 г. № 29-ФЗ «О качестве и безопасности пищевых продуктов»;</w:t>
      </w:r>
    </w:p>
    <w:p w14:paraId="38B12D49" w14:textId="77777777" w:rsidR="00FA2145" w:rsidRPr="00FA2145" w:rsidRDefault="00FA2145" w:rsidP="00FA2145">
      <w:pPr>
        <w:jc w:val="both"/>
        <w:rPr>
          <w:color w:val="00000A"/>
          <w:sz w:val="22"/>
          <w:szCs w:val="22"/>
        </w:rPr>
      </w:pPr>
      <w:r w:rsidRPr="00FA2145">
        <w:rPr>
          <w:color w:val="00000A"/>
          <w:sz w:val="22"/>
          <w:szCs w:val="22"/>
        </w:rPr>
        <w:t>- Федеральный закон от 30.03.1999 г. № 52-ФЗ «О санитарно-эпидемиологическом благополучии населения»;</w:t>
      </w:r>
    </w:p>
    <w:p w14:paraId="002320D1" w14:textId="77777777" w:rsidR="00FA2145" w:rsidRPr="00FA2145" w:rsidRDefault="00FA2145" w:rsidP="00FA2145">
      <w:pPr>
        <w:jc w:val="both"/>
        <w:rPr>
          <w:color w:val="00000A"/>
          <w:sz w:val="22"/>
          <w:szCs w:val="22"/>
        </w:rPr>
      </w:pPr>
      <w:r w:rsidRPr="00FA2145">
        <w:rPr>
          <w:color w:val="00000A"/>
          <w:sz w:val="22"/>
          <w:szCs w:val="22"/>
        </w:rPr>
        <w:t>- СанПиН 2.3/2.4.3590-20 "Санитарно-эпидемиологические требования к организации общественного питания населения"</w:t>
      </w:r>
    </w:p>
    <w:p w14:paraId="5EAE967D" w14:textId="77777777" w:rsidR="00FA2145" w:rsidRPr="00FA2145" w:rsidRDefault="00FA2145" w:rsidP="00FA2145">
      <w:pPr>
        <w:jc w:val="both"/>
        <w:rPr>
          <w:color w:val="00000A"/>
          <w:sz w:val="22"/>
          <w:szCs w:val="22"/>
        </w:rPr>
      </w:pPr>
      <w:r w:rsidRPr="00FA2145">
        <w:rPr>
          <w:color w:val="00000A"/>
          <w:sz w:val="22"/>
          <w:szCs w:val="22"/>
        </w:rPr>
        <w:t xml:space="preserve">- СанПиН 2.3.2.1324-03 «Гигиенические требования к срокам годности и условиям хранения пищевых продуктов»; </w:t>
      </w:r>
    </w:p>
    <w:p w14:paraId="6AD02BD3" w14:textId="77777777" w:rsidR="00FA2145" w:rsidRPr="00FA2145" w:rsidRDefault="00FA2145" w:rsidP="00FA2145">
      <w:pPr>
        <w:jc w:val="both"/>
        <w:rPr>
          <w:color w:val="00000A"/>
          <w:sz w:val="22"/>
          <w:szCs w:val="22"/>
        </w:rPr>
      </w:pPr>
      <w:r w:rsidRPr="00FA2145">
        <w:rPr>
          <w:color w:val="00000A"/>
          <w:sz w:val="22"/>
          <w:szCs w:val="22"/>
        </w:rPr>
        <w:t>- СП 2.4.3648-20 «Санитарно-эпидемиологические требования к организациям воспитания и обучения, отдыха и оздоровления детей и молодежи»;</w:t>
      </w:r>
    </w:p>
    <w:p w14:paraId="4F2E33E3" w14:textId="77777777" w:rsidR="00FA2145" w:rsidRPr="00FA2145" w:rsidRDefault="00FA2145" w:rsidP="00FA2145">
      <w:pPr>
        <w:jc w:val="both"/>
        <w:rPr>
          <w:color w:val="00000A"/>
          <w:sz w:val="22"/>
          <w:szCs w:val="22"/>
        </w:rPr>
      </w:pPr>
      <w:r w:rsidRPr="00FA2145">
        <w:rPr>
          <w:color w:val="00000A"/>
          <w:sz w:val="22"/>
          <w:szCs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7A3891B" w14:textId="77777777" w:rsidR="00FA2145" w:rsidRPr="00FA2145" w:rsidRDefault="00FA2145" w:rsidP="00FA2145">
      <w:pPr>
        <w:jc w:val="both"/>
        <w:rPr>
          <w:color w:val="00000A"/>
          <w:sz w:val="22"/>
          <w:szCs w:val="22"/>
        </w:rPr>
      </w:pPr>
      <w:r w:rsidRPr="00FA2145">
        <w:rPr>
          <w:color w:val="00000A"/>
          <w:sz w:val="22"/>
          <w:szCs w:val="22"/>
        </w:rPr>
        <w:t>- "ГОСТ Р 54607.2-2012. Национальный стандарт Российской Федерации. Услуги общественного питания. Методы лабораторного контроля продукции общественного питания. Часть 2. Методы физико-химических испытаний" (утв. и введен в действие Приказом Росстандарта от 29.11.2012 N 1598-ст).</w:t>
      </w:r>
    </w:p>
    <w:p w14:paraId="67CFB1B0" w14:textId="77777777" w:rsidR="00FA2145" w:rsidRPr="00FA2145" w:rsidRDefault="00FA2145" w:rsidP="00FA2145">
      <w:pPr>
        <w:jc w:val="both"/>
        <w:rPr>
          <w:color w:val="00000A"/>
          <w:sz w:val="22"/>
          <w:szCs w:val="22"/>
        </w:rPr>
      </w:pPr>
      <w:r w:rsidRPr="00FA2145">
        <w:rPr>
          <w:color w:val="00000A"/>
          <w:sz w:val="22"/>
          <w:szCs w:val="22"/>
        </w:rPr>
        <w:t>-"ГОСТ 31985-2013. Межгосударственный стандарт. Услуги общественного питания. Термины и определения" (введен в действие Приказом Росстандарта от 27.06.2013 N 191-ст).</w:t>
      </w:r>
    </w:p>
    <w:p w14:paraId="25E0A7D2" w14:textId="77777777" w:rsidR="00FA2145" w:rsidRPr="00FA2145" w:rsidRDefault="00FA2145" w:rsidP="00FA2145">
      <w:pPr>
        <w:jc w:val="both"/>
        <w:rPr>
          <w:color w:val="00000A"/>
          <w:sz w:val="22"/>
          <w:szCs w:val="22"/>
        </w:rPr>
      </w:pPr>
      <w:r w:rsidRPr="00FA2145">
        <w:rPr>
          <w:color w:val="00000A"/>
          <w:sz w:val="22"/>
          <w:szCs w:val="22"/>
        </w:rPr>
        <w:t>- "ГОСТ 31984-2012. Межгосударственный стандарт. Услуги общественного питания. Общие требования" (введен в действие Приказом Росстандарта от 27.06.2013 N 192-ст).</w:t>
      </w:r>
    </w:p>
    <w:p w14:paraId="3692F8EF" w14:textId="77777777" w:rsidR="00FA2145" w:rsidRPr="00FA2145" w:rsidRDefault="00FA2145" w:rsidP="00FA2145">
      <w:pPr>
        <w:jc w:val="both"/>
        <w:rPr>
          <w:color w:val="00000A"/>
          <w:sz w:val="22"/>
          <w:szCs w:val="22"/>
        </w:rPr>
      </w:pPr>
      <w:r w:rsidRPr="00FA2145">
        <w:rPr>
          <w:color w:val="00000A"/>
          <w:sz w:val="22"/>
          <w:szCs w:val="22"/>
        </w:rPr>
        <w:t>- "ГОСТ 31989-2012. Межгосударственный стандарт. Услуги общественного питания. Общие требования к заготовочным предприятиям общественного питания" (введен в действие Приказом Росстандарта от 27.06.2013 N 193-ст).</w:t>
      </w:r>
    </w:p>
    <w:p w14:paraId="3F64B3E7" w14:textId="77777777" w:rsidR="00FA2145" w:rsidRPr="00FA2145" w:rsidRDefault="00FA2145" w:rsidP="00FA2145">
      <w:pPr>
        <w:jc w:val="both"/>
        <w:rPr>
          <w:color w:val="00000A"/>
          <w:sz w:val="22"/>
          <w:szCs w:val="22"/>
        </w:rPr>
      </w:pPr>
      <w:r w:rsidRPr="00FA2145">
        <w:rPr>
          <w:color w:val="00000A"/>
          <w:sz w:val="22"/>
          <w:szCs w:val="22"/>
        </w:rPr>
        <w:t>- "ГОСТ 31987-2012. Межгосударственный стандарт.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(введен в действие Приказом Росстандарта от 27.06.2013 N 195-ст).</w:t>
      </w:r>
    </w:p>
    <w:p w14:paraId="15567EE9" w14:textId="77777777" w:rsidR="00FA2145" w:rsidRPr="00FA2145" w:rsidRDefault="00FA2145" w:rsidP="00FA2145">
      <w:pPr>
        <w:jc w:val="both"/>
        <w:rPr>
          <w:color w:val="00000A"/>
          <w:sz w:val="22"/>
          <w:szCs w:val="22"/>
        </w:rPr>
      </w:pPr>
      <w:r w:rsidRPr="00FA2145">
        <w:rPr>
          <w:color w:val="00000A"/>
          <w:sz w:val="22"/>
          <w:szCs w:val="22"/>
        </w:rPr>
        <w:t>- "ГОСТ 31986-2012. Межгосударственный стандарт. Услуги общественного питания. Метод органолептической оценки качества продукции общественного питания" (введен в действие Приказом Росстандарта от 27.06.2013 N 196-ст).</w:t>
      </w:r>
    </w:p>
    <w:p w14:paraId="324F69E4" w14:textId="77777777" w:rsidR="00FA2145" w:rsidRPr="00FA2145" w:rsidRDefault="00FA2145" w:rsidP="00FA2145">
      <w:pPr>
        <w:jc w:val="both"/>
        <w:rPr>
          <w:color w:val="00000A"/>
          <w:sz w:val="22"/>
          <w:szCs w:val="22"/>
        </w:rPr>
      </w:pPr>
      <w:r w:rsidRPr="00FA2145">
        <w:rPr>
          <w:color w:val="00000A"/>
          <w:sz w:val="22"/>
          <w:szCs w:val="22"/>
        </w:rPr>
        <w:t>- "ГОСТ 30524-2013. Межгосударственный стандарт. Услуги общественного питания. Требования к персоналу".</w:t>
      </w:r>
    </w:p>
    <w:p w14:paraId="2B9E20FA" w14:textId="77777777" w:rsidR="00FA2145" w:rsidRPr="00FA2145" w:rsidRDefault="00FA2145" w:rsidP="00FA2145">
      <w:pPr>
        <w:jc w:val="both"/>
        <w:rPr>
          <w:color w:val="00000A"/>
          <w:sz w:val="22"/>
          <w:szCs w:val="22"/>
        </w:rPr>
      </w:pPr>
      <w:r w:rsidRPr="00FA2145">
        <w:rPr>
          <w:color w:val="00000A"/>
          <w:sz w:val="22"/>
          <w:szCs w:val="22"/>
        </w:rPr>
        <w:t>-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14:paraId="6C63E5CB" w14:textId="77777777" w:rsidR="00FA2145" w:rsidRPr="00FA2145" w:rsidRDefault="00FA2145" w:rsidP="00FA2145">
      <w:pPr>
        <w:jc w:val="both"/>
        <w:rPr>
          <w:color w:val="00000A"/>
          <w:sz w:val="22"/>
          <w:szCs w:val="22"/>
        </w:rPr>
      </w:pPr>
      <w:r w:rsidRPr="00FA2145">
        <w:rPr>
          <w:color w:val="00000A"/>
          <w:sz w:val="22"/>
          <w:szCs w:val="22"/>
        </w:rPr>
        <w:t>- "ГОСТ 30389-2013. Межгосударственный стандарт. Услуги общественного питания. Предприятия общественного питания. Классификация и общие требования".</w:t>
      </w:r>
    </w:p>
    <w:p w14:paraId="3C29BE6D" w14:textId="77777777" w:rsidR="00FA2145" w:rsidRPr="00FA2145" w:rsidRDefault="00FA2145" w:rsidP="00FA2145">
      <w:pPr>
        <w:jc w:val="both"/>
        <w:rPr>
          <w:b/>
          <w:bCs/>
          <w:color w:val="00000A"/>
          <w:sz w:val="22"/>
          <w:szCs w:val="22"/>
        </w:rPr>
      </w:pPr>
      <w:r w:rsidRPr="00FA2145">
        <w:rPr>
          <w:b/>
          <w:bCs/>
          <w:color w:val="00000A"/>
          <w:sz w:val="22"/>
          <w:szCs w:val="22"/>
        </w:rPr>
        <w:t>5. Требования к организации питания</w:t>
      </w:r>
    </w:p>
    <w:p w14:paraId="287B2B9F" w14:textId="77777777" w:rsidR="00FA2145" w:rsidRPr="00FA2145" w:rsidRDefault="00FA2145" w:rsidP="00FA2145">
      <w:pPr>
        <w:jc w:val="both"/>
        <w:rPr>
          <w:color w:val="00000A"/>
          <w:sz w:val="22"/>
          <w:szCs w:val="22"/>
        </w:rPr>
      </w:pPr>
      <w:r w:rsidRPr="00FA2145">
        <w:rPr>
          <w:color w:val="00000A"/>
          <w:sz w:val="22"/>
          <w:szCs w:val="22"/>
          <w:highlight w:val="yellow"/>
        </w:rPr>
        <w:t>1) Организация горячего питания осуществляется посредством реализации основного (организованного) меню, согласно 10-ти или 12-ти дневному меню.</w:t>
      </w:r>
    </w:p>
    <w:p w14:paraId="18454C4E" w14:textId="77777777" w:rsidR="00FA2145" w:rsidRPr="00FA2145" w:rsidRDefault="00FA2145" w:rsidP="00FA2145">
      <w:pPr>
        <w:jc w:val="both"/>
        <w:rPr>
          <w:color w:val="00000A"/>
          <w:sz w:val="22"/>
          <w:szCs w:val="22"/>
        </w:rPr>
      </w:pPr>
      <w:r w:rsidRPr="00FA2145">
        <w:rPr>
          <w:color w:val="00000A"/>
          <w:sz w:val="22"/>
          <w:szCs w:val="22"/>
        </w:rPr>
        <w:t>Исполнитель обязан предоставить данное меню к моменту заключения договора, согласовав его с руководителем Учреждения.</w:t>
      </w:r>
    </w:p>
    <w:p w14:paraId="358D0223" w14:textId="77777777" w:rsidR="00FA2145" w:rsidRPr="00FA2145" w:rsidRDefault="00FA2145" w:rsidP="00FA2145">
      <w:pPr>
        <w:jc w:val="both"/>
        <w:rPr>
          <w:color w:val="00000A"/>
          <w:sz w:val="22"/>
          <w:szCs w:val="22"/>
        </w:rPr>
      </w:pPr>
      <w:r w:rsidRPr="00FA2145">
        <w:rPr>
          <w:color w:val="00000A"/>
          <w:sz w:val="22"/>
          <w:szCs w:val="22"/>
        </w:rPr>
        <w:t xml:space="preserve">В меню должны быть соблюдены требования по массе порций блюд, их пищевой и энергетической ценности, другие требования, предусмотренные СанПиН 2.3/2.4.3590-20 "Санитарно-эпидемиологические требования к организации общественного питания населения". </w:t>
      </w:r>
    </w:p>
    <w:p w14:paraId="7D97BC39" w14:textId="77777777" w:rsidR="00FA2145" w:rsidRPr="00FA2145" w:rsidRDefault="00FA2145" w:rsidP="00FA2145">
      <w:pPr>
        <w:jc w:val="both"/>
        <w:rPr>
          <w:color w:val="00000A"/>
          <w:sz w:val="22"/>
          <w:szCs w:val="22"/>
        </w:rPr>
      </w:pPr>
      <w:r w:rsidRPr="00FA2145">
        <w:rPr>
          <w:color w:val="00000A"/>
          <w:sz w:val="22"/>
          <w:szCs w:val="22"/>
        </w:rPr>
        <w:t xml:space="preserve">2) В случае необходимости доставки продукции, используемой для оказания услуг, на объект Заказчика услуг должны использоваться специализированные </w:t>
      </w:r>
      <w:proofErr w:type="spellStart"/>
      <w:r w:rsidRPr="00FA2145">
        <w:rPr>
          <w:color w:val="00000A"/>
          <w:sz w:val="22"/>
          <w:szCs w:val="22"/>
        </w:rPr>
        <w:t>термоконтейнеры</w:t>
      </w:r>
      <w:proofErr w:type="spellEnd"/>
      <w:r w:rsidRPr="00FA2145">
        <w:rPr>
          <w:color w:val="00000A"/>
          <w:sz w:val="22"/>
          <w:szCs w:val="22"/>
        </w:rPr>
        <w:t xml:space="preserve"> (изотермические емкости), обеспечивающие сохранение температуры, соответствующей температуре раздаче (исключающие необходимость подогрева или дополнительного охлаждения).</w:t>
      </w:r>
    </w:p>
    <w:p w14:paraId="411CC9CC" w14:textId="77777777" w:rsidR="00FA2145" w:rsidRPr="00FA2145" w:rsidRDefault="00FA2145" w:rsidP="00FA2145">
      <w:pPr>
        <w:jc w:val="both"/>
        <w:rPr>
          <w:color w:val="00000A"/>
          <w:sz w:val="22"/>
          <w:szCs w:val="22"/>
        </w:rPr>
      </w:pPr>
      <w:r w:rsidRPr="00FA2145">
        <w:rPr>
          <w:color w:val="00000A"/>
          <w:sz w:val="22"/>
          <w:szCs w:val="22"/>
        </w:rPr>
        <w:lastRenderedPageBreak/>
        <w:t>Доставка и промежуточное хранение пищевых продуктов и готовой продукции должны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или изотермического транспорта, обеспечивающего необходимые температурные режимы транспортировки.</w:t>
      </w:r>
    </w:p>
    <w:p w14:paraId="087670F4" w14:textId="77777777" w:rsidR="00FA2145" w:rsidRPr="00FA2145" w:rsidRDefault="00FA2145" w:rsidP="00FA2145">
      <w:pPr>
        <w:jc w:val="both"/>
        <w:rPr>
          <w:color w:val="00000A"/>
          <w:sz w:val="22"/>
          <w:szCs w:val="22"/>
        </w:rPr>
      </w:pPr>
      <w:r w:rsidRPr="00FA2145">
        <w:rPr>
          <w:color w:val="00000A"/>
          <w:sz w:val="22"/>
          <w:szCs w:val="22"/>
        </w:rPr>
        <w:t xml:space="preserve">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с соблюдением санитарно-эпидемиологических правил и нормативов. </w:t>
      </w:r>
    </w:p>
    <w:p w14:paraId="42D7EBF3" w14:textId="77777777" w:rsidR="00FA2145" w:rsidRPr="00FA2145" w:rsidRDefault="00FA2145" w:rsidP="00FA2145">
      <w:pPr>
        <w:jc w:val="both"/>
        <w:rPr>
          <w:color w:val="00000A"/>
          <w:sz w:val="22"/>
          <w:szCs w:val="22"/>
        </w:rPr>
      </w:pPr>
      <w:r w:rsidRPr="00FA2145">
        <w:rPr>
          <w:color w:val="00000A"/>
          <w:sz w:val="22"/>
          <w:szCs w:val="22"/>
        </w:rPr>
        <w:t>Исполнитель несет ответственность за состояние транспорта и работу водителя-экспедитора и соблюдения им санитарно-эпидемиологических правил и нормативов.</w:t>
      </w:r>
    </w:p>
    <w:p w14:paraId="7083A2AA" w14:textId="77777777" w:rsidR="00FA2145" w:rsidRPr="00FA2145" w:rsidRDefault="00FA2145" w:rsidP="00FA2145">
      <w:pPr>
        <w:jc w:val="both"/>
        <w:rPr>
          <w:color w:val="00000A"/>
          <w:sz w:val="22"/>
          <w:szCs w:val="22"/>
        </w:rPr>
      </w:pPr>
      <w:r w:rsidRPr="00FA2145">
        <w:rPr>
          <w:color w:val="00000A"/>
          <w:sz w:val="22"/>
          <w:szCs w:val="22"/>
        </w:rPr>
        <w:t>3) Исполнитель обязан соблюдать сроки годности, температурно-влажностные режимы и условия хранения пищевых продуктов и готовой продукции, установленные изготовителем и соответствующие требованиям нормативных документов в том числе скоропортящейся и особо скоропортящейся, а также готовой кулинарной продукции и полуфабрикатов.</w:t>
      </w:r>
    </w:p>
    <w:p w14:paraId="0504485A" w14:textId="77777777" w:rsidR="00FA2145" w:rsidRPr="00FA2145" w:rsidRDefault="00FA2145" w:rsidP="00FA2145">
      <w:pPr>
        <w:jc w:val="both"/>
        <w:rPr>
          <w:color w:val="00000A"/>
          <w:sz w:val="22"/>
          <w:szCs w:val="22"/>
        </w:rPr>
      </w:pPr>
      <w:r w:rsidRPr="00FA2145">
        <w:rPr>
          <w:color w:val="00000A"/>
          <w:sz w:val="22"/>
          <w:szCs w:val="22"/>
        </w:rPr>
        <w:t>4) Строгое соблюдение условий и технологии приготовления блюд в соответствии с нормативными документами.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w:t>
      </w:r>
    </w:p>
    <w:p w14:paraId="10584A16" w14:textId="77777777" w:rsidR="00FA2145" w:rsidRPr="00FA2145" w:rsidRDefault="00FA2145" w:rsidP="00FA2145">
      <w:pPr>
        <w:jc w:val="both"/>
        <w:rPr>
          <w:color w:val="00000A"/>
          <w:sz w:val="22"/>
          <w:szCs w:val="22"/>
        </w:rPr>
      </w:pPr>
    </w:p>
    <w:p w14:paraId="261EF9F9" w14:textId="77777777" w:rsidR="00FA2145" w:rsidRPr="00FA2145" w:rsidRDefault="00FA2145" w:rsidP="00FA2145">
      <w:pPr>
        <w:jc w:val="both"/>
        <w:rPr>
          <w:b/>
          <w:bCs/>
          <w:color w:val="00000A"/>
          <w:sz w:val="22"/>
          <w:szCs w:val="22"/>
        </w:rPr>
      </w:pPr>
      <w:r w:rsidRPr="00FA2145">
        <w:rPr>
          <w:b/>
          <w:bCs/>
          <w:color w:val="00000A"/>
          <w:sz w:val="22"/>
          <w:szCs w:val="22"/>
        </w:rPr>
        <w:t>6. Требования к персоналу</w:t>
      </w:r>
    </w:p>
    <w:p w14:paraId="0D687FFB" w14:textId="77777777" w:rsidR="00FA2145" w:rsidRPr="00FA2145" w:rsidRDefault="00FA2145" w:rsidP="00FA2145">
      <w:pPr>
        <w:jc w:val="both"/>
        <w:rPr>
          <w:color w:val="00000A"/>
          <w:sz w:val="22"/>
          <w:szCs w:val="22"/>
        </w:rPr>
      </w:pPr>
      <w:r w:rsidRPr="00FA2145">
        <w:rPr>
          <w:color w:val="00000A"/>
          <w:sz w:val="22"/>
          <w:szCs w:val="22"/>
        </w:rPr>
        <w:t xml:space="preserve">Допуск к работе лиц, имеющих соответствующую профессиональную квалификацию, прошедших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Работники должны иметь личную медицинскую книжку установленного образца, в которую вносятся результаты медицинских обследований, сведения о перенесенных инфекционных заболеваниях, отметка о прохождении профессиональной и гигиенической подготовки и аттестации. </w:t>
      </w:r>
    </w:p>
    <w:p w14:paraId="7D026E56" w14:textId="77777777" w:rsidR="00FA2145" w:rsidRPr="00FA2145" w:rsidRDefault="00FA2145" w:rsidP="00FA2145">
      <w:pPr>
        <w:jc w:val="both"/>
        <w:rPr>
          <w:color w:val="00000A"/>
          <w:sz w:val="22"/>
          <w:szCs w:val="22"/>
        </w:rPr>
      </w:pPr>
      <w:r w:rsidRPr="00FA2145">
        <w:rPr>
          <w:color w:val="00000A"/>
          <w:sz w:val="22"/>
          <w:szCs w:val="22"/>
        </w:rPr>
        <w:t>Обеспечение своевременного и обязательного прохождения работниками пищеблока медицинских и профилактических осмотров.</w:t>
      </w:r>
    </w:p>
    <w:p w14:paraId="614FD53F" w14:textId="77777777" w:rsidR="00FA2145" w:rsidRPr="00FA2145" w:rsidRDefault="00FA2145" w:rsidP="00FA2145">
      <w:pPr>
        <w:jc w:val="both"/>
        <w:rPr>
          <w:color w:val="00000A"/>
          <w:sz w:val="22"/>
          <w:szCs w:val="22"/>
        </w:rPr>
      </w:pPr>
    </w:p>
    <w:p w14:paraId="4EB4C367" w14:textId="77777777" w:rsidR="00FA2145" w:rsidRPr="00FA2145" w:rsidRDefault="00FA2145" w:rsidP="00FA2145">
      <w:pPr>
        <w:jc w:val="both"/>
        <w:rPr>
          <w:b/>
          <w:bCs/>
          <w:color w:val="00000A"/>
          <w:sz w:val="22"/>
          <w:szCs w:val="22"/>
          <w:highlight w:val="green"/>
        </w:rPr>
      </w:pPr>
      <w:r w:rsidRPr="00FA2145">
        <w:rPr>
          <w:b/>
          <w:bCs/>
          <w:color w:val="00000A"/>
          <w:sz w:val="22"/>
          <w:szCs w:val="22"/>
          <w:highlight w:val="green"/>
        </w:rPr>
        <w:t>7. Передача имущества в рамках исполнения обязательств</w:t>
      </w:r>
    </w:p>
    <w:p w14:paraId="07B92761" w14:textId="77777777" w:rsidR="00FA2145" w:rsidRPr="00FA2145" w:rsidRDefault="00FA2145" w:rsidP="00FA2145">
      <w:pPr>
        <w:jc w:val="both"/>
        <w:rPr>
          <w:color w:val="00000A"/>
          <w:sz w:val="22"/>
          <w:szCs w:val="22"/>
        </w:rPr>
      </w:pPr>
      <w:r w:rsidRPr="00FA2145">
        <w:rPr>
          <w:color w:val="00000A"/>
          <w:sz w:val="22"/>
          <w:szCs w:val="22"/>
          <w:highlight w:val="green"/>
        </w:rPr>
        <w:t>Согласно п. 10 ч. 1 ст. 17.1 Федерального Закона «О защите конкуренции» от 26.07.2006 №135-ФЗ лицу, с которым заключен договор по результатам процедуры, проведенной в соответствии с Федеральным законом Российской Федерации от 18.07.2011 г. №223-ФЗ «О закупках товаров, работ, услуг отдельными видами юридических лиц», если предоставление указанных прав было предусмотрено извещением для целей исполнения муниципального договора. Срок предоставления указанных прав на такое имущество не может превышать срок исполнения муниципального договора.</w:t>
      </w:r>
    </w:p>
    <w:p w14:paraId="6CA52F76" w14:textId="77777777" w:rsidR="00FA2145" w:rsidRPr="00FA2145" w:rsidRDefault="00FA2145" w:rsidP="00FA2145">
      <w:pPr>
        <w:widowControl/>
        <w:suppressAutoHyphens w:val="0"/>
        <w:overflowPunct/>
        <w:spacing w:after="200"/>
        <w:contextualSpacing/>
        <w:rPr>
          <w:sz w:val="22"/>
          <w:szCs w:val="22"/>
        </w:rPr>
      </w:pPr>
    </w:p>
    <w:sectPr w:rsidR="00FA2145" w:rsidRPr="00FA2145" w:rsidSect="00FA2145">
      <w:headerReference w:type="default" r:id="rId7"/>
      <w:footerReference w:type="default" r:id="rId8"/>
      <w:pgSz w:w="11906" w:h="16838"/>
      <w:pgMar w:top="1134" w:right="567" w:bottom="993" w:left="1134" w:header="709" w:footer="709" w:gutter="0"/>
      <w:pgNumType w:start="1"/>
      <w:cols w:space="720"/>
      <w:formProt w:val="0"/>
      <w:titlePg/>
      <w:docGrid w:linePitch="360" w:charSpace="16384"/>
    </w:sectPr>
    <!-- MKR-1286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2243E" w14:textId="77777777" w:rsidR="00B700EC" w:rsidRDefault="00B700EC">
      <w:r>
        <w:separator/>
      </w:r>
    </w:p>
  </w:endnote>
  <w:endnote w:type="continuationSeparator" w:id="0">
    <w:p w14:paraId="5B15C27E" w14:textId="77777777" w:rsidR="00B700EC" w:rsidRDefault="00B7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T Astra Serif">
    <w:altName w:val="Cambria"/>
    <w:charset w:val="CC"/>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F658" w14:textId="77777777" w:rsidR="00501D27" w:rsidRDefault="00501D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FC69B" w14:textId="77777777" w:rsidR="00B700EC" w:rsidRDefault="00B700EC">
      <w:r>
        <w:separator/>
      </w:r>
    </w:p>
  </w:footnote>
  <w:footnote w:type="continuationSeparator" w:id="0">
    <w:p w14:paraId="6C2ABAD7" w14:textId="77777777" w:rsidR="00B700EC" w:rsidRDefault="00B7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84750" w14:textId="77777777" w:rsidR="00501D27" w:rsidRDefault="00444463">
    <w:pPr>
      <w:pStyle w:val="a5"/>
      <w:jc w:val="center"/>
      <w:rPr>
        <w:sz w:val="28"/>
        <w:szCs w:val="28"/>
      </w:rPr>
    </w:pPr>
    <w:r>
      <w:rPr>
        <w:sz w:val="28"/>
        <w:szCs w:val="28"/>
      </w:rPr>
      <w:fldChar w:fldCharType="begin"/>
    </w:r>
    <w:r w:rsidR="0069698A">
      <w:rPr>
        <w:sz w:val="28"/>
        <w:szCs w:val="28"/>
      </w:rPr>
      <w:instrText>PAGE</w:instrText>
    </w:r>
    <w:r>
      <w:rPr>
        <w:sz w:val="28"/>
        <w:szCs w:val="28"/>
      </w:rPr>
      <w:fldChar w:fldCharType="separate"/>
    </w:r>
    <w:r w:rsidR="0080513A">
      <w:rPr>
        <w:noProof/>
        <w:sz w:val="28"/>
        <w:szCs w:val="28"/>
      </w:rPr>
      <w:t>2</w:t>
    </w:r>
    <w:r>
      <w:rPr>
        <w:sz w:val="28"/>
        <w:szCs w:val="28"/>
      </w:rPr>
      <w:fldChar w:fldCharType="end"/>
    </w:r>
  </w:p>
  <w:p w14:paraId="0374850F" w14:textId="77777777" w:rsidR="00501D27" w:rsidRDefault="00501D27">
    <w:pPr>
      <w:pStyle w:val="a5"/>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decimal"/>
      <w:lvlText w:val="%1."/>
      <w:lvlJc w:val="left"/>
      <w:pPr>
        <w:tabs>
          <w:tab w:val="num" w:pos="0"/>
        </w:tabs>
        <w:ind w:left="786" w:hanging="360"/>
      </w:pPr>
      <w:rPr>
        <w:rFonts w:ascii="PT Astra Serif" w:hAnsi="PT Astra Serif" w:cs="PT Astra Serif"/>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B"/>
    <w:multiLevelType w:val="multilevel"/>
    <w:tmpl w:val="0000000B"/>
    <w:name w:val="WW8Num12"/>
    <w:lvl w:ilvl="0">
      <w:start w:val="3"/>
      <w:numFmt w:val="decimal"/>
      <w:lvlText w:val="%1."/>
      <w:lvlJc w:val="left"/>
      <w:pPr>
        <w:tabs>
          <w:tab w:val="num" w:pos="0"/>
        </w:tabs>
        <w:ind w:left="360" w:hanging="360"/>
      </w:pPr>
      <w:rPr>
        <w:rFonts w:ascii="Times New Roman" w:hAnsi="Times New Roman" w:cs="Times New Roman"/>
        <w:color w:val="auto"/>
      </w:rPr>
    </w:lvl>
    <w:lvl w:ilvl="1">
      <w:start w:val="1"/>
      <w:numFmt w:val="decimal"/>
      <w:lvlText w:val="%1.%2."/>
      <w:lvlJc w:val="left"/>
      <w:pPr>
        <w:tabs>
          <w:tab w:val="num" w:pos="0"/>
        </w:tabs>
        <w:ind w:left="1800" w:hanging="360"/>
      </w:pPr>
      <w:rPr>
        <w:rFonts w:ascii="Times New Roman" w:hAnsi="Times New Roman" w:cs="Times New Roman"/>
        <w:color w:val="auto"/>
      </w:rPr>
    </w:lvl>
    <w:lvl w:ilvl="2">
      <w:start w:val="1"/>
      <w:numFmt w:val="decimal"/>
      <w:lvlText w:val="%1.%2.%3."/>
      <w:lvlJc w:val="left"/>
      <w:pPr>
        <w:tabs>
          <w:tab w:val="num" w:pos="0"/>
        </w:tabs>
        <w:ind w:left="3600" w:hanging="720"/>
      </w:pPr>
      <w:rPr>
        <w:rFonts w:ascii="Times New Roman" w:hAnsi="Times New Roman" w:cs="Times New Roman"/>
        <w:color w:val="auto"/>
      </w:rPr>
    </w:lvl>
    <w:lvl w:ilvl="3">
      <w:start w:val="1"/>
      <w:numFmt w:val="decimal"/>
      <w:lvlText w:val="%1.%2.%3.%4."/>
      <w:lvlJc w:val="left"/>
      <w:pPr>
        <w:tabs>
          <w:tab w:val="num" w:pos="0"/>
        </w:tabs>
        <w:ind w:left="5040" w:hanging="720"/>
      </w:pPr>
      <w:rPr>
        <w:rFonts w:ascii="Times New Roman" w:hAnsi="Times New Roman" w:cs="Times New Roman"/>
        <w:color w:val="auto"/>
      </w:rPr>
    </w:lvl>
    <w:lvl w:ilvl="4">
      <w:start w:val="1"/>
      <w:numFmt w:val="decimal"/>
      <w:lvlText w:val="%1.%2.%3.%4.%5."/>
      <w:lvlJc w:val="left"/>
      <w:pPr>
        <w:tabs>
          <w:tab w:val="num" w:pos="0"/>
        </w:tabs>
        <w:ind w:left="6840" w:hanging="1080"/>
      </w:pPr>
      <w:rPr>
        <w:rFonts w:ascii="Times New Roman" w:hAnsi="Times New Roman" w:cs="Times New Roman"/>
        <w:color w:val="auto"/>
      </w:rPr>
    </w:lvl>
    <w:lvl w:ilvl="5">
      <w:start w:val="1"/>
      <w:numFmt w:val="decimal"/>
      <w:lvlText w:val="%1.%2.%3.%4.%5.%6."/>
      <w:lvlJc w:val="left"/>
      <w:pPr>
        <w:tabs>
          <w:tab w:val="num" w:pos="0"/>
        </w:tabs>
        <w:ind w:left="8280" w:hanging="1080"/>
      </w:pPr>
      <w:rPr>
        <w:rFonts w:ascii="Times New Roman" w:hAnsi="Times New Roman" w:cs="Times New Roman"/>
        <w:color w:val="auto"/>
      </w:rPr>
    </w:lvl>
    <w:lvl w:ilvl="6">
      <w:start w:val="1"/>
      <w:numFmt w:val="decimal"/>
      <w:lvlText w:val="%1.%2.%3.%4.%5.%6.%7."/>
      <w:lvlJc w:val="left"/>
      <w:pPr>
        <w:tabs>
          <w:tab w:val="num" w:pos="0"/>
        </w:tabs>
        <w:ind w:left="9720" w:hanging="1080"/>
      </w:pPr>
      <w:rPr>
        <w:rFonts w:ascii="Times New Roman" w:hAnsi="Times New Roman" w:cs="Times New Roman"/>
        <w:color w:val="auto"/>
      </w:rPr>
    </w:lvl>
    <w:lvl w:ilvl="7">
      <w:start w:val="1"/>
      <w:numFmt w:val="decimal"/>
      <w:lvlText w:val="%1.%2.%3.%4.%5.%6.%7.%8."/>
      <w:lvlJc w:val="left"/>
      <w:pPr>
        <w:tabs>
          <w:tab w:val="num" w:pos="0"/>
        </w:tabs>
        <w:ind w:left="11520" w:hanging="1440"/>
      </w:pPr>
      <w:rPr>
        <w:rFonts w:ascii="Times New Roman" w:hAnsi="Times New Roman" w:cs="Times New Roman"/>
        <w:color w:val="auto"/>
      </w:rPr>
    </w:lvl>
    <w:lvl w:ilvl="8">
      <w:start w:val="1"/>
      <w:numFmt w:val="decimal"/>
      <w:lvlText w:val="%1.%2.%3.%4.%5.%6.%7.%8.%9."/>
      <w:lvlJc w:val="left"/>
      <w:pPr>
        <w:tabs>
          <w:tab w:val="num" w:pos="0"/>
        </w:tabs>
        <w:ind w:left="12960" w:hanging="1440"/>
      </w:pPr>
      <w:rPr>
        <w:rFonts w:ascii="Times New Roman" w:hAnsi="Times New Roman" w:cs="Times New Roman"/>
        <w:color w:val="auto"/>
      </w:rPr>
    </w:lvl>
  </w:abstractNum>
  <w:abstractNum w:abstractNumId="2" w15:restartNumberingAfterBreak="0">
    <w:nsid w:val="0000000C"/>
    <w:multiLevelType w:val="multilevel"/>
    <w:tmpl w:val="0000000C"/>
    <w:name w:val="WW8Num13"/>
    <w:lvl w:ilvl="0">
      <w:start w:val="4"/>
      <w:numFmt w:val="decimal"/>
      <w:lvlText w:val="%1."/>
      <w:lvlJc w:val="left"/>
      <w:pPr>
        <w:tabs>
          <w:tab w:val="num" w:pos="0"/>
        </w:tabs>
        <w:ind w:left="360" w:hanging="360"/>
      </w:pPr>
      <w:rPr>
        <w:sz w:val="20"/>
        <w:szCs w:val="20"/>
      </w:rPr>
    </w:lvl>
    <w:lvl w:ilvl="1">
      <w:start w:val="3"/>
      <w:numFmt w:val="decimal"/>
      <w:lvlText w:val="%1.%2."/>
      <w:lvlJc w:val="left"/>
      <w:pPr>
        <w:tabs>
          <w:tab w:val="num" w:pos="0"/>
        </w:tabs>
        <w:ind w:left="1069" w:hanging="360"/>
      </w:pPr>
      <w:rPr>
        <w:sz w:val="20"/>
        <w:szCs w:val="20"/>
      </w:rPr>
    </w:lvl>
    <w:lvl w:ilvl="2">
      <w:start w:val="1"/>
      <w:numFmt w:val="decimal"/>
      <w:lvlText w:val="%1.%2.%3."/>
      <w:lvlJc w:val="left"/>
      <w:pPr>
        <w:tabs>
          <w:tab w:val="num" w:pos="0"/>
        </w:tabs>
        <w:ind w:left="2138" w:hanging="720"/>
      </w:pPr>
      <w:rPr>
        <w:sz w:val="20"/>
        <w:szCs w:val="20"/>
      </w:rPr>
    </w:lvl>
    <w:lvl w:ilvl="3">
      <w:start w:val="1"/>
      <w:numFmt w:val="decimal"/>
      <w:lvlText w:val="%1.%2.%3.%4."/>
      <w:lvlJc w:val="left"/>
      <w:pPr>
        <w:tabs>
          <w:tab w:val="num" w:pos="0"/>
        </w:tabs>
        <w:ind w:left="2847" w:hanging="720"/>
      </w:pPr>
      <w:rPr>
        <w:sz w:val="20"/>
        <w:szCs w:val="20"/>
      </w:rPr>
    </w:lvl>
    <w:lvl w:ilvl="4">
      <w:start w:val="1"/>
      <w:numFmt w:val="decimal"/>
      <w:lvlText w:val="%1.%2.%3.%4.%5."/>
      <w:lvlJc w:val="left"/>
      <w:pPr>
        <w:tabs>
          <w:tab w:val="num" w:pos="0"/>
        </w:tabs>
        <w:ind w:left="3916" w:hanging="1080"/>
      </w:pPr>
      <w:rPr>
        <w:sz w:val="20"/>
        <w:szCs w:val="20"/>
      </w:rPr>
    </w:lvl>
    <w:lvl w:ilvl="5">
      <w:start w:val="1"/>
      <w:numFmt w:val="decimal"/>
      <w:lvlText w:val="%1.%2.%3.%4.%5.%6."/>
      <w:lvlJc w:val="left"/>
      <w:pPr>
        <w:tabs>
          <w:tab w:val="num" w:pos="0"/>
        </w:tabs>
        <w:ind w:left="4625" w:hanging="1080"/>
      </w:pPr>
      <w:rPr>
        <w:sz w:val="20"/>
        <w:szCs w:val="20"/>
      </w:rPr>
    </w:lvl>
    <w:lvl w:ilvl="6">
      <w:start w:val="1"/>
      <w:numFmt w:val="decimal"/>
      <w:lvlText w:val="%1.%2.%3.%4.%5.%6.%7."/>
      <w:lvlJc w:val="left"/>
      <w:pPr>
        <w:tabs>
          <w:tab w:val="num" w:pos="0"/>
        </w:tabs>
        <w:ind w:left="5334" w:hanging="1080"/>
      </w:pPr>
      <w:rPr>
        <w:sz w:val="20"/>
        <w:szCs w:val="20"/>
      </w:rPr>
    </w:lvl>
    <w:lvl w:ilvl="7">
      <w:start w:val="1"/>
      <w:numFmt w:val="decimal"/>
      <w:lvlText w:val="%1.%2.%3.%4.%5.%6.%7.%8."/>
      <w:lvlJc w:val="left"/>
      <w:pPr>
        <w:tabs>
          <w:tab w:val="num" w:pos="0"/>
        </w:tabs>
        <w:ind w:left="6403" w:hanging="1440"/>
      </w:pPr>
      <w:rPr>
        <w:sz w:val="20"/>
        <w:szCs w:val="20"/>
      </w:rPr>
    </w:lvl>
    <w:lvl w:ilvl="8">
      <w:start w:val="1"/>
      <w:numFmt w:val="decimal"/>
      <w:lvlText w:val="%1.%2.%3.%4.%5.%6.%7.%8.%9."/>
      <w:lvlJc w:val="left"/>
      <w:pPr>
        <w:tabs>
          <w:tab w:val="num" w:pos="0"/>
        </w:tabs>
        <w:ind w:left="7112" w:hanging="1440"/>
      </w:pPr>
      <w:rPr>
        <w:sz w:val="20"/>
        <w:szCs w:val="20"/>
      </w:rPr>
    </w:lvl>
  </w:abstractNum>
  <w:abstractNum w:abstractNumId="3" w15:restartNumberingAfterBreak="0">
    <w:nsid w:val="0000000E"/>
    <w:multiLevelType w:val="singleLevel"/>
    <w:tmpl w:val="0000000E"/>
    <w:name w:val="WW8Num15"/>
    <w:lvl w:ilvl="0">
      <w:start w:val="1"/>
      <w:numFmt w:val="decimal"/>
      <w:lvlText w:val="%1."/>
      <w:lvlJc w:val="left"/>
      <w:pPr>
        <w:tabs>
          <w:tab w:val="num" w:pos="708"/>
        </w:tabs>
        <w:ind w:left="720" w:hanging="360"/>
      </w:pPr>
      <w:rPr>
        <w:rFonts w:cs="Times New Roman"/>
      </w:rPr>
    </w:lvl>
  </w:abstractNum>
  <w:abstractNum w:abstractNumId="4" w15:restartNumberingAfterBreak="0">
    <w:nsid w:val="0000000F"/>
    <w:multiLevelType w:val="multilevel"/>
    <w:tmpl w:val="0000000F"/>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29"/>
    <w:rsid w:val="00066CCB"/>
    <w:rsid w:val="00093CA9"/>
    <w:rsid w:val="000F03EA"/>
    <w:rsid w:val="00131B2B"/>
    <w:rsid w:val="001B5FCA"/>
    <w:rsid w:val="00217BDF"/>
    <w:rsid w:val="00230CA4"/>
    <w:rsid w:val="00232DA8"/>
    <w:rsid w:val="0024782B"/>
    <w:rsid w:val="002A78A9"/>
    <w:rsid w:val="002B3F53"/>
    <w:rsid w:val="002E18A4"/>
    <w:rsid w:val="0034009C"/>
    <w:rsid w:val="00372866"/>
    <w:rsid w:val="003D0CFA"/>
    <w:rsid w:val="003D7D48"/>
    <w:rsid w:val="00444463"/>
    <w:rsid w:val="004A426F"/>
    <w:rsid w:val="004D5273"/>
    <w:rsid w:val="004F01C1"/>
    <w:rsid w:val="00501D27"/>
    <w:rsid w:val="00516CDD"/>
    <w:rsid w:val="00525B1D"/>
    <w:rsid w:val="00540DB7"/>
    <w:rsid w:val="00560E5B"/>
    <w:rsid w:val="00615553"/>
    <w:rsid w:val="0069698A"/>
    <w:rsid w:val="00787CB3"/>
    <w:rsid w:val="0080513A"/>
    <w:rsid w:val="008215C7"/>
    <w:rsid w:val="008343A2"/>
    <w:rsid w:val="008437FF"/>
    <w:rsid w:val="00844C8C"/>
    <w:rsid w:val="00853D31"/>
    <w:rsid w:val="00975E79"/>
    <w:rsid w:val="00A725DC"/>
    <w:rsid w:val="00AB799B"/>
    <w:rsid w:val="00AE0306"/>
    <w:rsid w:val="00B12816"/>
    <w:rsid w:val="00B20F97"/>
    <w:rsid w:val="00B63A29"/>
    <w:rsid w:val="00B700EC"/>
    <w:rsid w:val="00BA779E"/>
    <w:rsid w:val="00BE4EAA"/>
    <w:rsid w:val="00C8202B"/>
    <w:rsid w:val="00CA1B20"/>
    <w:rsid w:val="00CC661A"/>
    <w:rsid w:val="00CD3087"/>
    <w:rsid w:val="00D56394"/>
    <w:rsid w:val="00D67AAC"/>
    <w:rsid w:val="00DF4587"/>
    <w:rsid w:val="00E26FB1"/>
    <w:rsid w:val="00E27984"/>
    <w:rsid w:val="00E57CE8"/>
    <w:rsid w:val="00E61AA9"/>
    <w:rsid w:val="00E65CEA"/>
    <w:rsid w:val="00E67674"/>
    <w:rsid w:val="00E835CB"/>
    <w:rsid w:val="00E91457"/>
    <w:rsid w:val="00ED4694"/>
    <w:rsid w:val="00EE2DDD"/>
    <w:rsid w:val="00F83CD1"/>
    <w:rsid w:val="00F925A8"/>
    <w:rsid w:val="00FA2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8C56"/>
  <w15:docId w15:val="{86A9954E-5CBB-4EBC-90F0-84C73B1D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A29"/>
    <w:pPr>
      <w:widowControl w:val="0"/>
      <w:suppressAutoHyphens/>
      <w:overflowPunct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Characters">
    <w:name w:val="Endnote Characters"/>
    <w:qFormat/>
    <w:rsid w:val="00B63A29"/>
    <w:rPr>
      <w:vertAlign w:val="superscript"/>
    </w:rPr>
  </w:style>
  <w:style w:type="paragraph" w:styleId="a3">
    <w:name w:val="footer"/>
    <w:basedOn w:val="a"/>
    <w:link w:val="a4"/>
    <w:rsid w:val="00B63A29"/>
    <w:pPr>
      <w:tabs>
        <w:tab w:val="center" w:pos="4677"/>
        <w:tab w:val="right" w:pos="9355"/>
      </w:tabs>
    </w:pPr>
  </w:style>
  <w:style w:type="character" w:customStyle="1" w:styleId="a4">
    <w:name w:val="Нижний колонтитул Знак"/>
    <w:basedOn w:val="a0"/>
    <w:link w:val="a3"/>
    <w:rsid w:val="00B63A29"/>
    <w:rPr>
      <w:rFonts w:ascii="Times New Roman" w:eastAsia="Times New Roman" w:hAnsi="Times New Roman" w:cs="Times New Roman"/>
      <w:sz w:val="20"/>
      <w:szCs w:val="20"/>
      <w:lang w:eastAsia="ru-RU"/>
    </w:rPr>
  </w:style>
  <w:style w:type="paragraph" w:styleId="a5">
    <w:name w:val="header"/>
    <w:basedOn w:val="a"/>
    <w:link w:val="a6"/>
    <w:rsid w:val="00B63A29"/>
    <w:pPr>
      <w:tabs>
        <w:tab w:val="center" w:pos="4677"/>
        <w:tab w:val="right" w:pos="9355"/>
      </w:tabs>
    </w:pPr>
  </w:style>
  <w:style w:type="character" w:customStyle="1" w:styleId="a6">
    <w:name w:val="Верхний колонтитул Знак"/>
    <w:basedOn w:val="a0"/>
    <w:link w:val="a5"/>
    <w:rsid w:val="00B63A29"/>
    <w:rPr>
      <w:rFonts w:ascii="Times New Roman" w:eastAsia="Times New Roman" w:hAnsi="Times New Roman" w:cs="Times New Roman"/>
      <w:sz w:val="20"/>
      <w:szCs w:val="20"/>
      <w:lang w:eastAsia="ru-RU"/>
    </w:rPr>
  </w:style>
  <w:style w:type="character" w:customStyle="1" w:styleId="2">
    <w:name w:val="Основной текст (2) + Полужирный"/>
    <w:rsid w:val="00B63A2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7">
    <w:name w:val="Hyperlink"/>
    <w:basedOn w:val="a0"/>
    <w:uiPriority w:val="99"/>
    <w:unhideWhenUsed/>
    <w:rsid w:val="00B63A29"/>
    <w:rPr>
      <w:color w:val="0563C1" w:themeColor="hyperlink"/>
      <w:u w:val="single"/>
    </w:rPr>
  </w:style>
  <w:style w:type="character" w:customStyle="1" w:styleId="1">
    <w:name w:val="Неразрешенное упоминание1"/>
    <w:basedOn w:val="a0"/>
    <w:uiPriority w:val="99"/>
    <w:semiHidden/>
    <w:unhideWhenUsed/>
    <w:rsid w:val="00B63A29"/>
    <w:rPr>
      <w:color w:val="605E5C"/>
      <w:shd w:val="clear" w:color="auto" w:fill="E1DFDD"/>
    </w:rPr>
  </w:style>
  <w:style w:type="paragraph" w:customStyle="1" w:styleId="21">
    <w:name w:val="Основной текст 21"/>
    <w:basedOn w:val="a"/>
    <w:rsid w:val="00CD3087"/>
    <w:pPr>
      <w:overflowPunct/>
    </w:pPr>
    <w:rPr>
      <w:rFonts w:ascii="Arial" w:eastAsia="SimSun" w:hAnsi="Arial" w:cs="Mangal"/>
      <w:kern w:val="1"/>
      <w:lang w:eastAsia="hi-IN" w:bidi="hi-IN"/>
    </w:rPr>
  </w:style>
  <w:style w:type="paragraph" w:styleId="a8">
    <w:name w:val="Body Text Indent"/>
    <w:basedOn w:val="a"/>
    <w:link w:val="a9"/>
    <w:rsid w:val="00E26FB1"/>
    <w:pPr>
      <w:widowControl/>
      <w:overflowPunct/>
      <w:spacing w:after="120" w:line="100" w:lineRule="atLeast"/>
      <w:ind w:left="283"/>
    </w:pPr>
    <w:rPr>
      <w:kern w:val="1"/>
      <w:sz w:val="24"/>
      <w:szCs w:val="24"/>
      <w:lang w:eastAsia="ar-SA"/>
    </w:rPr>
  </w:style>
  <w:style w:type="character" w:customStyle="1" w:styleId="a9">
    <w:name w:val="Основной текст с отступом Знак"/>
    <w:basedOn w:val="a0"/>
    <w:link w:val="a8"/>
    <w:rsid w:val="00E26FB1"/>
    <w:rPr>
      <w:rFonts w:ascii="Times New Roman" w:eastAsia="Times New Roman" w:hAnsi="Times New Roman" w:cs="Times New Roman"/>
      <w:kern w:val="1"/>
      <w:sz w:val="24"/>
      <w:szCs w:val="24"/>
      <w:lang w:eastAsia="ar-SA"/>
    </w:rPr>
  </w:style>
  <w:style w:type="paragraph" w:customStyle="1" w:styleId="ConsNonformat">
    <w:name w:val="ConsNonformat"/>
    <w:rsid w:val="00E26FB1"/>
    <w:pPr>
      <w:suppressAutoHyphens/>
      <w:spacing w:after="0" w:line="100" w:lineRule="atLeast"/>
      <w:ind w:right="19772"/>
    </w:pPr>
    <w:rPr>
      <w:rFonts w:ascii="Courier New" w:eastAsia="Times New Roman" w:hAnsi="Courier New" w:cs="Times New Roman"/>
      <w:sz w:val="16"/>
      <w:szCs w:val="20"/>
      <w:lang w:eastAsia="hi-IN" w:bidi="hi-IN"/>
    </w:rPr>
  </w:style>
  <w:style w:type="paragraph" w:customStyle="1" w:styleId="ConsNormal">
    <w:name w:val="ConsNormal"/>
    <w:rsid w:val="00E26FB1"/>
    <w:pPr>
      <w:suppressAutoHyphens/>
      <w:spacing w:after="0" w:line="100" w:lineRule="atLeast"/>
      <w:ind w:right="19772" w:firstLine="720"/>
    </w:pPr>
    <w:rPr>
      <w:rFonts w:ascii="Arial" w:eastAsia="Times New Roman" w:hAnsi="Arial" w:cs="Times New Roman"/>
      <w:sz w:val="16"/>
      <w:szCs w:val="20"/>
      <w:lang w:eastAsia="hi-IN" w:bidi="hi-IN"/>
    </w:rPr>
  </w:style>
  <w:style w:type="paragraph" w:styleId="aa">
    <w:name w:val="List Paragraph"/>
    <w:basedOn w:val="a"/>
    <w:uiPriority w:val="34"/>
    <w:qFormat/>
    <w:rsid w:val="00E26FB1"/>
    <w:pPr>
      <w:widowControl/>
      <w:overflowPunct/>
      <w:spacing w:line="100" w:lineRule="atLeast"/>
      <w:ind w:left="708"/>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1602</Words>
  <Characters>9134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DOC-MARKER-Bm3Vs5n5dRx7ClSqqVTRJw</dc:description>
  <dc:creator>Светлана Герасимова</dc:creator>
  <cp:lastModifiedBy>Андреева Вероника Ивановна</cp:lastModifiedBy>
  <cp:revision>3</cp:revision>
  <cp:lastPrinted>2022-10-28T07:58:00Z</cp:lastPrinted>
  <dcterms:created xsi:type="dcterms:W3CDTF">2026-06-10T12:07:00Z</dcterms:created>
  <dcterms:modified xsi:type="dcterms:W3CDTF">2026-06-10T12:08:00Z</dcterms:modified>
</cp:coreProperties>
</file>