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B7" w:rsidRDefault="002176E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ТЕХНИЧЕСКОЕ ЗАДАНИЕ//ОПИСАНИЕ ОБЪЕКТА ЗАКУПКИ</w:t>
      </w:r>
    </w:p>
    <w:p w:rsidR="00D06DB7" w:rsidRDefault="00D06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D06DB7" w:rsidRDefault="00217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Техническое задание</w:t>
      </w:r>
    </w:p>
    <w:p w:rsidR="00D06DB7" w:rsidRDefault="00D06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6DB7" w:rsidRDefault="002176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договора – поставка бензина автомобильного АИ-92, АИ-95, дизельного топлива по топливным картам для нужд ГАУ «Социально-реабилитационный центр </w:t>
      </w:r>
      <w:r w:rsidR="00603BD3">
        <w:rPr>
          <w:rFonts w:ascii="Times New Roman" w:hAnsi="Times New Roman" w:cs="Times New Roman"/>
          <w:sz w:val="24"/>
          <w:szCs w:val="24"/>
        </w:rPr>
        <w:t>для несовершеннолетнего города</w:t>
      </w:r>
      <w:r>
        <w:rPr>
          <w:rFonts w:ascii="Times New Roman" w:hAnsi="Times New Roman" w:cs="Times New Roman"/>
          <w:sz w:val="24"/>
          <w:szCs w:val="24"/>
        </w:rPr>
        <w:t xml:space="preserve"> Нижняя Салда».</w:t>
      </w:r>
    </w:p>
    <w:p w:rsidR="00D06DB7" w:rsidRDefault="002176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определения начально-максимальной цены договора на поставку бензина автомобильного АИ-92, АИ-95, дизельного топлива по топливным картам для нужд ГАУ «Социально-реабилитационный центр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несовершеннолетних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Нижняя Салда» произведен анализ рынка методом сопоставления рыночных цен (анализа рынка) поставщиков, </w:t>
      </w:r>
      <w:r w:rsidR="00603BD3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которая составляет 143180,70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копеек.</w:t>
      </w:r>
    </w:p>
    <w:p w:rsidR="00D06DB7" w:rsidRDefault="002176E1">
      <w:pPr>
        <w:pStyle w:val="HTML0"/>
        <w:numPr>
          <w:ilvl w:val="0"/>
          <w:numId w:val="1"/>
        </w:numPr>
        <w:shd w:val="clear" w:color="auto" w:fill="FFFFFF"/>
        <w:tabs>
          <w:tab w:val="clear" w:pos="916"/>
          <w:tab w:val="left" w:pos="-284"/>
        </w:tabs>
        <w:ind w:left="-426" w:hanging="14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Технические характеристики поставляемого товара/выполняемой работы/оказываемой услуги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350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5381"/>
        <w:gridCol w:w="851"/>
        <w:gridCol w:w="1417"/>
      </w:tblGrid>
      <w:tr w:rsidR="00D06DB7">
        <w:trPr>
          <w:trHeight w:val="25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</w:t>
            </w:r>
          </w:p>
        </w:tc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Описание, </w:t>
            </w:r>
          </w:p>
          <w:p w:rsidR="00D06DB7" w:rsidRDefault="002176E1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06DB7" w:rsidRDefault="002176E1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Объем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06DB7" w:rsidRDefault="002176E1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Единица измерения</w:t>
            </w:r>
          </w:p>
        </w:tc>
      </w:tr>
      <w:tr w:rsidR="00D06DB7">
        <w:trPr>
          <w:trHeight w:val="471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Бензин марки АИ-92-К5</w:t>
            </w:r>
          </w:p>
        </w:tc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Бензин автомобильный c октановым числом не менее 92 по исследовательскому методу, класс К5, должен соответствовать требованиям: - ГОСТ 32513-2013. Технические условия»; - Технический регламент Таможенного союза ТРТС 013/2011 «О требованиях к автомобильному и авиационному бензину, дизельному и судовому топливу, топливу для реактивных двигателей и мазуту» (Решение комиссии Таможенного союза № 826 от 18.10.2011).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DB7" w:rsidRDefault="00603BD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120</w:t>
            </w:r>
            <w:r w:rsidR="002176E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литр</w:t>
            </w:r>
          </w:p>
        </w:tc>
      </w:tr>
      <w:tr w:rsidR="00D06DB7">
        <w:trPr>
          <w:trHeight w:val="25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Бензин марки АИ-95-К5</w:t>
            </w:r>
          </w:p>
        </w:tc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Бензин автомобильный c октановым числом не менее 95 по исследовательскому методу, класс К5, должен соответствовать требованиям: - ГОСТ Р 51866-2002. Государственный стандарт Российской Федерации. «Топлива моторные. Бензин Неэтилированный. Технические условия»; - 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(Решение комиссии Таможенного союза № 826 от 18.10.2011).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DB7" w:rsidRDefault="00603BD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950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литр</w:t>
            </w:r>
          </w:p>
        </w:tc>
      </w:tr>
      <w:tr w:rsidR="00D06DB7">
        <w:trPr>
          <w:trHeight w:val="25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Дизельное топливо по сезону</w:t>
            </w:r>
          </w:p>
        </w:tc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ГОСТ Р 52368-2005 «Топливо дизельное класс К5. Технические условия» или ГОСТ 32511-2013 «Топливо дизельное. Технические условия»;</w:t>
            </w:r>
          </w:p>
          <w:p w:rsidR="00D06DB7" w:rsidRDefault="002176E1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Технического регламента «О требованиях к автомобильному и авиационному бензину, дизельному и судовому топливу, топливу 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реактивных двигателей и топочному мазуту», утвержденного Постановлением Правительства Российской Федерации от 27 февраля 2008 г. № 118;  </w:t>
            </w:r>
          </w:p>
          <w:p w:rsidR="00D06DB7" w:rsidRDefault="002176E1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013/2011).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DB7" w:rsidRDefault="002176E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литр</w:t>
            </w:r>
          </w:p>
        </w:tc>
      </w:tr>
    </w:tbl>
    <w:p w:rsidR="00D06DB7" w:rsidRDefault="00D06DB7">
      <w:pPr>
        <w:pStyle w:val="HTML0"/>
        <w:shd w:val="clear" w:color="auto" w:fill="FFFFFF"/>
        <w:tabs>
          <w:tab w:val="clear" w:pos="916"/>
          <w:tab w:val="left" w:pos="-284"/>
        </w:tabs>
        <w:ind w:lef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06DB7" w:rsidRDefault="002176E1">
      <w:pPr>
        <w:pStyle w:val="HTML0"/>
        <w:shd w:val="clear" w:color="auto" w:fill="FFFFFF"/>
        <w:tabs>
          <w:tab w:val="clear" w:pos="916"/>
        </w:tabs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Место поставки и требования к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отгрузки: </w:t>
      </w:r>
      <w:r>
        <w:rPr>
          <w:rFonts w:ascii="Times New Roman" w:hAnsi="Times New Roman" w:cs="Times New Roman"/>
          <w:sz w:val="24"/>
          <w:szCs w:val="24"/>
        </w:rPr>
        <w:t xml:space="preserve"> Поставка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Товара осуществляется с применением автоматизированной системы безналичного расчёта с помощью магнитных (электронных) карт через сеть автозаправочных станций, ближайшая станция должна находиться не более 20 км от учреждения,  а иметь другие станции на территории Свердловской области.</w:t>
      </w:r>
    </w:p>
    <w:p w:rsidR="00D06DB7" w:rsidRDefault="00D06DB7">
      <w:pPr>
        <w:pStyle w:val="HTML0"/>
        <w:shd w:val="clear" w:color="auto" w:fill="FFFFFF"/>
        <w:tabs>
          <w:tab w:val="clear" w:pos="916"/>
        </w:tabs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D06DB7" w:rsidRDefault="002176E1">
      <w:pPr>
        <w:pStyle w:val="HTML0"/>
        <w:shd w:val="clear" w:color="auto" w:fill="FFFFFF"/>
        <w:tabs>
          <w:tab w:val="clear" w:pos="916"/>
        </w:tabs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 xml:space="preserve">3. Поставка Товара осуществляется с применением автоматизированной системы безналичного расчёта с помощью магнитных (электронных) карт через сеть автозаправочных станций на территории города Нижняя Салда, Верхняя Салда и Свердловской области которые должны соответствовать следующим требованиям: </w:t>
      </w:r>
    </w:p>
    <w:p w:rsidR="00D06DB7" w:rsidRDefault="002176E1">
      <w:pPr>
        <w:pStyle w:val="HTML0"/>
        <w:shd w:val="clear" w:color="auto" w:fill="FFFFFF"/>
        <w:tabs>
          <w:tab w:val="clear" w:pos="916"/>
        </w:tabs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 xml:space="preserve">- круглосуточная работа АЗС; 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 xml:space="preserve">- наличие на АЗС аппаратуры автоматизированной системы безналичного расчёта с помощью магнитных (электронных) карт; 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>- ведение автоматизированного учёта потребления топлива автотранспортом Заказчика.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 xml:space="preserve">АЗС должна находиться от места стоянки автомобилей не более 20 км. Стоянка автомобилей осуществляется по адресу: 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8"/>
        </w:rPr>
        <w:t>г.Нижняя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Салда, </w:t>
      </w:r>
      <w:proofErr w:type="spellStart"/>
      <w:r>
        <w:rPr>
          <w:rFonts w:ascii="Times New Roman" w:hAnsi="Times New Roman" w:cs="Times New Roman"/>
          <w:sz w:val="24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>, 56.</w:t>
      </w:r>
    </w:p>
    <w:p w:rsidR="00D06DB7" w:rsidRDefault="00D06DB7">
      <w:pPr>
        <w:pStyle w:val="HTML0"/>
        <w:shd w:val="clear" w:color="auto" w:fill="FFFFFF"/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>4. Требования к техническим и функциональным характеристикам топливных карт: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>- Заказчик должен иметь возможность осуществлять контроль за наполнением и    использованием топливных карт.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>- Заказчик должен иметь возможность установления суточного и (или) месячного лимита по каждой топливной карте, возможность быстрой блокировки топливной карты по заявке (устно или по факсу).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>- Любые операции с использованием карты должны сопровождаться обязательной выдачей чека терминала.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>- Заказчику должен быть предоставлен персональный менеджер по обслуживанию топливных карт и личный кабинет на официальном сайте в сети «Интернет».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</w:pPr>
      <w:r>
        <w:rPr>
          <w:rFonts w:ascii="Times New Roman" w:hAnsi="Times New Roman" w:cs="Times New Roman"/>
          <w:sz w:val="24"/>
          <w:szCs w:val="28"/>
        </w:rPr>
        <w:t>- Заказчику должна быть предоставлена возможность получения по его запросу еженедельной или ежемесячной детализации счетов по топливным картам, ежедневного детализированного отчета, а также еженедельного или ежемесячного аналитического отчета по произведенным заправкам автотранспорта Заказчика.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Топливные карты должны иметь учетные номера и необходимую степень защищенности от подделок.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Заказчик должен иметь возможность безвозмездно заменить топливную карту при обнаружении производственных дефектов.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 Срок (период) поставки товара (выполнения работ, оказания услуг): с 01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июля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2026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г. по 31 декабря 2026 г. включительно.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 Форма, сроки и порядок оплаты товара, работ, услуг:  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Оплата по настоящему Договору осуществляется путём перечисления денежных средств на расчётный счёт Поставщика.</w:t>
      </w:r>
    </w:p>
    <w:p w:rsidR="00D06DB7" w:rsidRDefault="002176E1">
      <w:pPr>
        <w:pStyle w:val="HTML0"/>
        <w:shd w:val="clear" w:color="auto" w:fill="FFFFFF"/>
        <w:ind w:left="-56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Заказчик оплачивает стоимость Товара по формуле цены Договора. Оплата товара осуществляется за фактически потребленные объемы топлива на основании выставленных </w:t>
      </w:r>
      <w:r>
        <w:rPr>
          <w:rFonts w:ascii="Times New Roman" w:hAnsi="Times New Roman" w:cs="Times New Roman"/>
          <w:sz w:val="24"/>
          <w:szCs w:val="28"/>
        </w:rPr>
        <w:lastRenderedPageBreak/>
        <w:t>Поставщиком счета (счета-фактуры) и товарной накладной в течение 7 рабочих дней после их получения. Счет (счет-фактура), товарная накладная выставляются Поставщиком до 10 числа месяца, следующего за расчетным. Оплата осуществляется в рублях по безналичному расчету.</w:t>
      </w:r>
    </w:p>
    <w:p w:rsidR="00D06DB7" w:rsidRDefault="002176E1">
      <w:pPr>
        <w:pStyle w:val="aa"/>
        <w:ind w:left="-567"/>
        <w:jc w:val="both"/>
        <w:rPr>
          <w:szCs w:val="28"/>
        </w:rPr>
      </w:pPr>
      <w:r>
        <w:rPr>
          <w:szCs w:val="28"/>
        </w:rPr>
        <w:t xml:space="preserve">7. Требования к качеству: по качеству Товар принимается с учетом положений Приказа Минэнерго России от 19.06.2003г. №231 «Об утверждении инструкции по контролю и обеспечению сохранения качества нефтепродуктов в организациях нефтепродуктообеспечения.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 Товар, подлежащий поставке, должен быть сертифицирован. Требования о наличии сертификатов соответствия на топливо и горюче-смазочные материалы установлены постановлением ПП РФ от 23.12.2021 №2425 «Об утверждении единого перечня продукции, подлежащей декларированию соответствия, внесении изменений в постановление Правительства Российской Федерации от 31.12.2020 г. №2467 и признании утратившим силу некоторых актов Правительства Российской Федерации», Федеральным законом «О техническом регулировании» от 27.12.2002 № 184-ФЗ. Товар должен соответствовать требованиям законодательства, в том числе Федеральному закону РФ от 10.01.2002 №7-ФЗ «Об охране окружающей среды». Соответствовать ФЗ РФ от 30.03.1999 №52-ФЗ «О </w:t>
      </w:r>
      <w:proofErr w:type="spellStart"/>
      <w:r>
        <w:rPr>
          <w:szCs w:val="28"/>
        </w:rPr>
        <w:t>санитарноэпидемиологическом</w:t>
      </w:r>
      <w:proofErr w:type="spellEnd"/>
      <w:r>
        <w:rPr>
          <w:szCs w:val="28"/>
        </w:rPr>
        <w:t xml:space="preserve"> благополучии населения», соответствовать требованиям ГОСТа, СНиП, техническим регламентам, иметь сертификаты используемых материалов, действующие на территории РФ.</w:t>
      </w:r>
    </w:p>
    <w:p w:rsidR="00D06DB7" w:rsidRDefault="002176E1">
      <w:pPr>
        <w:pStyle w:val="aa"/>
        <w:ind w:left="-567"/>
        <w:jc w:val="both"/>
        <w:rPr>
          <w:szCs w:val="28"/>
        </w:rPr>
      </w:pPr>
      <w:r>
        <w:rPr>
          <w:szCs w:val="28"/>
        </w:rPr>
        <w:t xml:space="preserve">8. Требования к контрагенту: </w:t>
      </w:r>
    </w:p>
    <w:p w:rsidR="00D06DB7" w:rsidRDefault="002176E1">
      <w:pPr>
        <w:pStyle w:val="aa"/>
        <w:ind w:left="-567"/>
        <w:jc w:val="both"/>
        <w:rPr>
          <w:szCs w:val="28"/>
        </w:rPr>
      </w:pPr>
      <w:r>
        <w:rPr>
          <w:szCs w:val="28"/>
        </w:rPr>
        <w:t>Поставщик должен обладать гражданской правоспособностью в полном объеме для заключения и исполнения договора (должен быть зарегистрирован в установленном законодательством РФ порядке);</w:t>
      </w:r>
    </w:p>
    <w:p w:rsidR="00D06DB7" w:rsidRDefault="002176E1">
      <w:pPr>
        <w:pStyle w:val="aa"/>
        <w:ind w:left="-567"/>
        <w:jc w:val="both"/>
        <w:rPr>
          <w:szCs w:val="28"/>
        </w:rPr>
      </w:pPr>
      <w:r>
        <w:rPr>
          <w:szCs w:val="28"/>
        </w:rPr>
        <w:t>Поставщик не должен являться неплатежеспособным или банкротом (должно отсутствовать решение арбитражного суда о признании участника банкротом и об открытии конкурсного производства),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</w:r>
    </w:p>
    <w:p w:rsidR="00D06DB7" w:rsidRDefault="002176E1">
      <w:pPr>
        <w:pStyle w:val="aa"/>
        <w:ind w:left="-567"/>
        <w:jc w:val="both"/>
        <w:rPr>
          <w:szCs w:val="28"/>
        </w:rPr>
      </w:pPr>
      <w:r>
        <w:rPr>
          <w:szCs w:val="28"/>
        </w:rPr>
        <w:t>9. При упаковке, транспортировке и отгрузке товара должны быть соблюдены требования ГОСТ 1510-2022 «Нефть и нефтепродукты. Маркировка, упаковка, транспортирование и хранение».</w:t>
      </w:r>
    </w:p>
    <w:p w:rsidR="00D06DB7" w:rsidRDefault="002176E1">
      <w:pPr>
        <w:pStyle w:val="aa"/>
        <w:ind w:left="-567"/>
        <w:jc w:val="both"/>
        <w:rPr>
          <w:szCs w:val="28"/>
        </w:rPr>
      </w:pPr>
      <w:r>
        <w:rPr>
          <w:szCs w:val="28"/>
        </w:rPr>
        <w:t>Поставка товара производится партиями по индивидуальным пластиковым картам (топливным картам) на автозаправочных станциях (торгово-сервисных предприятиях), указанных участником закупки.</w:t>
      </w:r>
    </w:p>
    <w:p w:rsidR="00D06DB7" w:rsidRDefault="002176E1">
      <w:pPr>
        <w:spacing w:after="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Дополнительные сведения о закупке:</w:t>
      </w:r>
    </w:p>
    <w:p w:rsidR="00D06DB7" w:rsidRDefault="002176E1">
      <w:pPr>
        <w:spacing w:after="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КБК  100200000000000244</w:t>
      </w:r>
      <w:proofErr w:type="gramEnd"/>
    </w:p>
    <w:p w:rsidR="00D06DB7" w:rsidRDefault="002176E1">
      <w:pPr>
        <w:spacing w:after="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- ОКПД 2 19.20.21.120 «Бензин автомобильный с октановым числом более 92, но не более 95 по исследовательскому методу»    </w:t>
      </w:r>
    </w:p>
    <w:p w:rsidR="00D06DB7" w:rsidRDefault="002176E1">
      <w:pPr>
        <w:spacing w:after="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- ОКПД 2  19.20.21.130 «Бензин автомобильный с октановым числом более 95, но не более 98 по исследовательскому методу»</w:t>
      </w:r>
    </w:p>
    <w:p w:rsidR="00D06DB7" w:rsidRDefault="002176E1">
      <w:pPr>
        <w:spacing w:after="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- ОКПД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2  19.20.21.300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- Топливо дизельное</w:t>
      </w:r>
    </w:p>
    <w:p w:rsidR="00D06DB7" w:rsidRDefault="002176E1">
      <w:pPr>
        <w:spacing w:after="0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- ОКВЭД 46.71: Торговля оптовая твердым, жидким и газообразным топливом и подобными продуктами.</w:t>
      </w:r>
    </w:p>
    <w:p w:rsidR="00D06DB7" w:rsidRDefault="00D06DB7">
      <w:pPr>
        <w:pStyle w:val="HTML0"/>
        <w:shd w:val="clear" w:color="auto" w:fill="FFFFFF"/>
        <w:tabs>
          <w:tab w:val="clear" w:pos="916"/>
          <w:tab w:val="left" w:pos="-284"/>
        </w:tabs>
        <w:ind w:left="-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sectPr w:rsidR="00D06D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9D4"/>
    <w:multiLevelType w:val="multilevel"/>
    <w:tmpl w:val="A95CA8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920BEF"/>
    <w:multiLevelType w:val="multilevel"/>
    <w:tmpl w:val="FBBC0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B7"/>
    <w:rsid w:val="002176E1"/>
    <w:rsid w:val="00603BD3"/>
    <w:rsid w:val="00D0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6716"/>
  <w15:docId w15:val="{338D970C-A7C1-40A1-81C1-1744B7E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qFormat/>
    <w:rsid w:val="00FF3C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15A23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HTML0">
    <w:name w:val="HTML Preformatted"/>
    <w:basedOn w:val="a"/>
    <w:link w:val="HTML"/>
    <w:uiPriority w:val="99"/>
    <w:unhideWhenUsed/>
    <w:qFormat/>
    <w:rsid w:val="00FF3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F3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15A2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1216</Words>
  <Characters>6934</Characters>
  <Application>Microsoft Office Word</Application>
  <DocSecurity>0</DocSecurity>
  <Lines>57</Lines>
  <Paragraphs>16</Paragraphs>
  <ScaleCrop>false</ScaleCrop>
  <Company>Microsoft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cp:lastPrinted>2025-05-20T05:19:00Z</cp:lastPrinted>
  <dcterms:created xsi:type="dcterms:W3CDTF">2025-05-20T05:10:00Z</dcterms:created>
  <dcterms:modified xsi:type="dcterms:W3CDTF">2026-06-08T04:31:00Z</dcterms:modified>
  <dc:language>ru-RU</dc:language>
</cp:coreProperties>
</file>