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DD33" w14:textId="77777777" w:rsidR="008578F1" w:rsidRPr="00CA3649" w:rsidRDefault="008578F1" w:rsidP="008F6D38">
      <w:pPr>
        <w:spacing w:after="0"/>
        <w:jc w:val="center"/>
        <w:rPr>
          <w:rFonts w:ascii="Times New Roman" w:hAnsi="Times New Roman" w:cs="Times New Roman"/>
          <w:b/>
          <w:bCs/>
        </w:rPr>
      </w:pPr>
      <w:r w:rsidRPr="00CA3649">
        <w:rPr>
          <w:rFonts w:ascii="Times New Roman" w:hAnsi="Times New Roman" w:cs="Times New Roman"/>
          <w:b/>
          <w:bCs/>
        </w:rPr>
        <w:t>ТЕХНИЧЕСКОЕ ЗАДАНИЕ</w:t>
      </w:r>
    </w:p>
    <w:p w14:paraId="65AB63E2" w14:textId="0327A435" w:rsidR="00D14B7F" w:rsidRPr="00CA3649" w:rsidRDefault="008578F1" w:rsidP="009339B3">
      <w:pPr>
        <w:spacing w:after="0"/>
        <w:jc w:val="center"/>
        <w:rPr>
          <w:rFonts w:ascii="Times New Roman" w:hAnsi="Times New Roman" w:cs="Times New Roman"/>
          <w:b/>
          <w:bCs/>
        </w:rPr>
      </w:pPr>
      <w:r w:rsidRPr="00CA3649">
        <w:rPr>
          <w:rFonts w:ascii="Times New Roman" w:hAnsi="Times New Roman" w:cs="Times New Roman"/>
          <w:b/>
          <w:bCs/>
        </w:rPr>
        <w:t xml:space="preserve">на поставку </w:t>
      </w:r>
      <w:r w:rsidR="009323C6" w:rsidRPr="00CA3649">
        <w:rPr>
          <w:rFonts w:ascii="Times New Roman" w:hAnsi="Times New Roman" w:cs="Times New Roman"/>
          <w:b/>
          <w:bCs/>
        </w:rPr>
        <w:t>медицин​‍﻿‍⁠‌‍﻿‍﻿‌‌‌‍﻿​﻿‍‍⁠⁠⁠﻿﻿‌‍‌​⁠‍​‌‍﻿‌​﻿﻿⁠⁠‍​‌﻿ских изделий</w:t>
      </w:r>
      <w:r w:rsidR="00364F73" w:rsidRPr="00CA3649">
        <w:rPr>
          <w:rFonts w:ascii="Times New Roman" w:hAnsi="Times New Roman" w:cs="Times New Roman"/>
          <w:b/>
          <w:bCs/>
        </w:rPr>
        <w:t xml:space="preserve"> </w:t>
      </w:r>
    </w:p>
    <w:p w14:paraId="7BF57DC9" w14:textId="77777777" w:rsidR="00187787" w:rsidRPr="00CA3649" w:rsidRDefault="00187787" w:rsidP="008F6D38">
      <w:pPr>
        <w:spacing w:after="0"/>
        <w:jc w:val="center"/>
        <w:rPr>
          <w:rFonts w:ascii="Times New Roman" w:hAnsi="Times New Roman" w:cs="Times New Roman"/>
          <w:b/>
        </w:rPr>
      </w:pPr>
    </w:p>
    <w:tbl>
      <w:tblPr>
        <w:tblStyle w:val="a6"/>
        <w:tblW w:w="0" w:type="auto"/>
        <w:tblLook w:val="04A0" w:firstRow="1" w:lastRow="0" w:firstColumn="1" w:lastColumn="0" w:noHBand="0" w:noVBand="1"/>
      </w:tblPr>
      <w:tblGrid>
        <w:gridCol w:w="685"/>
        <w:gridCol w:w="1511"/>
        <w:gridCol w:w="2528"/>
        <w:gridCol w:w="1282"/>
        <w:gridCol w:w="1786"/>
        <w:gridCol w:w="2189"/>
        <w:gridCol w:w="10"/>
      </w:tblGrid>
      <w:tr w:rsidR="00CA3649" w:rsidRPr="00CA3649" w14:paraId="0D3C4112" w14:textId="77777777" w:rsidTr="00CA3649">
        <w:trPr>
          <w:trHeight w:val="345"/>
        </w:trPr>
        <w:tc>
          <w:tcPr>
            <w:tcW w:w="685" w:type="dxa"/>
            <w:vMerge w:val="restart"/>
            <w:hideMark/>
          </w:tcPr>
          <w:p w14:paraId="73E5F2AA" w14:textId="4FC33EB9"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 п/п</w:t>
            </w:r>
          </w:p>
        </w:tc>
        <w:tc>
          <w:tcPr>
            <w:tcW w:w="1511" w:type="dxa"/>
            <w:vMerge w:val="restart"/>
            <w:hideMark/>
          </w:tcPr>
          <w:p w14:paraId="579B574C" w14:textId="77777777"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Код</w:t>
            </w:r>
          </w:p>
        </w:tc>
        <w:tc>
          <w:tcPr>
            <w:tcW w:w="2528" w:type="dxa"/>
            <w:vMerge w:val="restart"/>
            <w:hideMark/>
          </w:tcPr>
          <w:p w14:paraId="7D70DC0B" w14:textId="77777777"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Наименование</w:t>
            </w:r>
          </w:p>
        </w:tc>
        <w:tc>
          <w:tcPr>
            <w:tcW w:w="5267" w:type="dxa"/>
            <w:gridSpan w:val="4"/>
            <w:hideMark/>
          </w:tcPr>
          <w:p w14:paraId="6DB67F3D" w14:textId="77777777"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Национальный режим</w:t>
            </w:r>
          </w:p>
        </w:tc>
      </w:tr>
      <w:tr w:rsidR="005F2391" w:rsidRPr="00CA3649" w14:paraId="7757BDA5" w14:textId="77777777" w:rsidTr="00CA3649">
        <w:trPr>
          <w:gridAfter w:val="1"/>
          <w:wAfter w:w="10" w:type="dxa"/>
          <w:trHeight w:val="345"/>
        </w:trPr>
        <w:tc>
          <w:tcPr>
            <w:tcW w:w="685" w:type="dxa"/>
            <w:vMerge/>
            <w:hideMark/>
          </w:tcPr>
          <w:p w14:paraId="5B991765" w14:textId="77777777" w:rsidR="005F2391" w:rsidRPr="00CA3649" w:rsidRDefault="005F2391" w:rsidP="005F2391">
            <w:pPr>
              <w:jc w:val="center"/>
              <w:rPr>
                <w:rFonts w:ascii="Times New Roman" w:hAnsi="Times New Roman" w:cs="Times New Roman"/>
                <w:b/>
                <w:bCs/>
              </w:rPr>
            </w:pPr>
          </w:p>
        </w:tc>
        <w:tc>
          <w:tcPr>
            <w:tcW w:w="1511" w:type="dxa"/>
            <w:vMerge/>
            <w:hideMark/>
          </w:tcPr>
          <w:p w14:paraId="1B235EF3" w14:textId="77777777" w:rsidR="005F2391" w:rsidRPr="00CA3649" w:rsidRDefault="005F2391" w:rsidP="005F2391">
            <w:pPr>
              <w:jc w:val="center"/>
              <w:rPr>
                <w:rFonts w:ascii="Times New Roman" w:hAnsi="Times New Roman" w:cs="Times New Roman"/>
                <w:b/>
                <w:bCs/>
              </w:rPr>
            </w:pPr>
          </w:p>
        </w:tc>
        <w:tc>
          <w:tcPr>
            <w:tcW w:w="2528" w:type="dxa"/>
            <w:vMerge/>
            <w:hideMark/>
          </w:tcPr>
          <w:p w14:paraId="36FE6147" w14:textId="77777777" w:rsidR="005F2391" w:rsidRPr="00CA3649" w:rsidRDefault="005F2391" w:rsidP="005F2391">
            <w:pPr>
              <w:jc w:val="center"/>
              <w:rPr>
                <w:rFonts w:ascii="Times New Roman" w:hAnsi="Times New Roman" w:cs="Times New Roman"/>
                <w:b/>
                <w:bCs/>
              </w:rPr>
            </w:pPr>
          </w:p>
        </w:tc>
        <w:tc>
          <w:tcPr>
            <w:tcW w:w="1282" w:type="dxa"/>
            <w:hideMark/>
          </w:tcPr>
          <w:p w14:paraId="57E6A1D4" w14:textId="77777777"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1875 (Запрет)</w:t>
            </w:r>
          </w:p>
        </w:tc>
        <w:tc>
          <w:tcPr>
            <w:tcW w:w="1786" w:type="dxa"/>
            <w:hideMark/>
          </w:tcPr>
          <w:p w14:paraId="45DB3555" w14:textId="77777777"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1875 (Ограничение)</w:t>
            </w:r>
          </w:p>
        </w:tc>
        <w:tc>
          <w:tcPr>
            <w:tcW w:w="2189" w:type="dxa"/>
            <w:hideMark/>
          </w:tcPr>
          <w:p w14:paraId="0599C643" w14:textId="77777777" w:rsidR="005F2391" w:rsidRPr="00CA3649" w:rsidRDefault="005F2391" w:rsidP="005F2391">
            <w:pPr>
              <w:jc w:val="center"/>
              <w:rPr>
                <w:rFonts w:ascii="Times New Roman" w:hAnsi="Times New Roman" w:cs="Times New Roman"/>
                <w:b/>
                <w:bCs/>
              </w:rPr>
            </w:pPr>
            <w:r w:rsidRPr="00CA3649">
              <w:rPr>
                <w:rFonts w:ascii="Times New Roman" w:hAnsi="Times New Roman" w:cs="Times New Roman"/>
                <w:b/>
                <w:bCs/>
              </w:rPr>
              <w:t>1875 (Преимущество)</w:t>
            </w:r>
          </w:p>
        </w:tc>
      </w:tr>
      <w:tr w:rsidR="005F2391" w:rsidRPr="00CA3649" w14:paraId="62DD3F7D" w14:textId="77777777" w:rsidTr="00CA3649">
        <w:trPr>
          <w:gridAfter w:val="1"/>
          <w:wAfter w:w="10" w:type="dxa"/>
          <w:trHeight w:val="630"/>
        </w:trPr>
        <w:tc>
          <w:tcPr>
            <w:tcW w:w="685" w:type="dxa"/>
            <w:hideMark/>
          </w:tcPr>
          <w:p w14:paraId="7C1363D1" w14:textId="77777777" w:rsidR="005F2391" w:rsidRPr="00CA3649" w:rsidRDefault="005F2391" w:rsidP="005F2391">
            <w:pPr>
              <w:jc w:val="center"/>
              <w:rPr>
                <w:rFonts w:ascii="Times New Roman" w:hAnsi="Times New Roman" w:cs="Times New Roman"/>
                <w:bCs/>
              </w:rPr>
            </w:pPr>
            <w:r w:rsidRPr="00CA3649">
              <w:rPr>
                <w:rFonts w:ascii="Times New Roman" w:hAnsi="Times New Roman" w:cs="Times New Roman"/>
                <w:bCs/>
              </w:rPr>
              <w:t>1</w:t>
            </w:r>
          </w:p>
        </w:tc>
        <w:tc>
          <w:tcPr>
            <w:tcW w:w="1511" w:type="dxa"/>
            <w:hideMark/>
          </w:tcPr>
          <w:p w14:paraId="0EE932F4" w14:textId="77777777" w:rsidR="005F2391" w:rsidRPr="00CA3649" w:rsidRDefault="005F2391" w:rsidP="005F2391">
            <w:pPr>
              <w:jc w:val="center"/>
              <w:rPr>
                <w:rFonts w:ascii="Times New Roman" w:hAnsi="Times New Roman" w:cs="Times New Roman"/>
                <w:bCs/>
              </w:rPr>
            </w:pPr>
            <w:r w:rsidRPr="00CA3649">
              <w:rPr>
                <w:rFonts w:ascii="Times New Roman" w:hAnsi="Times New Roman" w:cs="Times New Roman"/>
                <w:bCs/>
              </w:rPr>
              <w:t>21.20.24.180</w:t>
            </w:r>
          </w:p>
        </w:tc>
        <w:tc>
          <w:tcPr>
            <w:tcW w:w="2528" w:type="dxa"/>
            <w:hideMark/>
          </w:tcPr>
          <w:p w14:paraId="23546F05" w14:textId="44A01DAF" w:rsidR="005F2391" w:rsidRPr="00CA3649" w:rsidRDefault="005F2391" w:rsidP="005F2391">
            <w:pPr>
              <w:jc w:val="center"/>
              <w:rPr>
                <w:rFonts w:ascii="Times New Roman" w:hAnsi="Times New Roman" w:cs="Times New Roman"/>
                <w:bCs/>
              </w:rPr>
            </w:pPr>
            <w:r w:rsidRPr="00CA3649">
              <w:rPr>
                <w:rFonts w:ascii="Times New Roman" w:hAnsi="Times New Roman" w:cs="Times New Roman"/>
                <w:bCs/>
              </w:rPr>
              <w:t>Материал композитный пломбировочный светового отверждения «</w:t>
            </w:r>
            <w:proofErr w:type="spellStart"/>
            <w:r w:rsidRPr="00CA3649">
              <w:rPr>
                <w:rFonts w:ascii="Times New Roman" w:hAnsi="Times New Roman" w:cs="Times New Roman"/>
                <w:bCs/>
              </w:rPr>
              <w:t>Призмафил</w:t>
            </w:r>
            <w:proofErr w:type="spellEnd"/>
            <w:r w:rsidRPr="00CA3649">
              <w:rPr>
                <w:rFonts w:ascii="Times New Roman" w:hAnsi="Times New Roman" w:cs="Times New Roman"/>
                <w:bCs/>
              </w:rPr>
              <w:t>»</w:t>
            </w:r>
          </w:p>
        </w:tc>
        <w:tc>
          <w:tcPr>
            <w:tcW w:w="1282" w:type="dxa"/>
            <w:hideMark/>
          </w:tcPr>
          <w:p w14:paraId="7933C504" w14:textId="77777777" w:rsidR="005F2391" w:rsidRPr="00CA3649" w:rsidRDefault="005F2391" w:rsidP="005F2391">
            <w:pPr>
              <w:jc w:val="center"/>
              <w:rPr>
                <w:rFonts w:ascii="Times New Roman" w:hAnsi="Times New Roman" w:cs="Times New Roman"/>
                <w:bCs/>
              </w:rPr>
            </w:pPr>
          </w:p>
        </w:tc>
        <w:tc>
          <w:tcPr>
            <w:tcW w:w="1786" w:type="dxa"/>
            <w:hideMark/>
          </w:tcPr>
          <w:p w14:paraId="521A1F1E" w14:textId="77777777" w:rsidR="005F2391" w:rsidRPr="00CA3649" w:rsidRDefault="005F2391" w:rsidP="005F2391">
            <w:pPr>
              <w:jc w:val="center"/>
              <w:rPr>
                <w:rFonts w:ascii="Times New Roman" w:hAnsi="Times New Roman" w:cs="Times New Roman"/>
                <w:bCs/>
              </w:rPr>
            </w:pPr>
          </w:p>
        </w:tc>
        <w:tc>
          <w:tcPr>
            <w:tcW w:w="2189" w:type="dxa"/>
            <w:hideMark/>
          </w:tcPr>
          <w:p w14:paraId="4F2894B2" w14:textId="77777777" w:rsidR="005F2391" w:rsidRPr="00CA3649" w:rsidRDefault="005F2391" w:rsidP="005F2391">
            <w:pPr>
              <w:jc w:val="center"/>
              <w:rPr>
                <w:rFonts w:ascii="Times New Roman" w:hAnsi="Times New Roman" w:cs="Times New Roman"/>
                <w:bCs/>
              </w:rPr>
            </w:pPr>
            <w:r w:rsidRPr="00CA3649">
              <w:rPr>
                <w:rFonts w:ascii="Segoe UI Symbol" w:hAnsi="Segoe UI Symbol" w:cs="Segoe UI Symbol"/>
                <w:bCs/>
              </w:rPr>
              <w:t>✓</w:t>
            </w:r>
          </w:p>
        </w:tc>
      </w:tr>
    </w:tbl>
    <w:p w14:paraId="7A463FC8" w14:textId="5A803643" w:rsidR="00A95489" w:rsidRDefault="00A95489" w:rsidP="008F6D38">
      <w:pPr>
        <w:spacing w:after="0"/>
        <w:jc w:val="center"/>
        <w:rPr>
          <w:rFonts w:ascii="Times New Roman" w:hAnsi="Times New Roman" w:cs="Times New Roman"/>
          <w:b/>
        </w:rPr>
      </w:pPr>
    </w:p>
    <w:p w14:paraId="704CF082" w14:textId="77777777" w:rsidR="00CA3649" w:rsidRDefault="00CA3649" w:rsidP="00CA3649">
      <w:pPr>
        <w:spacing w:after="0" w:line="240" w:lineRule="auto"/>
        <w:jc w:val="both"/>
        <w:rPr>
          <w:rFonts w:ascii="Times New Roman" w:hAnsi="Times New Roman" w:cs="Times New Roman"/>
          <w:bCs/>
          <w:i/>
          <w:iCs/>
          <w:lang w:val="ba-RU"/>
        </w:rPr>
      </w:pPr>
      <w:bookmarkStart w:id="0" w:name="_Hlk181802425"/>
      <w:bookmarkStart w:id="1" w:name="_Hlk221888732"/>
      <w:r w:rsidRPr="00A95B0E">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6E895037" w14:textId="77777777" w:rsidR="00CA3649" w:rsidRPr="00CA3649" w:rsidRDefault="00CA3649" w:rsidP="008F6D38">
      <w:pPr>
        <w:spacing w:after="0"/>
        <w:jc w:val="center"/>
        <w:rPr>
          <w:rFonts w:ascii="Times New Roman" w:hAnsi="Times New Roman" w:cs="Times New Roman"/>
          <w:b/>
        </w:rPr>
      </w:pPr>
    </w:p>
    <w:p w14:paraId="4EB855CF" w14:textId="69E1F389" w:rsidR="00862731" w:rsidRPr="00CA3649" w:rsidRDefault="00862731" w:rsidP="008F6D38">
      <w:pPr>
        <w:spacing w:after="0"/>
        <w:rPr>
          <w:rFonts w:ascii="Times New Roman" w:hAnsi="Times New Roman" w:cs="Times New Roman"/>
          <w:b/>
          <w:bCs/>
        </w:rPr>
      </w:pPr>
      <w:r w:rsidRPr="00CA3649">
        <w:rPr>
          <w:rFonts w:ascii="Times New Roman" w:hAnsi="Times New Roman" w:cs="Times New Roman"/>
          <w:b/>
          <w:bCs/>
        </w:rPr>
        <w:t>1. Объект закупки:</w:t>
      </w:r>
    </w:p>
    <w:tbl>
      <w:tblPr>
        <w:tblW w:w="5000" w:type="pct"/>
        <w:tblInd w:w="-5" w:type="dxa"/>
        <w:tblLook w:val="04A0" w:firstRow="1" w:lastRow="0" w:firstColumn="1" w:lastColumn="0" w:noHBand="0" w:noVBand="1"/>
      </w:tblPr>
      <w:tblGrid>
        <w:gridCol w:w="547"/>
        <w:gridCol w:w="2230"/>
        <w:gridCol w:w="5463"/>
        <w:gridCol w:w="870"/>
        <w:gridCol w:w="1086"/>
      </w:tblGrid>
      <w:tr w:rsidR="009339B3" w:rsidRPr="00CA3649" w14:paraId="6050110C" w14:textId="77777777" w:rsidTr="009339B3">
        <w:trPr>
          <w:trHeight w:val="20"/>
        </w:trPr>
        <w:tc>
          <w:tcPr>
            <w:tcW w:w="547" w:type="dxa"/>
            <w:tcBorders>
              <w:top w:val="single" w:sz="4" w:space="0" w:color="auto"/>
              <w:left w:val="single" w:sz="4" w:space="0" w:color="auto"/>
              <w:bottom w:val="single" w:sz="4" w:space="0" w:color="auto"/>
              <w:right w:val="single" w:sz="4" w:space="0" w:color="auto"/>
            </w:tcBorders>
          </w:tcPr>
          <w:p w14:paraId="3ADC27C7" w14:textId="1D9C8412" w:rsidR="009339B3" w:rsidRPr="00CA3649" w:rsidRDefault="009339B3" w:rsidP="008F6D38">
            <w:pPr>
              <w:spacing w:after="0" w:line="240" w:lineRule="auto"/>
              <w:jc w:val="center"/>
              <w:rPr>
                <w:rFonts w:ascii="Times New Roman" w:eastAsia="Times New Roman" w:hAnsi="Times New Roman" w:cs="Times New Roman"/>
                <w:b/>
                <w:bCs/>
                <w:lang w:eastAsia="ru-RU"/>
              </w:rPr>
            </w:pPr>
            <w:r w:rsidRPr="00CA3649">
              <w:rPr>
                <w:rFonts w:ascii="Times New Roman" w:eastAsia="Times New Roman" w:hAnsi="Times New Roman" w:cs="Times New Roman"/>
                <w:b/>
                <w:bCs/>
                <w:lang w:eastAsia="ru-RU"/>
              </w:rPr>
              <w:t>№ п/п</w:t>
            </w:r>
          </w:p>
        </w:tc>
        <w:tc>
          <w:tcPr>
            <w:tcW w:w="2241" w:type="dxa"/>
            <w:tcBorders>
              <w:top w:val="single" w:sz="4" w:space="0" w:color="auto"/>
              <w:left w:val="single" w:sz="4" w:space="0" w:color="auto"/>
              <w:bottom w:val="single" w:sz="4" w:space="0" w:color="auto"/>
              <w:right w:val="single" w:sz="4" w:space="0" w:color="auto"/>
            </w:tcBorders>
            <w:shd w:val="clear" w:color="auto" w:fill="auto"/>
            <w:hideMark/>
          </w:tcPr>
          <w:p w14:paraId="7215F20B" w14:textId="7F7B5E43" w:rsidR="009339B3" w:rsidRPr="00CA3649" w:rsidRDefault="009339B3" w:rsidP="008F6D38">
            <w:pPr>
              <w:spacing w:after="0" w:line="240" w:lineRule="auto"/>
              <w:jc w:val="center"/>
              <w:rPr>
                <w:rFonts w:ascii="Times New Roman" w:eastAsia="Times New Roman" w:hAnsi="Times New Roman" w:cs="Times New Roman"/>
                <w:b/>
                <w:bCs/>
                <w:lang w:eastAsia="ru-RU"/>
              </w:rPr>
            </w:pPr>
            <w:r w:rsidRPr="00CA3649">
              <w:rPr>
                <w:rFonts w:ascii="Times New Roman" w:eastAsia="Times New Roman" w:hAnsi="Times New Roman" w:cs="Times New Roman"/>
                <w:b/>
                <w:bCs/>
                <w:lang w:eastAsia="ru-RU"/>
              </w:rPr>
              <w:t>Наименование</w:t>
            </w:r>
          </w:p>
        </w:tc>
        <w:tc>
          <w:tcPr>
            <w:tcW w:w="5527" w:type="dxa"/>
            <w:tcBorders>
              <w:top w:val="single" w:sz="4" w:space="0" w:color="auto"/>
              <w:left w:val="single" w:sz="4" w:space="0" w:color="auto"/>
              <w:bottom w:val="single" w:sz="4" w:space="0" w:color="auto"/>
              <w:right w:val="single" w:sz="4" w:space="0" w:color="auto"/>
            </w:tcBorders>
          </w:tcPr>
          <w:p w14:paraId="268DDA5D" w14:textId="38425E65" w:rsidR="009339B3" w:rsidRPr="00CA3649" w:rsidRDefault="009339B3" w:rsidP="008F6D38">
            <w:pPr>
              <w:spacing w:after="0" w:line="240" w:lineRule="auto"/>
              <w:jc w:val="center"/>
              <w:rPr>
                <w:rFonts w:ascii="Times New Roman" w:eastAsia="Times New Roman" w:hAnsi="Times New Roman" w:cs="Times New Roman"/>
                <w:b/>
                <w:bCs/>
                <w:lang w:eastAsia="ru-RU"/>
              </w:rPr>
            </w:pPr>
            <w:r w:rsidRPr="00CA3649">
              <w:rPr>
                <w:rFonts w:ascii="Times New Roman" w:eastAsia="Times New Roman" w:hAnsi="Times New Roman" w:cs="Times New Roman"/>
                <w:b/>
                <w:bCs/>
                <w:lang w:eastAsia="ru-RU"/>
              </w:rPr>
              <w:t>Характеристики</w:t>
            </w:r>
          </w:p>
        </w:tc>
        <w:tc>
          <w:tcPr>
            <w:tcW w:w="877" w:type="dxa"/>
            <w:tcBorders>
              <w:top w:val="single" w:sz="4" w:space="0" w:color="auto"/>
              <w:left w:val="single" w:sz="4" w:space="0" w:color="auto"/>
              <w:bottom w:val="single" w:sz="4" w:space="0" w:color="auto"/>
              <w:right w:val="single" w:sz="4" w:space="0" w:color="auto"/>
            </w:tcBorders>
          </w:tcPr>
          <w:p w14:paraId="1079DA00" w14:textId="77777777" w:rsidR="009339B3" w:rsidRPr="00CA3649" w:rsidRDefault="009339B3" w:rsidP="008F6D38">
            <w:pPr>
              <w:spacing w:after="0" w:line="240" w:lineRule="auto"/>
              <w:jc w:val="center"/>
              <w:rPr>
                <w:rFonts w:ascii="Times New Roman" w:eastAsia="Times New Roman" w:hAnsi="Times New Roman" w:cs="Times New Roman"/>
                <w:b/>
                <w:bCs/>
                <w:lang w:eastAsia="ru-RU"/>
              </w:rPr>
            </w:pPr>
            <w:r w:rsidRPr="00CA3649">
              <w:rPr>
                <w:rFonts w:ascii="Times New Roman" w:eastAsia="Times New Roman" w:hAnsi="Times New Roman" w:cs="Times New Roman"/>
                <w:b/>
                <w:bCs/>
                <w:lang w:eastAsia="ru-RU"/>
              </w:rPr>
              <w:t>Ед.</w:t>
            </w:r>
          </w:p>
          <w:p w14:paraId="5BE77339" w14:textId="6F46F6E0" w:rsidR="009339B3" w:rsidRPr="00CA3649" w:rsidRDefault="009339B3" w:rsidP="008F6D38">
            <w:pPr>
              <w:spacing w:after="0" w:line="240" w:lineRule="auto"/>
              <w:jc w:val="center"/>
              <w:rPr>
                <w:rFonts w:ascii="Times New Roman" w:eastAsia="Times New Roman" w:hAnsi="Times New Roman" w:cs="Times New Roman"/>
                <w:b/>
                <w:bCs/>
                <w:lang w:eastAsia="ru-RU"/>
              </w:rPr>
            </w:pPr>
            <w:r w:rsidRPr="00CA3649">
              <w:rPr>
                <w:rFonts w:ascii="Times New Roman" w:eastAsia="Times New Roman" w:hAnsi="Times New Roman" w:cs="Times New Roman"/>
                <w:b/>
                <w:bCs/>
                <w:lang w:eastAsia="ru-RU"/>
              </w:rPr>
              <w:t>изм.</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206C304" w14:textId="2F809C32" w:rsidR="009339B3" w:rsidRPr="00CA3649" w:rsidRDefault="009339B3" w:rsidP="009339B3">
            <w:pPr>
              <w:spacing w:after="0" w:line="240" w:lineRule="auto"/>
              <w:jc w:val="center"/>
              <w:rPr>
                <w:rFonts w:ascii="Times New Roman" w:eastAsia="Times New Roman" w:hAnsi="Times New Roman" w:cs="Times New Roman"/>
                <w:b/>
                <w:bCs/>
                <w:lang w:eastAsia="ru-RU"/>
              </w:rPr>
            </w:pPr>
            <w:proofErr w:type="gramStart"/>
            <w:r w:rsidRPr="00CA3649">
              <w:rPr>
                <w:rFonts w:ascii="Times New Roman" w:eastAsia="Times New Roman" w:hAnsi="Times New Roman" w:cs="Times New Roman"/>
                <w:b/>
                <w:bCs/>
                <w:lang w:eastAsia="ru-RU"/>
              </w:rPr>
              <w:t>Коли-</w:t>
            </w:r>
            <w:proofErr w:type="spellStart"/>
            <w:r w:rsidRPr="00CA3649">
              <w:rPr>
                <w:rFonts w:ascii="Times New Roman" w:eastAsia="Times New Roman" w:hAnsi="Times New Roman" w:cs="Times New Roman"/>
                <w:b/>
                <w:bCs/>
                <w:lang w:eastAsia="ru-RU"/>
              </w:rPr>
              <w:t>чество</w:t>
            </w:r>
            <w:proofErr w:type="spellEnd"/>
            <w:proofErr w:type="gramEnd"/>
            <w:r w:rsidRPr="00CA3649">
              <w:rPr>
                <w:rFonts w:ascii="Times New Roman" w:eastAsia="Times New Roman" w:hAnsi="Times New Roman" w:cs="Times New Roman"/>
                <w:b/>
                <w:bCs/>
                <w:lang w:eastAsia="ru-RU"/>
              </w:rPr>
              <w:t xml:space="preserve"> </w:t>
            </w:r>
          </w:p>
        </w:tc>
      </w:tr>
      <w:tr w:rsidR="009339B3" w:rsidRPr="00CA3649" w14:paraId="41C08B18" w14:textId="77777777" w:rsidTr="009339B3">
        <w:trPr>
          <w:trHeight w:val="20"/>
        </w:trPr>
        <w:tc>
          <w:tcPr>
            <w:tcW w:w="547" w:type="dxa"/>
            <w:tcBorders>
              <w:top w:val="single" w:sz="4" w:space="0" w:color="auto"/>
              <w:left w:val="single" w:sz="4" w:space="0" w:color="auto"/>
              <w:bottom w:val="single" w:sz="4" w:space="0" w:color="auto"/>
              <w:right w:val="single" w:sz="4" w:space="0" w:color="auto"/>
            </w:tcBorders>
          </w:tcPr>
          <w:p w14:paraId="2519A38C" w14:textId="485FD662" w:rsidR="009339B3" w:rsidRPr="00CA3649" w:rsidRDefault="009339B3" w:rsidP="005F2391">
            <w:pPr>
              <w:spacing w:after="0" w:line="240" w:lineRule="auto"/>
              <w:rPr>
                <w:rFonts w:ascii="Times New Roman" w:eastAsia="Times New Roman" w:hAnsi="Times New Roman" w:cs="Times New Roman"/>
                <w:lang w:eastAsia="ru-RU"/>
              </w:rPr>
            </w:pPr>
            <w:r w:rsidRPr="00CA3649">
              <w:rPr>
                <w:rFonts w:ascii="Times New Roman" w:eastAsia="Times New Roman" w:hAnsi="Times New Roman" w:cs="Times New Roman"/>
                <w:lang w:eastAsia="ru-RU"/>
              </w:rPr>
              <w:t>1</w:t>
            </w:r>
          </w:p>
        </w:tc>
        <w:tc>
          <w:tcPr>
            <w:tcW w:w="2241" w:type="dxa"/>
            <w:tcBorders>
              <w:top w:val="single" w:sz="4" w:space="0" w:color="auto"/>
              <w:left w:val="single" w:sz="4" w:space="0" w:color="auto"/>
              <w:bottom w:val="single" w:sz="4" w:space="0" w:color="auto"/>
              <w:right w:val="single" w:sz="4" w:space="0" w:color="auto"/>
            </w:tcBorders>
            <w:shd w:val="clear" w:color="auto" w:fill="auto"/>
          </w:tcPr>
          <w:p w14:paraId="1A5D9CE3" w14:textId="77777777" w:rsidR="005F2391" w:rsidRPr="00CA3649" w:rsidRDefault="005F2391" w:rsidP="005F2391">
            <w:pPr>
              <w:spacing w:after="0" w:line="240" w:lineRule="auto"/>
              <w:rPr>
                <w:rFonts w:ascii="Times New Roman" w:eastAsia="Times New Roman" w:hAnsi="Times New Roman" w:cs="Times New Roman"/>
                <w:lang w:eastAsia="ru-RU"/>
              </w:rPr>
            </w:pPr>
            <w:r w:rsidRPr="00CA3649">
              <w:rPr>
                <w:rFonts w:ascii="Times New Roman" w:eastAsia="Times New Roman" w:hAnsi="Times New Roman" w:cs="Times New Roman"/>
                <w:lang w:eastAsia="ru-RU"/>
              </w:rPr>
              <w:t xml:space="preserve">Материал композитный пломбировочный светового отверждения </w:t>
            </w:r>
          </w:p>
          <w:p w14:paraId="7AAAD6DE" w14:textId="14586DD6" w:rsidR="009339B3" w:rsidRPr="00CA3649" w:rsidRDefault="005F2391" w:rsidP="005F2391">
            <w:pPr>
              <w:spacing w:after="0" w:line="240" w:lineRule="auto"/>
              <w:rPr>
                <w:rFonts w:ascii="Times New Roman" w:eastAsia="Times New Roman" w:hAnsi="Times New Roman" w:cs="Times New Roman"/>
                <w:lang w:eastAsia="ru-RU"/>
              </w:rPr>
            </w:pPr>
            <w:r w:rsidRPr="00CA3649">
              <w:rPr>
                <w:rFonts w:ascii="Times New Roman" w:eastAsia="Times New Roman" w:hAnsi="Times New Roman" w:cs="Times New Roman"/>
                <w:lang w:eastAsia="ru-RU"/>
              </w:rPr>
              <w:t>«</w:t>
            </w:r>
            <w:proofErr w:type="spellStart"/>
            <w:r w:rsidRPr="00CA3649">
              <w:rPr>
                <w:rFonts w:ascii="Times New Roman" w:eastAsia="Times New Roman" w:hAnsi="Times New Roman" w:cs="Times New Roman"/>
                <w:lang w:eastAsia="ru-RU"/>
              </w:rPr>
              <w:t>Призмафил</w:t>
            </w:r>
            <w:proofErr w:type="spellEnd"/>
            <w:r w:rsidRPr="00CA3649">
              <w:rPr>
                <w:rFonts w:ascii="Times New Roman" w:eastAsia="Times New Roman" w:hAnsi="Times New Roman" w:cs="Times New Roman"/>
                <w:lang w:eastAsia="ru-RU"/>
              </w:rPr>
              <w:t>»</w:t>
            </w:r>
          </w:p>
        </w:tc>
        <w:tc>
          <w:tcPr>
            <w:tcW w:w="5527" w:type="dxa"/>
            <w:tcBorders>
              <w:top w:val="single" w:sz="4" w:space="0" w:color="auto"/>
              <w:left w:val="single" w:sz="4" w:space="0" w:color="auto"/>
              <w:bottom w:val="single" w:sz="4" w:space="0" w:color="auto"/>
              <w:right w:val="single" w:sz="4" w:space="0" w:color="auto"/>
            </w:tcBorders>
          </w:tcPr>
          <w:p w14:paraId="213DCE2D" w14:textId="77777777" w:rsidR="005F2391" w:rsidRPr="00CA3649" w:rsidRDefault="005F2391" w:rsidP="005F2391">
            <w:pPr>
              <w:spacing w:after="0" w:line="240" w:lineRule="auto"/>
              <w:rPr>
                <w:rFonts w:ascii="Times New Roman" w:hAnsi="Times New Roman" w:cs="Times New Roman"/>
                <w:bCs/>
              </w:rPr>
            </w:pPr>
            <w:r w:rsidRPr="00CA3649">
              <w:rPr>
                <w:rFonts w:ascii="Times New Roman" w:hAnsi="Times New Roman" w:cs="Times New Roman"/>
                <w:bCs/>
              </w:rPr>
              <w:t>предназначен для пломбирования зубов, а также для восстановления</w:t>
            </w:r>
          </w:p>
          <w:p w14:paraId="31FF392F" w14:textId="36F949A5" w:rsidR="009339B3" w:rsidRPr="00CA3649" w:rsidRDefault="005F2391" w:rsidP="005F2391">
            <w:pPr>
              <w:spacing w:after="0" w:line="240" w:lineRule="auto"/>
              <w:rPr>
                <w:rFonts w:ascii="Times New Roman" w:hAnsi="Times New Roman" w:cs="Times New Roman"/>
                <w:bCs/>
              </w:rPr>
            </w:pPr>
            <w:r w:rsidRPr="00CA3649">
              <w:rPr>
                <w:rFonts w:ascii="Times New Roman" w:hAnsi="Times New Roman" w:cs="Times New Roman"/>
                <w:bCs/>
              </w:rPr>
              <w:t xml:space="preserve">анатомической формы зуба. </w:t>
            </w:r>
            <w:proofErr w:type="spellStart"/>
            <w:r w:rsidRPr="00CA3649">
              <w:rPr>
                <w:rFonts w:ascii="Times New Roman" w:hAnsi="Times New Roman" w:cs="Times New Roman"/>
                <w:bCs/>
              </w:rPr>
              <w:t>Отверждается</w:t>
            </w:r>
            <w:proofErr w:type="spellEnd"/>
            <w:r w:rsidRPr="00CA3649">
              <w:rPr>
                <w:rFonts w:ascii="Times New Roman" w:hAnsi="Times New Roman" w:cs="Times New Roman"/>
                <w:bCs/>
              </w:rPr>
              <w:t xml:space="preserve"> видимым светом длиной волны </w:t>
            </w:r>
            <w:r w:rsidR="00CA3649">
              <w:rPr>
                <w:rFonts w:ascii="Times New Roman" w:hAnsi="Times New Roman" w:cs="Times New Roman"/>
                <w:bCs/>
              </w:rPr>
              <w:t xml:space="preserve">от </w:t>
            </w:r>
            <w:r w:rsidRPr="00CA3649">
              <w:rPr>
                <w:rFonts w:ascii="Times New Roman" w:hAnsi="Times New Roman" w:cs="Times New Roman"/>
                <w:bCs/>
              </w:rPr>
              <w:t xml:space="preserve">450 </w:t>
            </w:r>
            <w:r w:rsidR="00CA3649">
              <w:rPr>
                <w:rFonts w:ascii="Times New Roman" w:hAnsi="Times New Roman" w:cs="Times New Roman"/>
                <w:bCs/>
              </w:rPr>
              <w:t>до</w:t>
            </w:r>
            <w:r w:rsidRPr="00CA3649">
              <w:rPr>
                <w:rFonts w:ascii="Times New Roman" w:hAnsi="Times New Roman" w:cs="Times New Roman"/>
                <w:bCs/>
              </w:rPr>
              <w:t xml:space="preserve"> 500 </w:t>
            </w:r>
            <w:proofErr w:type="spellStart"/>
            <w:r w:rsidRPr="00CA3649">
              <w:rPr>
                <w:rFonts w:ascii="Times New Roman" w:hAnsi="Times New Roman" w:cs="Times New Roman"/>
                <w:bCs/>
              </w:rPr>
              <w:t>нм</w:t>
            </w:r>
            <w:proofErr w:type="spellEnd"/>
          </w:p>
          <w:p w14:paraId="2CBBEE62" w14:textId="77777777" w:rsidR="00CA3649" w:rsidRDefault="005F2391" w:rsidP="005F2391">
            <w:pPr>
              <w:spacing w:after="0" w:line="240" w:lineRule="auto"/>
              <w:rPr>
                <w:rFonts w:ascii="Times New Roman" w:hAnsi="Times New Roman" w:cs="Times New Roman"/>
                <w:bCs/>
              </w:rPr>
            </w:pPr>
            <w:r w:rsidRPr="00CA3649">
              <w:rPr>
                <w:rFonts w:ascii="Times New Roman" w:hAnsi="Times New Roman" w:cs="Times New Roman"/>
                <w:bCs/>
              </w:rPr>
              <w:t xml:space="preserve">Материал представляет собой композит на основе органического связующего и </w:t>
            </w:r>
            <w:proofErr w:type="spellStart"/>
            <w:r w:rsidRPr="00CA3649">
              <w:rPr>
                <w:rFonts w:ascii="Times New Roman" w:hAnsi="Times New Roman" w:cs="Times New Roman"/>
                <w:bCs/>
              </w:rPr>
              <w:t>бариевоалюмоборосиликатного</w:t>
            </w:r>
            <w:proofErr w:type="spellEnd"/>
            <w:r w:rsidRPr="00CA3649">
              <w:rPr>
                <w:rFonts w:ascii="Times New Roman" w:hAnsi="Times New Roman" w:cs="Times New Roman"/>
                <w:bCs/>
              </w:rPr>
              <w:t xml:space="preserve"> наполнителя. </w:t>
            </w:r>
          </w:p>
          <w:p w14:paraId="180B7697" w14:textId="605EB7BE" w:rsidR="005F2391" w:rsidRPr="00CA3649" w:rsidRDefault="005F2391" w:rsidP="005F2391">
            <w:pPr>
              <w:spacing w:after="0" w:line="240" w:lineRule="auto"/>
              <w:rPr>
                <w:rFonts w:ascii="Times New Roman" w:hAnsi="Times New Roman" w:cs="Times New Roman"/>
                <w:bCs/>
              </w:rPr>
            </w:pPr>
            <w:r w:rsidRPr="00CA3649">
              <w:rPr>
                <w:rFonts w:ascii="Times New Roman" w:hAnsi="Times New Roman" w:cs="Times New Roman"/>
                <w:bCs/>
              </w:rPr>
              <w:t>По размеру частиц</w:t>
            </w:r>
            <w:r w:rsidRPr="00CA3649">
              <w:rPr>
                <w:rFonts w:ascii="Times New Roman" w:hAnsi="Times New Roman" w:cs="Times New Roman"/>
                <w:bCs/>
              </w:rPr>
              <w:t xml:space="preserve"> </w:t>
            </w:r>
            <w:r w:rsidRPr="00CA3649">
              <w:rPr>
                <w:rFonts w:ascii="Times New Roman" w:hAnsi="Times New Roman" w:cs="Times New Roman"/>
                <w:bCs/>
              </w:rPr>
              <w:t xml:space="preserve">наполнителя материал классифицируется как </w:t>
            </w:r>
            <w:proofErr w:type="spellStart"/>
            <w:r w:rsidRPr="00CA3649">
              <w:rPr>
                <w:rFonts w:ascii="Times New Roman" w:hAnsi="Times New Roman" w:cs="Times New Roman"/>
                <w:bCs/>
              </w:rPr>
              <w:t>мининаполненный</w:t>
            </w:r>
            <w:proofErr w:type="spellEnd"/>
            <w:r w:rsidRPr="00CA3649">
              <w:rPr>
                <w:rFonts w:ascii="Times New Roman" w:hAnsi="Times New Roman" w:cs="Times New Roman"/>
                <w:bCs/>
              </w:rPr>
              <w:t>.</w:t>
            </w:r>
          </w:p>
          <w:p w14:paraId="0AD14BBC" w14:textId="77777777" w:rsidR="005F2391" w:rsidRPr="00CA3649" w:rsidRDefault="005F2391" w:rsidP="005F2391">
            <w:pPr>
              <w:pStyle w:val="3"/>
              <w:spacing w:before="0" w:line="240" w:lineRule="auto"/>
              <w:rPr>
                <w:rFonts w:ascii="Times New Roman" w:hAnsi="Times New Roman" w:cs="Times New Roman"/>
                <w:b w:val="0"/>
                <w:i/>
                <w:iCs/>
                <w:color w:val="000000" w:themeColor="text1"/>
              </w:rPr>
            </w:pPr>
            <w:r w:rsidRPr="00CA3649">
              <w:rPr>
                <w:rFonts w:ascii="Times New Roman" w:hAnsi="Times New Roman" w:cs="Times New Roman"/>
                <w:b w:val="0"/>
                <w:i/>
                <w:iCs/>
                <w:color w:val="000000" w:themeColor="text1"/>
              </w:rPr>
              <w:t>Комплектность:</w:t>
            </w:r>
          </w:p>
          <w:p w14:paraId="1A532CB6" w14:textId="35B9A5A9" w:rsidR="005F2391" w:rsidRPr="00CA3649" w:rsidRDefault="005F2391" w:rsidP="00CA3649">
            <w:pPr>
              <w:numPr>
                <w:ilvl w:val="0"/>
                <w:numId w:val="2"/>
              </w:numPr>
              <w:tabs>
                <w:tab w:val="clear" w:pos="720"/>
                <w:tab w:val="num" w:pos="0"/>
                <w:tab w:val="left" w:pos="240"/>
              </w:tabs>
              <w:spacing w:after="0" w:line="240" w:lineRule="auto"/>
              <w:ind w:left="0" w:firstLine="0"/>
              <w:rPr>
                <w:rFonts w:ascii="Times New Roman" w:hAnsi="Times New Roman" w:cs="Times New Roman"/>
              </w:rPr>
            </w:pPr>
            <w:r w:rsidRPr="00CA3649">
              <w:rPr>
                <w:rFonts w:ascii="Times New Roman" w:hAnsi="Times New Roman" w:cs="Times New Roman"/>
              </w:rPr>
              <w:t xml:space="preserve">4 шприца с пломбировочным материалом (цвета А2; А3; В2; С4) - по </w:t>
            </w:r>
            <w:r w:rsidR="00CA3649">
              <w:rPr>
                <w:rFonts w:ascii="Times New Roman" w:hAnsi="Times New Roman" w:cs="Times New Roman"/>
              </w:rPr>
              <w:t xml:space="preserve">не менее </w:t>
            </w:r>
            <w:r w:rsidRPr="00CA3649">
              <w:rPr>
                <w:rFonts w:ascii="Times New Roman" w:hAnsi="Times New Roman" w:cs="Times New Roman"/>
              </w:rPr>
              <w:t>4,5г;</w:t>
            </w:r>
          </w:p>
          <w:p w14:paraId="03E70B8D" w14:textId="7A63DEE8" w:rsidR="005F2391" w:rsidRPr="00CA3649" w:rsidRDefault="005F2391" w:rsidP="00CA3649">
            <w:pPr>
              <w:numPr>
                <w:ilvl w:val="0"/>
                <w:numId w:val="2"/>
              </w:numPr>
              <w:tabs>
                <w:tab w:val="clear" w:pos="720"/>
                <w:tab w:val="num" w:pos="0"/>
                <w:tab w:val="left" w:pos="240"/>
              </w:tabs>
              <w:spacing w:after="0" w:line="240" w:lineRule="auto"/>
              <w:ind w:left="0" w:firstLine="0"/>
              <w:rPr>
                <w:rFonts w:ascii="Times New Roman" w:hAnsi="Times New Roman" w:cs="Times New Roman"/>
              </w:rPr>
            </w:pPr>
            <w:r w:rsidRPr="00CA3649">
              <w:rPr>
                <w:rFonts w:ascii="Times New Roman" w:hAnsi="Times New Roman" w:cs="Times New Roman"/>
              </w:rPr>
              <w:t>«</w:t>
            </w:r>
            <w:proofErr w:type="spellStart"/>
            <w:r w:rsidRPr="00CA3649">
              <w:rPr>
                <w:rFonts w:ascii="Times New Roman" w:hAnsi="Times New Roman" w:cs="Times New Roman"/>
              </w:rPr>
              <w:t>Призмафил</w:t>
            </w:r>
            <w:proofErr w:type="spellEnd"/>
            <w:r w:rsidRPr="00CA3649">
              <w:rPr>
                <w:rFonts w:ascii="Times New Roman" w:hAnsi="Times New Roman" w:cs="Times New Roman"/>
              </w:rPr>
              <w:t xml:space="preserve"> </w:t>
            </w:r>
            <w:proofErr w:type="spellStart"/>
            <w:r w:rsidRPr="00CA3649">
              <w:rPr>
                <w:rFonts w:ascii="Times New Roman" w:hAnsi="Times New Roman" w:cs="Times New Roman"/>
              </w:rPr>
              <w:t>адгезив</w:t>
            </w:r>
            <w:proofErr w:type="spellEnd"/>
            <w:r w:rsidRPr="00CA3649">
              <w:rPr>
                <w:rFonts w:ascii="Times New Roman" w:hAnsi="Times New Roman" w:cs="Times New Roman"/>
              </w:rPr>
              <w:t xml:space="preserve">» светового отверждения для эмали - </w:t>
            </w:r>
            <w:r w:rsidR="00CA3649">
              <w:rPr>
                <w:rFonts w:ascii="Times New Roman" w:hAnsi="Times New Roman" w:cs="Times New Roman"/>
              </w:rPr>
              <w:t xml:space="preserve">не менее </w:t>
            </w:r>
            <w:r w:rsidRPr="00CA3649">
              <w:rPr>
                <w:rFonts w:ascii="Times New Roman" w:hAnsi="Times New Roman" w:cs="Times New Roman"/>
              </w:rPr>
              <w:t>5 мл;</w:t>
            </w:r>
          </w:p>
          <w:p w14:paraId="51B2D3FF" w14:textId="06E6D3F9" w:rsidR="005F2391" w:rsidRPr="00CA3649" w:rsidRDefault="005F2391" w:rsidP="00CA3649">
            <w:pPr>
              <w:numPr>
                <w:ilvl w:val="0"/>
                <w:numId w:val="2"/>
              </w:numPr>
              <w:tabs>
                <w:tab w:val="clear" w:pos="720"/>
                <w:tab w:val="num" w:pos="0"/>
                <w:tab w:val="left" w:pos="240"/>
              </w:tabs>
              <w:spacing w:after="0" w:line="240" w:lineRule="auto"/>
              <w:ind w:left="0" w:firstLine="0"/>
              <w:rPr>
                <w:rFonts w:ascii="Times New Roman" w:hAnsi="Times New Roman" w:cs="Times New Roman"/>
              </w:rPr>
            </w:pPr>
            <w:r w:rsidRPr="00CA3649">
              <w:rPr>
                <w:rFonts w:ascii="Times New Roman" w:hAnsi="Times New Roman" w:cs="Times New Roman"/>
              </w:rPr>
              <w:t>гель для травления эмали -</w:t>
            </w:r>
            <w:r w:rsidR="00CA3649">
              <w:rPr>
                <w:rFonts w:ascii="Times New Roman" w:hAnsi="Times New Roman" w:cs="Times New Roman"/>
              </w:rPr>
              <w:t xml:space="preserve"> </w:t>
            </w:r>
            <w:r w:rsidR="00CA3649">
              <w:rPr>
                <w:rFonts w:ascii="Times New Roman" w:hAnsi="Times New Roman" w:cs="Times New Roman"/>
              </w:rPr>
              <w:t>не менее</w:t>
            </w:r>
            <w:r w:rsidRPr="00CA3649">
              <w:rPr>
                <w:rFonts w:ascii="Times New Roman" w:hAnsi="Times New Roman" w:cs="Times New Roman"/>
              </w:rPr>
              <w:t xml:space="preserve"> 6 мл;</w:t>
            </w:r>
          </w:p>
          <w:p w14:paraId="0EAF8CD9" w14:textId="17410816" w:rsidR="005F2391" w:rsidRPr="00CA3649" w:rsidRDefault="005F2391" w:rsidP="00CA3649">
            <w:pPr>
              <w:numPr>
                <w:ilvl w:val="0"/>
                <w:numId w:val="2"/>
              </w:numPr>
              <w:tabs>
                <w:tab w:val="clear" w:pos="720"/>
                <w:tab w:val="num" w:pos="0"/>
                <w:tab w:val="left" w:pos="240"/>
              </w:tabs>
              <w:spacing w:after="0" w:line="240" w:lineRule="auto"/>
              <w:ind w:left="0" w:firstLine="0"/>
              <w:rPr>
                <w:rFonts w:ascii="Times New Roman" w:hAnsi="Times New Roman" w:cs="Times New Roman"/>
              </w:rPr>
            </w:pPr>
            <w:r w:rsidRPr="00CA3649">
              <w:rPr>
                <w:rFonts w:ascii="Times New Roman" w:hAnsi="Times New Roman" w:cs="Times New Roman"/>
              </w:rPr>
              <w:t>принадлежности: блокнот для замешивания, матричные полоски, одноразовые кисточки или аппликаторы</w:t>
            </w:r>
            <w:r w:rsidR="00CA3649">
              <w:rPr>
                <w:rFonts w:ascii="Times New Roman"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73D571BC" w14:textId="15BE74C0" w:rsidR="009339B3" w:rsidRPr="00CA3649" w:rsidRDefault="009339B3" w:rsidP="005F2391">
            <w:pPr>
              <w:spacing w:after="0" w:line="240" w:lineRule="auto"/>
              <w:jc w:val="center"/>
              <w:rPr>
                <w:rFonts w:ascii="Times New Roman" w:eastAsia="Times New Roman" w:hAnsi="Times New Roman" w:cs="Times New Roman"/>
                <w:lang w:eastAsia="ru-RU"/>
              </w:rPr>
            </w:pPr>
            <w:proofErr w:type="spellStart"/>
            <w:r w:rsidRPr="00CA3649">
              <w:rPr>
                <w:rFonts w:ascii="Times New Roman" w:hAnsi="Times New Roman" w:cs="Times New Roman"/>
                <w:color w:val="000000"/>
              </w:rPr>
              <w:t>уп</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BB3E374" w14:textId="1CF8DE1C" w:rsidR="009339B3" w:rsidRPr="00CA3649" w:rsidRDefault="009339B3" w:rsidP="005F2391">
            <w:pPr>
              <w:spacing w:after="0" w:line="240" w:lineRule="auto"/>
              <w:jc w:val="center"/>
              <w:rPr>
                <w:rFonts w:ascii="Times New Roman" w:eastAsia="Times New Roman" w:hAnsi="Times New Roman" w:cs="Times New Roman"/>
                <w:lang w:eastAsia="ru-RU"/>
              </w:rPr>
            </w:pPr>
            <w:r w:rsidRPr="00CA3649">
              <w:rPr>
                <w:rFonts w:ascii="Times New Roman" w:eastAsia="Times New Roman" w:hAnsi="Times New Roman" w:cs="Times New Roman"/>
                <w:lang w:eastAsia="ru-RU"/>
              </w:rPr>
              <w:t>6</w:t>
            </w:r>
          </w:p>
        </w:tc>
      </w:tr>
    </w:tbl>
    <w:p w14:paraId="244F4D2F" w14:textId="77777777" w:rsidR="007B00F4" w:rsidRPr="00CA3649" w:rsidRDefault="007B00F4" w:rsidP="008F6D38">
      <w:pPr>
        <w:spacing w:after="0"/>
        <w:rPr>
          <w:rFonts w:ascii="Times New Roman" w:hAnsi="Times New Roman" w:cs="Times New Roman"/>
          <w:b/>
          <w:bCs/>
        </w:rPr>
      </w:pPr>
    </w:p>
    <w:p w14:paraId="0BDAE75C" w14:textId="67F685C1" w:rsidR="008C4D32" w:rsidRPr="00CA3649" w:rsidRDefault="008C4D32" w:rsidP="008F6D38">
      <w:pPr>
        <w:spacing w:after="0"/>
        <w:rPr>
          <w:rFonts w:ascii="Times New Roman" w:hAnsi="Times New Roman" w:cs="Times New Roman"/>
          <w:b/>
          <w:bCs/>
          <w:highlight w:val="yellow"/>
        </w:rPr>
      </w:pPr>
      <w:r w:rsidRPr="00CA3649">
        <w:rPr>
          <w:rFonts w:ascii="Times New Roman" w:hAnsi="Times New Roman" w:cs="Times New Roman"/>
          <w:b/>
          <w:bCs/>
          <w:highlight w:val="yellow"/>
        </w:rPr>
        <w:t>2. Место поставки товара</w:t>
      </w:r>
      <w:r w:rsidRPr="00CA3649">
        <w:rPr>
          <w:rFonts w:ascii="Times New Roman" w:hAnsi="Times New Roman" w:cs="Times New Roman"/>
          <w:highlight w:val="yellow"/>
        </w:rPr>
        <w:t xml:space="preserve"> </w:t>
      </w:r>
      <w:r w:rsidR="005F2391" w:rsidRPr="00CA3649">
        <w:rPr>
          <w:rFonts w:ascii="Times New Roman" w:hAnsi="Times New Roman" w:cs="Times New Roman"/>
          <w:highlight w:val="yellow"/>
        </w:rPr>
        <w:t xml:space="preserve">660059, Россия, Красноярский край, г. Красноярск, </w:t>
      </w:r>
      <w:proofErr w:type="spellStart"/>
      <w:r w:rsidR="005F2391" w:rsidRPr="00CA3649">
        <w:rPr>
          <w:rFonts w:ascii="Times New Roman" w:hAnsi="Times New Roman" w:cs="Times New Roman"/>
          <w:highlight w:val="yellow"/>
        </w:rPr>
        <w:t>пр-кт</w:t>
      </w:r>
      <w:proofErr w:type="spellEnd"/>
      <w:r w:rsidR="005F2391" w:rsidRPr="00CA3649">
        <w:rPr>
          <w:rFonts w:ascii="Times New Roman" w:hAnsi="Times New Roman" w:cs="Times New Roman"/>
          <w:highlight w:val="yellow"/>
        </w:rPr>
        <w:t xml:space="preserve"> имени Газеты Красноярский Рабочий, 75</w:t>
      </w:r>
    </w:p>
    <w:p w14:paraId="5B8EA44D" w14:textId="16BEF6AD" w:rsidR="00862731" w:rsidRPr="00CA3649" w:rsidRDefault="008C4D32" w:rsidP="008F6D38">
      <w:pPr>
        <w:spacing w:after="0"/>
        <w:rPr>
          <w:rFonts w:ascii="Times New Roman" w:hAnsi="Times New Roman" w:cs="Times New Roman"/>
        </w:rPr>
      </w:pPr>
      <w:r w:rsidRPr="00CA3649">
        <w:rPr>
          <w:rFonts w:ascii="Times New Roman" w:hAnsi="Times New Roman" w:cs="Times New Roman"/>
          <w:b/>
          <w:bCs/>
          <w:highlight w:val="yellow"/>
        </w:rPr>
        <w:t>3. Срок поставки товара:</w:t>
      </w:r>
      <w:r w:rsidRPr="00CA3649">
        <w:rPr>
          <w:rFonts w:ascii="Times New Roman" w:hAnsi="Times New Roman" w:cs="Times New Roman"/>
          <w:highlight w:val="yellow"/>
        </w:rPr>
        <w:t xml:space="preserve"> </w:t>
      </w:r>
      <w:bookmarkStart w:id="2" w:name="_Hlk222410429"/>
      <w:r w:rsidR="00862731" w:rsidRPr="00CA3649">
        <w:rPr>
          <w:rFonts w:ascii="Times New Roman" w:hAnsi="Times New Roman" w:cs="Times New Roman"/>
          <w:highlight w:val="yellow"/>
        </w:rPr>
        <w:t xml:space="preserve">с даты заключения договора </w:t>
      </w:r>
      <w:r w:rsidR="00CA3649" w:rsidRPr="00CA3649">
        <w:rPr>
          <w:rFonts w:ascii="Times New Roman" w:hAnsi="Times New Roman" w:cs="Times New Roman"/>
          <w:highlight w:val="yellow"/>
        </w:rPr>
        <w:t>в течение 30 календарных дней</w:t>
      </w:r>
    </w:p>
    <w:bookmarkEnd w:id="2"/>
    <w:p w14:paraId="55B6F40F" w14:textId="4FF46D79" w:rsidR="008C4D32" w:rsidRPr="00CA3649" w:rsidRDefault="008C4D32" w:rsidP="008F6D38">
      <w:pPr>
        <w:spacing w:after="0"/>
        <w:rPr>
          <w:rFonts w:ascii="Times New Roman" w:hAnsi="Times New Roman" w:cs="Times New Roman"/>
        </w:rPr>
      </w:pPr>
      <w:r w:rsidRPr="00CA3649">
        <w:rPr>
          <w:rFonts w:ascii="Times New Roman" w:hAnsi="Times New Roman" w:cs="Times New Roman"/>
        </w:rPr>
        <w:t>3.1. Поставка Товара по заявке Заказчика, транспортом Поставщика. Доставка, погрузочно-разгрузочные работы производятся за счет Поставщика.</w:t>
      </w:r>
    </w:p>
    <w:p w14:paraId="66BDBB6A" w14:textId="77777777" w:rsidR="008C4D32" w:rsidRPr="00CA3649" w:rsidRDefault="008C4D32" w:rsidP="008F6D38">
      <w:pPr>
        <w:spacing w:after="0"/>
        <w:jc w:val="both"/>
        <w:rPr>
          <w:rFonts w:ascii="Times New Roman" w:hAnsi="Times New Roman" w:cs="Times New Roman"/>
          <w:b/>
          <w:bCs/>
        </w:rPr>
      </w:pPr>
      <w:r w:rsidRPr="00CA3649">
        <w:rPr>
          <w:rFonts w:ascii="Times New Roman" w:hAnsi="Times New Roman" w:cs="Times New Roman"/>
          <w:b/>
          <w:bCs/>
        </w:rPr>
        <w:t>4. Требования к качеству, безопасности поставляемого товара:</w:t>
      </w:r>
    </w:p>
    <w:p w14:paraId="17CBB4CA"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7CE376B5"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3D4DE8FA"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lastRenderedPageBreak/>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0EF95F6"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58E1B9"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6D84AA7"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2B4B759"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9EA7A2A"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35D9D3C" w14:textId="77777777" w:rsidR="008C4D32" w:rsidRPr="00CA3649" w:rsidRDefault="008C4D32" w:rsidP="008F6D38">
      <w:pPr>
        <w:spacing w:after="0"/>
        <w:jc w:val="both"/>
        <w:rPr>
          <w:rFonts w:ascii="Times New Roman" w:hAnsi="Times New Roman" w:cs="Times New Roman"/>
          <w:b/>
          <w:bCs/>
        </w:rPr>
      </w:pPr>
      <w:r w:rsidRPr="00CA3649">
        <w:rPr>
          <w:rFonts w:ascii="Times New Roman" w:hAnsi="Times New Roman" w:cs="Times New Roman"/>
          <w:b/>
          <w:bCs/>
        </w:rPr>
        <w:t>5. Требования к упаковке и маркировке поставляемого товара:</w:t>
      </w:r>
    </w:p>
    <w:p w14:paraId="196600EF"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3E8725"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D38ABA"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47DFE2D"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08CE0E3" w14:textId="77777777" w:rsidR="008C4D32" w:rsidRPr="00CA3649" w:rsidRDefault="008C4D32" w:rsidP="008F6D38">
      <w:pPr>
        <w:spacing w:after="0"/>
        <w:jc w:val="both"/>
        <w:rPr>
          <w:rFonts w:ascii="Times New Roman" w:hAnsi="Times New Roman" w:cs="Times New Roman"/>
          <w:b/>
          <w:bCs/>
        </w:rPr>
      </w:pPr>
      <w:r w:rsidRPr="00CA3649">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279C2475"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6.1. Остаточный срок годности на момент поставки должен составлять:</w:t>
      </w:r>
    </w:p>
    <w:p w14:paraId="2C2F54A0"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 не менее 7 месяцев, если срок годности Товара составляет 1 год;</w:t>
      </w:r>
    </w:p>
    <w:p w14:paraId="2ECE59D7"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 не менее 11 месяцев, если срок годности Товара составляет 1,5 года;</w:t>
      </w:r>
    </w:p>
    <w:p w14:paraId="3D594D2B"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 не менее 14 месяцев, если срок годности Товара составляет 2 года;</w:t>
      </w:r>
    </w:p>
    <w:p w14:paraId="25F25013"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 не менее 18 месяцев, если срок годности Товара составляет 2,5 года;</w:t>
      </w:r>
    </w:p>
    <w:p w14:paraId="5BF6C07E"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 не менее 22 месяцев, если срок годности Товара составляет не менее 3 лет.</w:t>
      </w:r>
    </w:p>
    <w:p w14:paraId="24438894" w14:textId="77777777" w:rsidR="008C4D32" w:rsidRPr="00CA3649" w:rsidRDefault="008C4D32" w:rsidP="008F6D38">
      <w:pPr>
        <w:spacing w:after="0"/>
        <w:jc w:val="both"/>
        <w:rPr>
          <w:rFonts w:ascii="Times New Roman" w:hAnsi="Times New Roman" w:cs="Times New Roman"/>
        </w:rPr>
      </w:pPr>
      <w:r w:rsidRPr="00CA3649">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1595F01" w14:textId="309DF08C" w:rsidR="00144BF3" w:rsidRPr="00CA3649" w:rsidRDefault="008C4D32" w:rsidP="008F6D38">
      <w:pPr>
        <w:spacing w:after="0"/>
        <w:jc w:val="both"/>
        <w:rPr>
          <w:rFonts w:ascii="Times New Roman" w:hAnsi="Times New Roman" w:cs="Times New Roman"/>
        </w:rPr>
      </w:pPr>
      <w:r w:rsidRPr="00CA3649">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144BF3" w:rsidRPr="00CA3649" w:rsidSect="008F6D38">
      <w:pgSz w:w="11906" w:h="16838"/>
      <w:pgMar w:top="851" w:right="566" w:bottom="1134" w:left="1134" w:header="708" w:footer="708" w:gutter="0"/>
      <w:cols w:space="708"/>
      <w:docGrid w:linePitch="360"/>
    </w:sectPr>
    <!-- MKR-1304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9B116F4"/>
    <w:multiLevelType w:val="multilevel"/>
    <w:tmpl w:val="9178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C4"/>
    <w:rsid w:val="0004243A"/>
    <w:rsid w:val="000575CE"/>
    <w:rsid w:val="00063E19"/>
    <w:rsid w:val="000B72A5"/>
    <w:rsid w:val="000D1FFF"/>
    <w:rsid w:val="000E2FD2"/>
    <w:rsid w:val="00115232"/>
    <w:rsid w:val="00144BF3"/>
    <w:rsid w:val="00187787"/>
    <w:rsid w:val="001E6409"/>
    <w:rsid w:val="00222322"/>
    <w:rsid w:val="002233DC"/>
    <w:rsid w:val="00224E1E"/>
    <w:rsid w:val="0025083F"/>
    <w:rsid w:val="00286FC4"/>
    <w:rsid w:val="002C1E02"/>
    <w:rsid w:val="002D276A"/>
    <w:rsid w:val="002E518D"/>
    <w:rsid w:val="00323C6E"/>
    <w:rsid w:val="003352D4"/>
    <w:rsid w:val="003529F3"/>
    <w:rsid w:val="00364F73"/>
    <w:rsid w:val="00377A37"/>
    <w:rsid w:val="00384867"/>
    <w:rsid w:val="003A35D7"/>
    <w:rsid w:val="003A59B9"/>
    <w:rsid w:val="003C0C31"/>
    <w:rsid w:val="004567A0"/>
    <w:rsid w:val="004D329C"/>
    <w:rsid w:val="0052455F"/>
    <w:rsid w:val="00571A74"/>
    <w:rsid w:val="00587743"/>
    <w:rsid w:val="005E5F46"/>
    <w:rsid w:val="005F2391"/>
    <w:rsid w:val="00610557"/>
    <w:rsid w:val="00657D62"/>
    <w:rsid w:val="00661EC6"/>
    <w:rsid w:val="006A6297"/>
    <w:rsid w:val="006D79D0"/>
    <w:rsid w:val="007053B2"/>
    <w:rsid w:val="007718EA"/>
    <w:rsid w:val="007817D1"/>
    <w:rsid w:val="007B00F4"/>
    <w:rsid w:val="00803E8F"/>
    <w:rsid w:val="00825E3A"/>
    <w:rsid w:val="00854F45"/>
    <w:rsid w:val="008578F1"/>
    <w:rsid w:val="00862731"/>
    <w:rsid w:val="008739E0"/>
    <w:rsid w:val="008C4D32"/>
    <w:rsid w:val="008C5E02"/>
    <w:rsid w:val="008C7BC2"/>
    <w:rsid w:val="008D460E"/>
    <w:rsid w:val="008F3EF0"/>
    <w:rsid w:val="008F6D38"/>
    <w:rsid w:val="0090046C"/>
    <w:rsid w:val="00912051"/>
    <w:rsid w:val="009323C6"/>
    <w:rsid w:val="009339B3"/>
    <w:rsid w:val="00974E1E"/>
    <w:rsid w:val="00993C3C"/>
    <w:rsid w:val="009E590F"/>
    <w:rsid w:val="00A2386A"/>
    <w:rsid w:val="00A95489"/>
    <w:rsid w:val="00A97020"/>
    <w:rsid w:val="00AF0F1F"/>
    <w:rsid w:val="00B90305"/>
    <w:rsid w:val="00BF0A86"/>
    <w:rsid w:val="00C13405"/>
    <w:rsid w:val="00CA3649"/>
    <w:rsid w:val="00D114F9"/>
    <w:rsid w:val="00D14B7F"/>
    <w:rsid w:val="00D37361"/>
    <w:rsid w:val="00D43E0B"/>
    <w:rsid w:val="00D7763F"/>
    <w:rsid w:val="00DE1CD6"/>
    <w:rsid w:val="00E25472"/>
    <w:rsid w:val="00E472B7"/>
    <w:rsid w:val="00E64FDB"/>
    <w:rsid w:val="00E67BB3"/>
    <w:rsid w:val="00F71F43"/>
    <w:rsid w:val="00F84B37"/>
    <w:rsid w:val="00FF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E2"/>
  <w15:chartTrackingRefBased/>
  <w15:docId w15:val="{68A28CA1-327F-400A-A423-D0796E9B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2A5"/>
    <w:pPr>
      <w:spacing w:line="256" w:lineRule="auto"/>
    </w:pPr>
  </w:style>
  <w:style w:type="paragraph" w:styleId="3">
    <w:name w:val="heading 3"/>
    <w:basedOn w:val="a"/>
    <w:next w:val="a"/>
    <w:link w:val="30"/>
    <w:uiPriority w:val="9"/>
    <w:semiHidden/>
    <w:unhideWhenUsed/>
    <w:qFormat/>
    <w:rsid w:val="005F239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FC4"/>
    <w:pPr>
      <w:ind w:left="720"/>
      <w:contextualSpacing/>
    </w:p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286FC4"/>
  </w:style>
  <w:style w:type="paragraph" w:styleId="a4">
    <w:name w:val="Balloon Text"/>
    <w:basedOn w:val="a"/>
    <w:link w:val="a5"/>
    <w:uiPriority w:val="99"/>
    <w:semiHidden/>
    <w:unhideWhenUsed/>
    <w:rsid w:val="00286F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FC4"/>
    <w:rPr>
      <w:rFonts w:ascii="Segoe UI" w:hAnsi="Segoe UI" w:cs="Segoe UI"/>
      <w:sz w:val="18"/>
      <w:szCs w:val="18"/>
    </w:rPr>
  </w:style>
  <w:style w:type="table" w:styleId="a6">
    <w:name w:val="Table Grid"/>
    <w:basedOn w:val="a1"/>
    <w:uiPriority w:val="39"/>
    <w:rsid w:val="00144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5F2391"/>
    <w:rPr>
      <w:rFonts w:asciiTheme="majorHAnsi" w:eastAsiaTheme="majorEastAsia" w:hAnsiTheme="majorHAnsi" w:cstheme="majorBidi"/>
      <w:b/>
      <w:bCs/>
      <w:color w:val="5B9BD5"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1885">
      <w:bodyDiv w:val="1"/>
      <w:marLeft w:val="0"/>
      <w:marRight w:val="0"/>
      <w:marTop w:val="0"/>
      <w:marBottom w:val="0"/>
      <w:divBdr>
        <w:top w:val="none" w:sz="0" w:space="0" w:color="auto"/>
        <w:left w:val="none" w:sz="0" w:space="0" w:color="auto"/>
        <w:bottom w:val="none" w:sz="0" w:space="0" w:color="auto"/>
        <w:right w:val="none" w:sz="0" w:space="0" w:color="auto"/>
      </w:divBdr>
    </w:div>
    <w:div w:id="222718807">
      <w:bodyDiv w:val="1"/>
      <w:marLeft w:val="0"/>
      <w:marRight w:val="0"/>
      <w:marTop w:val="0"/>
      <w:marBottom w:val="0"/>
      <w:divBdr>
        <w:top w:val="none" w:sz="0" w:space="0" w:color="auto"/>
        <w:left w:val="none" w:sz="0" w:space="0" w:color="auto"/>
        <w:bottom w:val="none" w:sz="0" w:space="0" w:color="auto"/>
        <w:right w:val="none" w:sz="0" w:space="0" w:color="auto"/>
      </w:divBdr>
    </w:div>
    <w:div w:id="291785407">
      <w:bodyDiv w:val="1"/>
      <w:marLeft w:val="0"/>
      <w:marRight w:val="0"/>
      <w:marTop w:val="0"/>
      <w:marBottom w:val="0"/>
      <w:divBdr>
        <w:top w:val="none" w:sz="0" w:space="0" w:color="auto"/>
        <w:left w:val="none" w:sz="0" w:space="0" w:color="auto"/>
        <w:bottom w:val="none" w:sz="0" w:space="0" w:color="auto"/>
        <w:right w:val="none" w:sz="0" w:space="0" w:color="auto"/>
      </w:divBdr>
    </w:div>
    <w:div w:id="295455652">
      <w:bodyDiv w:val="1"/>
      <w:marLeft w:val="0"/>
      <w:marRight w:val="0"/>
      <w:marTop w:val="0"/>
      <w:marBottom w:val="0"/>
      <w:divBdr>
        <w:top w:val="none" w:sz="0" w:space="0" w:color="auto"/>
        <w:left w:val="none" w:sz="0" w:space="0" w:color="auto"/>
        <w:bottom w:val="none" w:sz="0" w:space="0" w:color="auto"/>
        <w:right w:val="none" w:sz="0" w:space="0" w:color="auto"/>
      </w:divBdr>
    </w:div>
    <w:div w:id="497187829">
      <w:bodyDiv w:val="1"/>
      <w:marLeft w:val="0"/>
      <w:marRight w:val="0"/>
      <w:marTop w:val="0"/>
      <w:marBottom w:val="0"/>
      <w:divBdr>
        <w:top w:val="none" w:sz="0" w:space="0" w:color="auto"/>
        <w:left w:val="none" w:sz="0" w:space="0" w:color="auto"/>
        <w:bottom w:val="none" w:sz="0" w:space="0" w:color="auto"/>
        <w:right w:val="none" w:sz="0" w:space="0" w:color="auto"/>
      </w:divBdr>
    </w:div>
    <w:div w:id="676807400">
      <w:bodyDiv w:val="1"/>
      <w:marLeft w:val="0"/>
      <w:marRight w:val="0"/>
      <w:marTop w:val="0"/>
      <w:marBottom w:val="0"/>
      <w:divBdr>
        <w:top w:val="none" w:sz="0" w:space="0" w:color="auto"/>
        <w:left w:val="none" w:sz="0" w:space="0" w:color="auto"/>
        <w:bottom w:val="none" w:sz="0" w:space="0" w:color="auto"/>
        <w:right w:val="none" w:sz="0" w:space="0" w:color="auto"/>
      </w:divBdr>
    </w:div>
    <w:div w:id="727411500">
      <w:bodyDiv w:val="1"/>
      <w:marLeft w:val="0"/>
      <w:marRight w:val="0"/>
      <w:marTop w:val="0"/>
      <w:marBottom w:val="0"/>
      <w:divBdr>
        <w:top w:val="none" w:sz="0" w:space="0" w:color="auto"/>
        <w:left w:val="none" w:sz="0" w:space="0" w:color="auto"/>
        <w:bottom w:val="none" w:sz="0" w:space="0" w:color="auto"/>
        <w:right w:val="none" w:sz="0" w:space="0" w:color="auto"/>
      </w:divBdr>
    </w:div>
    <w:div w:id="942032867">
      <w:bodyDiv w:val="1"/>
      <w:marLeft w:val="0"/>
      <w:marRight w:val="0"/>
      <w:marTop w:val="0"/>
      <w:marBottom w:val="0"/>
      <w:divBdr>
        <w:top w:val="none" w:sz="0" w:space="0" w:color="auto"/>
        <w:left w:val="none" w:sz="0" w:space="0" w:color="auto"/>
        <w:bottom w:val="none" w:sz="0" w:space="0" w:color="auto"/>
        <w:right w:val="none" w:sz="0" w:space="0" w:color="auto"/>
      </w:divBdr>
    </w:div>
    <w:div w:id="942571454">
      <w:bodyDiv w:val="1"/>
      <w:marLeft w:val="0"/>
      <w:marRight w:val="0"/>
      <w:marTop w:val="0"/>
      <w:marBottom w:val="0"/>
      <w:divBdr>
        <w:top w:val="none" w:sz="0" w:space="0" w:color="auto"/>
        <w:left w:val="none" w:sz="0" w:space="0" w:color="auto"/>
        <w:bottom w:val="none" w:sz="0" w:space="0" w:color="auto"/>
        <w:right w:val="none" w:sz="0" w:space="0" w:color="auto"/>
      </w:divBdr>
    </w:div>
    <w:div w:id="951742934">
      <w:bodyDiv w:val="1"/>
      <w:marLeft w:val="0"/>
      <w:marRight w:val="0"/>
      <w:marTop w:val="0"/>
      <w:marBottom w:val="0"/>
      <w:divBdr>
        <w:top w:val="none" w:sz="0" w:space="0" w:color="auto"/>
        <w:left w:val="none" w:sz="0" w:space="0" w:color="auto"/>
        <w:bottom w:val="none" w:sz="0" w:space="0" w:color="auto"/>
        <w:right w:val="none" w:sz="0" w:space="0" w:color="auto"/>
      </w:divBdr>
    </w:div>
    <w:div w:id="970088893">
      <w:bodyDiv w:val="1"/>
      <w:marLeft w:val="0"/>
      <w:marRight w:val="0"/>
      <w:marTop w:val="0"/>
      <w:marBottom w:val="0"/>
      <w:divBdr>
        <w:top w:val="none" w:sz="0" w:space="0" w:color="auto"/>
        <w:left w:val="none" w:sz="0" w:space="0" w:color="auto"/>
        <w:bottom w:val="none" w:sz="0" w:space="0" w:color="auto"/>
        <w:right w:val="none" w:sz="0" w:space="0" w:color="auto"/>
      </w:divBdr>
      <w:divsChild>
        <w:div w:id="1664236181">
          <w:marLeft w:val="0"/>
          <w:marRight w:val="0"/>
          <w:marTop w:val="0"/>
          <w:marBottom w:val="0"/>
          <w:divBdr>
            <w:top w:val="none" w:sz="0" w:space="0" w:color="auto"/>
            <w:left w:val="none" w:sz="0" w:space="0" w:color="auto"/>
            <w:bottom w:val="none" w:sz="0" w:space="0" w:color="auto"/>
            <w:right w:val="none" w:sz="0" w:space="0" w:color="auto"/>
          </w:divBdr>
        </w:div>
        <w:div w:id="2081905276">
          <w:marLeft w:val="0"/>
          <w:marRight w:val="0"/>
          <w:marTop w:val="0"/>
          <w:marBottom w:val="0"/>
          <w:divBdr>
            <w:top w:val="none" w:sz="0" w:space="0" w:color="auto"/>
            <w:left w:val="none" w:sz="0" w:space="0" w:color="auto"/>
            <w:bottom w:val="none" w:sz="0" w:space="0" w:color="auto"/>
            <w:right w:val="none" w:sz="0" w:space="0" w:color="auto"/>
          </w:divBdr>
        </w:div>
      </w:divsChild>
    </w:div>
    <w:div w:id="1151865122">
      <w:bodyDiv w:val="1"/>
      <w:marLeft w:val="0"/>
      <w:marRight w:val="0"/>
      <w:marTop w:val="0"/>
      <w:marBottom w:val="0"/>
      <w:divBdr>
        <w:top w:val="none" w:sz="0" w:space="0" w:color="auto"/>
        <w:left w:val="none" w:sz="0" w:space="0" w:color="auto"/>
        <w:bottom w:val="none" w:sz="0" w:space="0" w:color="auto"/>
        <w:right w:val="none" w:sz="0" w:space="0" w:color="auto"/>
      </w:divBdr>
    </w:div>
    <w:div w:id="1409037682">
      <w:bodyDiv w:val="1"/>
      <w:marLeft w:val="0"/>
      <w:marRight w:val="0"/>
      <w:marTop w:val="0"/>
      <w:marBottom w:val="0"/>
      <w:divBdr>
        <w:top w:val="none" w:sz="0" w:space="0" w:color="auto"/>
        <w:left w:val="none" w:sz="0" w:space="0" w:color="auto"/>
        <w:bottom w:val="none" w:sz="0" w:space="0" w:color="auto"/>
        <w:right w:val="none" w:sz="0" w:space="0" w:color="auto"/>
      </w:divBdr>
    </w:div>
    <w:div w:id="1455909779">
      <w:bodyDiv w:val="1"/>
      <w:marLeft w:val="0"/>
      <w:marRight w:val="0"/>
      <w:marTop w:val="0"/>
      <w:marBottom w:val="0"/>
      <w:divBdr>
        <w:top w:val="none" w:sz="0" w:space="0" w:color="auto"/>
        <w:left w:val="none" w:sz="0" w:space="0" w:color="auto"/>
        <w:bottom w:val="none" w:sz="0" w:space="0" w:color="auto"/>
        <w:right w:val="none" w:sz="0" w:space="0" w:color="auto"/>
      </w:divBdr>
    </w:div>
    <w:div w:id="1513914220">
      <w:bodyDiv w:val="1"/>
      <w:marLeft w:val="0"/>
      <w:marRight w:val="0"/>
      <w:marTop w:val="0"/>
      <w:marBottom w:val="0"/>
      <w:divBdr>
        <w:top w:val="none" w:sz="0" w:space="0" w:color="auto"/>
        <w:left w:val="none" w:sz="0" w:space="0" w:color="auto"/>
        <w:bottom w:val="none" w:sz="0" w:space="0" w:color="auto"/>
        <w:right w:val="none" w:sz="0" w:space="0" w:color="auto"/>
      </w:divBdr>
    </w:div>
    <w:div w:id="1532299125">
      <w:bodyDiv w:val="1"/>
      <w:marLeft w:val="0"/>
      <w:marRight w:val="0"/>
      <w:marTop w:val="0"/>
      <w:marBottom w:val="0"/>
      <w:divBdr>
        <w:top w:val="none" w:sz="0" w:space="0" w:color="auto"/>
        <w:left w:val="none" w:sz="0" w:space="0" w:color="auto"/>
        <w:bottom w:val="none" w:sz="0" w:space="0" w:color="auto"/>
        <w:right w:val="none" w:sz="0" w:space="0" w:color="auto"/>
      </w:divBdr>
    </w:div>
    <w:div w:id="1656493678">
      <w:bodyDiv w:val="1"/>
      <w:marLeft w:val="0"/>
      <w:marRight w:val="0"/>
      <w:marTop w:val="0"/>
      <w:marBottom w:val="0"/>
      <w:divBdr>
        <w:top w:val="none" w:sz="0" w:space="0" w:color="auto"/>
        <w:left w:val="none" w:sz="0" w:space="0" w:color="auto"/>
        <w:bottom w:val="none" w:sz="0" w:space="0" w:color="auto"/>
        <w:right w:val="none" w:sz="0" w:space="0" w:color="auto"/>
      </w:divBdr>
    </w:div>
    <w:div w:id="1670867632">
      <w:bodyDiv w:val="1"/>
      <w:marLeft w:val="0"/>
      <w:marRight w:val="0"/>
      <w:marTop w:val="0"/>
      <w:marBottom w:val="0"/>
      <w:divBdr>
        <w:top w:val="none" w:sz="0" w:space="0" w:color="auto"/>
        <w:left w:val="none" w:sz="0" w:space="0" w:color="auto"/>
        <w:bottom w:val="none" w:sz="0" w:space="0" w:color="auto"/>
        <w:right w:val="none" w:sz="0" w:space="0" w:color="auto"/>
      </w:divBdr>
    </w:div>
    <w:div w:id="1680543063">
      <w:bodyDiv w:val="1"/>
      <w:marLeft w:val="0"/>
      <w:marRight w:val="0"/>
      <w:marTop w:val="0"/>
      <w:marBottom w:val="0"/>
      <w:divBdr>
        <w:top w:val="none" w:sz="0" w:space="0" w:color="auto"/>
        <w:left w:val="none" w:sz="0" w:space="0" w:color="auto"/>
        <w:bottom w:val="none" w:sz="0" w:space="0" w:color="auto"/>
        <w:right w:val="none" w:sz="0" w:space="0" w:color="auto"/>
      </w:divBdr>
    </w:div>
    <w:div w:id="1707634744">
      <w:bodyDiv w:val="1"/>
      <w:marLeft w:val="0"/>
      <w:marRight w:val="0"/>
      <w:marTop w:val="0"/>
      <w:marBottom w:val="0"/>
      <w:divBdr>
        <w:top w:val="none" w:sz="0" w:space="0" w:color="auto"/>
        <w:left w:val="none" w:sz="0" w:space="0" w:color="auto"/>
        <w:bottom w:val="none" w:sz="0" w:space="0" w:color="auto"/>
        <w:right w:val="none" w:sz="0" w:space="0" w:color="auto"/>
      </w:divBdr>
    </w:div>
    <w:div w:id="2077779883">
      <w:bodyDiv w:val="1"/>
      <w:marLeft w:val="0"/>
      <w:marRight w:val="0"/>
      <w:marTop w:val="0"/>
      <w:marBottom w:val="0"/>
      <w:divBdr>
        <w:top w:val="none" w:sz="0" w:space="0" w:color="auto"/>
        <w:left w:val="none" w:sz="0" w:space="0" w:color="auto"/>
        <w:bottom w:val="none" w:sz="0" w:space="0" w:color="auto"/>
        <w:right w:val="none" w:sz="0" w:space="0" w:color="auto"/>
      </w:divBdr>
    </w:div>
    <w:div w:id="20924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С.Ю. Гончарова</dc:creator>
  <cp:keywords/>
  <dc:description>DOC-MARKER-zycGLkqTt78IqVxoBQD8RA</dc:description>
  <cp:lastModifiedBy>Андреева Вероника Ивановна</cp:lastModifiedBy>
  <cp:revision>12</cp:revision>
  <cp:lastPrinted>2026-02-05T09:25:00Z</cp:lastPrinted>
  <dcterms:created xsi:type="dcterms:W3CDTF">2026-06-05T07:23:00Z</dcterms:created>
  <dcterms:modified xsi:type="dcterms:W3CDTF">2026-06-18T09:44:00Z</dcterms:modified>
</cp:coreProperties>
</file>