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855" w:type="dxa"/>
        <w:tblLook w:val="00A0" w:firstRow="1" w:lastRow="0" w:firstColumn="1" w:lastColumn="0" w:noHBand="0" w:noVBand="0"/>
      </w:tblPr>
      <w:tblGrid>
        <w:gridCol w:w="5070"/>
        <w:gridCol w:w="4785"/>
      </w:tblGrid>
      <w:tr>
        <w:tc>
          <w:tcPr>
            <w:tcW w:w="5070" w:type="dxa"/>
          </w:tcPr>
          <w:p>
            <w:pPr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Технические  условия</w:t>
            </w:r>
          </w:p>
          <w:p>
            <w:pPr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№ </w:t>
            </w:r>
            <w:r>
              <w:rPr>
                <w:u w:val="single"/>
                <w:lang w:val="ru-RU"/>
              </w:rPr>
              <w:t xml:space="preserve">20</w:t>
            </w:r>
            <w:r>
              <w:rPr>
                <w:u w:val="single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 xml:space="preserve">от </w:t>
            </w:r>
            <w:r>
              <w:rPr>
                <w:u w:val="single"/>
                <w:lang w:val="ru-RU"/>
              </w:rPr>
              <w:t xml:space="preserve">12</w:t>
            </w:r>
            <w:r>
              <w:rPr>
                <w:u w:val="single"/>
                <w:lang w:val="ru-RU"/>
              </w:rPr>
              <w:t xml:space="preserve">.</w:t>
            </w:r>
            <w:r>
              <w:rPr>
                <w:u w:val="single"/>
                <w:lang w:val="ru-RU"/>
              </w:rPr>
              <w:t xml:space="preserve">0</w:t>
            </w:r>
            <w:r>
              <w:rPr>
                <w:u w:val="single"/>
                <w:lang w:val="ru-RU"/>
              </w:rPr>
              <w:t xml:space="preserve">2.202</w:t>
            </w:r>
            <w:r>
              <w:rPr>
                <w:u w:val="single"/>
                <w:lang w:val="ru-RU"/>
              </w:rPr>
              <w:t xml:space="preserve">5</w:t>
            </w:r>
          </w:p>
          <w:p>
            <w:pPr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на </w:t>
            </w:r>
          </w:p>
          <w:p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785" w:type="dxa"/>
          </w:tcPr>
          <w:p>
            <w:pPr>
              <w:jc w:val="right"/>
              <w:rPr>
                <w:bCs/>
                <w:sz w:val="22"/>
                <w:szCs w:val="22"/>
                <w:lang w:val="ru-RU"/>
              </w:rPr>
            </w:pPr>
          </w:p>
        </w:tc>
      </w:tr>
    </w:tbl>
    <w:p>
      <w:pPr>
        <w:rPr>
          <w:szCs w:val="36"/>
          <w:lang w:val="ru-RU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5"/>
        <w:gridCol w:w="3001"/>
        <w:gridCol w:w="6022"/>
      </w:tblGrid>
      <w:tr>
        <w:tc>
          <w:tcPr>
            <w:tcW w:w="465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1.</w:t>
            </w:r>
          </w:p>
        </w:tc>
        <w:tc>
          <w:tcPr>
            <w:tcW w:w="3001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Организация, которой</w:t>
            </w:r>
          </w:p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выдаются ТУ</w:t>
            </w:r>
          </w:p>
        </w:tc>
        <w:tc>
          <w:tcPr>
            <w:tcW w:w="6022" w:type="dxa"/>
            <w:shd w:val="clear" w:color="auto" w:fill="auto"/>
          </w:tcPr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АО «КАП»</w:t>
            </w:r>
          </w:p>
        </w:tc>
      </w:tr>
      <w:tr>
        <w:tc>
          <w:tcPr>
            <w:tcW w:w="465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2.</w:t>
            </w:r>
          </w:p>
        </w:tc>
        <w:tc>
          <w:tcPr>
            <w:tcW w:w="3001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Основания для выдачи ТУ</w:t>
            </w:r>
          </w:p>
        </w:tc>
        <w:tc>
          <w:tcPr>
            <w:tcW w:w="6022" w:type="dxa"/>
            <w:shd w:val="clear" w:color="auto" w:fill="auto"/>
          </w:tcPr>
          <w:p>
            <w:pPr>
              <w:rPr>
                <w:b w:val="0"/>
                <w:sz w:val="22"/>
                <w:szCs w:val="22"/>
                <w:highlight w:val="yellow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№ </w:t>
            </w:r>
            <w:r>
              <w:rPr>
                <w:b w:val="0"/>
                <w:sz w:val="22"/>
                <w:szCs w:val="22"/>
                <w:lang w:val="ru-RU"/>
              </w:rPr>
              <w:t xml:space="preserve">0094</w:t>
            </w:r>
            <w:r>
              <w:rPr>
                <w:b w:val="0"/>
                <w:sz w:val="22"/>
                <w:szCs w:val="22"/>
                <w:lang w:val="ru-RU"/>
              </w:rPr>
              <w:t xml:space="preserve"> от </w:t>
            </w:r>
            <w:r>
              <w:rPr>
                <w:b w:val="0"/>
                <w:sz w:val="22"/>
                <w:szCs w:val="22"/>
                <w:lang w:val="ru-RU"/>
              </w:rPr>
              <w:t xml:space="preserve">12</w:t>
            </w:r>
            <w:r>
              <w:rPr>
                <w:b w:val="0"/>
                <w:sz w:val="22"/>
                <w:szCs w:val="22"/>
                <w:lang w:val="ru-RU"/>
              </w:rPr>
              <w:t xml:space="preserve">.</w:t>
            </w:r>
            <w:r>
              <w:rPr>
                <w:b w:val="0"/>
                <w:sz w:val="22"/>
                <w:szCs w:val="22"/>
                <w:lang w:val="ru-RU"/>
              </w:rPr>
              <w:t xml:space="preserve">02</w:t>
            </w:r>
            <w:r>
              <w:rPr>
                <w:b w:val="0"/>
                <w:sz w:val="22"/>
                <w:szCs w:val="22"/>
                <w:lang w:val="ru-RU"/>
              </w:rPr>
              <w:t xml:space="preserve">.2</w:t>
            </w:r>
            <w:r>
              <w:rPr>
                <w:b w:val="0"/>
                <w:sz w:val="22"/>
                <w:szCs w:val="22"/>
                <w:lang w:val="ru-RU"/>
              </w:rPr>
              <w:t xml:space="preserve">5</w:t>
            </w:r>
          </w:p>
        </w:tc>
      </w:tr>
      <w:tr>
        <w:tc>
          <w:tcPr>
            <w:tcW w:w="465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3.</w:t>
            </w:r>
          </w:p>
        </w:tc>
        <w:tc>
          <w:tcPr>
            <w:tcW w:w="3001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Перечень </w:t>
            </w:r>
            <w:r>
              <w:rPr>
                <w:b w:val="0"/>
                <w:sz w:val="24"/>
                <w:szCs w:val="24"/>
                <w:lang w:val="ru-RU"/>
              </w:rPr>
              <w:t xml:space="preserve">строительно-монтажных работ</w:t>
            </w:r>
            <w:r>
              <w:rPr>
                <w:b w:val="0"/>
                <w:sz w:val="24"/>
                <w:szCs w:val="24"/>
                <w:lang w:val="ru-RU"/>
              </w:rPr>
              <w:t xml:space="preserve"> выполняемых организацией-заказчиком</w:t>
            </w:r>
          </w:p>
        </w:tc>
        <w:tc>
          <w:tcPr>
            <w:tcW w:w="6022" w:type="dxa"/>
            <w:shd w:val="clear" w:color="auto" w:fill="auto"/>
          </w:tcPr>
          <w:p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Сети связи</w:t>
            </w:r>
          </w:p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Разработать </w:t>
            </w:r>
            <w:r>
              <w:rPr>
                <w:b w:val="0"/>
                <w:sz w:val="22"/>
                <w:szCs w:val="22"/>
                <w:lang w:val="ru-RU"/>
              </w:rPr>
              <w:t xml:space="preserve">проектную документацию</w:t>
            </w:r>
            <w:r>
              <w:rPr>
                <w:b w:val="0"/>
                <w:sz w:val="22"/>
                <w:szCs w:val="22"/>
                <w:lang w:val="ru-RU"/>
              </w:rPr>
              <w:t xml:space="preserve"> на наружные сети связи (НСС)</w:t>
            </w:r>
            <w:r>
              <w:rPr>
                <w:b w:val="0"/>
                <w:sz w:val="22"/>
                <w:szCs w:val="22"/>
                <w:lang w:val="ru-RU"/>
              </w:rPr>
              <w:t xml:space="preserve">, </w:t>
            </w:r>
            <w:r>
              <w:rPr>
                <w:b w:val="0"/>
                <w:sz w:val="22"/>
                <w:szCs w:val="22"/>
                <w:lang w:val="ru-RU"/>
              </w:rPr>
              <w:t xml:space="preserve">с учетом одного из двух вариантов</w:t>
            </w:r>
            <w:r>
              <w:rPr>
                <w:b w:val="0"/>
                <w:sz w:val="22"/>
                <w:szCs w:val="22"/>
                <w:lang w:val="ru-RU"/>
              </w:rPr>
              <w:t xml:space="preserve">:</w:t>
            </w:r>
          </w:p>
          <w:p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Вариант 1</w:t>
            </w:r>
            <w:r>
              <w:rPr>
                <w:sz w:val="22"/>
                <w:szCs w:val="22"/>
                <w:lang w:val="ru-RU"/>
              </w:rPr>
              <w:t xml:space="preserve"> (Приложение 1)</w:t>
            </w:r>
            <w:r>
              <w:rPr>
                <w:sz w:val="22"/>
                <w:szCs w:val="22"/>
                <w:lang w:val="ru-RU"/>
              </w:rPr>
              <w:t xml:space="preserve">:</w:t>
            </w:r>
          </w:p>
          <w:p>
            <w:pPr>
              <w:numPr>
                <w:numId w:val="9"/>
                <w:ilvl w:val="0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Строительство 2-х трубной канализации от </w:t>
            </w:r>
            <w:r>
              <w:rPr>
                <w:b w:val="0"/>
                <w:sz w:val="22"/>
                <w:szCs w:val="22"/>
                <w:lang w:val="ru-RU"/>
              </w:rPr>
              <w:t xml:space="preserve">объекта строительства до</w:t>
            </w:r>
            <w:r>
              <w:rPr>
                <w:b w:val="0"/>
                <w:sz w:val="22"/>
                <w:szCs w:val="22"/>
                <w:lang w:val="ru-RU"/>
              </w:rPr>
              <w:t xml:space="preserve"> колодца № </w:t>
            </w:r>
            <w:r>
              <w:rPr>
                <w:b w:val="0"/>
                <w:sz w:val="22"/>
                <w:szCs w:val="22"/>
                <w:lang w:val="ru-RU"/>
              </w:rPr>
              <w:t xml:space="preserve">2</w:t>
            </w:r>
          </w:p>
          <w:p>
            <w:pPr>
              <w:numPr>
                <w:numId w:val="9"/>
                <w:ilvl w:val="0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От колодца №2 до колодца №5 доложить 2-х трубную канализацию с произведением очистки колодцев №№ 3,4 от грунта</w:t>
            </w:r>
          </w:p>
          <w:p>
            <w:pPr>
              <w:numPr>
                <w:numId w:val="9"/>
                <w:ilvl w:val="0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проложить телефонный кабель типа ТПП-10х2 от объекта</w:t>
            </w:r>
            <w:r>
              <w:rPr>
                <w:b w:val="0"/>
                <w:sz w:val="22"/>
                <w:szCs w:val="22"/>
                <w:lang w:val="ru-RU"/>
              </w:rPr>
              <w:t xml:space="preserve"> строительства</w:t>
            </w:r>
            <w:r>
              <w:rPr>
                <w:b w:val="0"/>
                <w:sz w:val="22"/>
                <w:szCs w:val="22"/>
                <w:lang w:val="ru-RU"/>
              </w:rPr>
              <w:t xml:space="preserve"> до распределительного шкафа ШР-02 в здании Штаба АО «КАП»</w:t>
            </w:r>
            <w:r>
              <w:rPr>
                <w:b w:val="0"/>
                <w:sz w:val="22"/>
                <w:szCs w:val="22"/>
                <w:lang w:val="ru-RU"/>
              </w:rPr>
              <w:t xml:space="preserve">.</w:t>
            </w:r>
          </w:p>
          <w:p>
            <w:pPr>
              <w:numPr>
                <w:numId w:val="9"/>
                <w:ilvl w:val="0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проложить оптический кабель от объекта</w:t>
            </w:r>
            <w:r>
              <w:rPr>
                <w:b w:val="0"/>
                <w:sz w:val="22"/>
                <w:szCs w:val="22"/>
                <w:lang w:val="ru-RU"/>
              </w:rPr>
              <w:t xml:space="preserve"> строительства</w:t>
            </w:r>
            <w:r>
              <w:rPr>
                <w:b w:val="0"/>
                <w:sz w:val="22"/>
                <w:szCs w:val="22"/>
                <w:lang w:val="ru-RU"/>
              </w:rPr>
              <w:t xml:space="preserve"> до распределительного шкафа ШР-02 в здании Штаба АО «КАП</w:t>
            </w:r>
            <w:r>
              <w:rPr>
                <w:b w:val="0"/>
                <w:sz w:val="22"/>
                <w:szCs w:val="22"/>
                <w:lang w:val="ru-RU"/>
              </w:rPr>
              <w:t xml:space="preserve">»</w:t>
            </w:r>
          </w:p>
          <w:p>
            <w:pPr>
              <w:numPr>
                <w:numId w:val="9"/>
                <w:ilvl w:val="0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В каждом колодце кабельной канализации кабели должны иметь маркировку с указание владельца кабеля, марку кабеля и конечные точки.</w:t>
            </w:r>
          </w:p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Вариант </w:t>
            </w:r>
            <w:r>
              <w:rPr>
                <w:sz w:val="22"/>
                <w:szCs w:val="22"/>
                <w:lang w:val="ru-RU"/>
              </w:rPr>
              <w:t xml:space="preserve">2</w:t>
            </w:r>
            <w:r>
              <w:rPr>
                <w:sz w:val="22"/>
                <w:szCs w:val="22"/>
                <w:lang w:val="ru-RU"/>
              </w:rPr>
              <w:t xml:space="preserve"> (Приложение </w:t>
            </w:r>
            <w:r>
              <w:rPr>
                <w:sz w:val="22"/>
                <w:szCs w:val="22"/>
                <w:lang w:val="ru-RU"/>
              </w:rPr>
              <w:t xml:space="preserve">2</w:t>
            </w:r>
            <w:r>
              <w:rPr>
                <w:sz w:val="22"/>
                <w:szCs w:val="22"/>
                <w:lang w:val="ru-RU"/>
              </w:rPr>
              <w:t xml:space="preserve">)</w:t>
            </w:r>
            <w:r>
              <w:rPr>
                <w:sz w:val="22"/>
                <w:szCs w:val="22"/>
                <w:lang w:val="ru-RU"/>
              </w:rPr>
              <w:t xml:space="preserve">: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b w:val="0"/>
                <w:sz w:val="22"/>
                <w:szCs w:val="22"/>
                <w:lang w:val="ru-RU"/>
              </w:rPr>
              <w:t xml:space="preserve">Предусматривает строительс</w:t>
            </w:r>
            <w:r>
              <w:rPr>
                <w:b w:val="0"/>
                <w:sz w:val="22"/>
                <w:szCs w:val="22"/>
                <w:lang w:val="ru-RU"/>
              </w:rPr>
              <w:t xml:space="preserve">т</w:t>
            </w:r>
            <w:r>
              <w:rPr>
                <w:b w:val="0"/>
                <w:sz w:val="22"/>
                <w:szCs w:val="22"/>
                <w:lang w:val="ru-RU"/>
              </w:rPr>
              <w:t xml:space="preserve">во </w:t>
            </w:r>
            <w:r>
              <w:rPr>
                <w:b w:val="0"/>
                <w:sz w:val="22"/>
                <w:szCs w:val="22"/>
                <w:lang w:val="ru-RU"/>
              </w:rPr>
              <w:t xml:space="preserve">связной канализации от объекта строительства до канализации </w:t>
            </w:r>
            <w:r>
              <w:rPr>
                <w:b w:val="0"/>
                <w:sz w:val="22"/>
                <w:szCs w:val="22"/>
                <w:lang w:val="ru-RU"/>
              </w:rPr>
              <w:t xml:space="preserve">ФГУП «Администрация гражданских аэропортов (аэродромов)»</w:t>
            </w:r>
            <w:r>
              <w:rPr>
                <w:b w:val="0"/>
                <w:sz w:val="22"/>
                <w:szCs w:val="22"/>
                <w:lang w:val="ru-RU"/>
              </w:rPr>
              <w:t xml:space="preserve">. Для получения ТУ необходимо обратиться в ФГУП «АГА»</w:t>
            </w:r>
            <w:bookmarkStart w:id="0" w:name="_GoBack"/>
            <w:bookmarkEnd w:id="0"/>
            <w:r>
              <w:rPr>
                <w:b w:val="0"/>
                <w:sz w:val="22"/>
                <w:szCs w:val="22"/>
                <w:lang w:val="ru-RU"/>
              </w:rPr>
              <w:t xml:space="preserve"> </w:t>
            </w:r>
          </w:p>
          <w:p>
            <w:pPr>
              <w:rPr>
                <w:b w:val="0"/>
                <w:sz w:val="22"/>
                <w:szCs w:val="22"/>
                <w:lang w:val="ru-RU"/>
              </w:rPr>
            </w:pPr>
          </w:p>
        </w:tc>
      </w:tr>
      <w:tr>
        <w:tc>
          <w:tcPr>
            <w:tcW w:w="465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4.</w:t>
            </w:r>
          </w:p>
        </w:tc>
        <w:tc>
          <w:tcPr>
            <w:tcW w:w="3001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Способ организации взаимодействия и технической эксплуатации</w:t>
            </w:r>
          </w:p>
        </w:tc>
        <w:tc>
          <w:tcPr>
            <w:tcW w:w="6022" w:type="dxa"/>
            <w:shd w:val="clear" w:color="auto" w:fill="auto"/>
          </w:tcPr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Разработать </w:t>
            </w:r>
            <w:r>
              <w:rPr>
                <w:b w:val="0"/>
                <w:sz w:val="22"/>
                <w:szCs w:val="22"/>
                <w:lang w:val="ru-RU"/>
              </w:rPr>
              <w:t xml:space="preserve">документацию</w:t>
            </w:r>
            <w:r>
              <w:rPr>
                <w:b w:val="0"/>
                <w:sz w:val="22"/>
                <w:szCs w:val="22"/>
                <w:lang w:val="ru-RU"/>
              </w:rPr>
              <w:t xml:space="preserve"> и согласовать с АО "</w:t>
            </w:r>
            <w:r>
              <w:rPr>
                <w:b w:val="0"/>
                <w:sz w:val="22"/>
                <w:szCs w:val="22"/>
                <w:lang w:val="ru-RU"/>
              </w:rPr>
              <w:t xml:space="preserve">МАПК(Е)</w:t>
            </w:r>
            <w:r>
              <w:rPr>
                <w:b w:val="0"/>
                <w:sz w:val="22"/>
                <w:szCs w:val="22"/>
                <w:lang w:val="ru-RU"/>
              </w:rPr>
              <w:t xml:space="preserve">".</w:t>
            </w:r>
          </w:p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Исходные данные для проектирования можно получить в АО "</w:t>
            </w:r>
            <w:r>
              <w:rPr>
                <w:b w:val="0"/>
                <w:sz w:val="22"/>
                <w:szCs w:val="22"/>
                <w:lang w:val="ru-RU"/>
              </w:rPr>
              <w:t xml:space="preserve">МАПК(Е)</w:t>
            </w:r>
            <w:r>
              <w:rPr>
                <w:b w:val="0"/>
                <w:sz w:val="22"/>
                <w:szCs w:val="22"/>
                <w:lang w:val="ru-RU"/>
              </w:rPr>
              <w:t xml:space="preserve">".</w:t>
            </w:r>
          </w:p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тел.:</w:t>
            </w:r>
            <w:r>
              <w:rPr>
                <w:b w:val="0"/>
                <w:sz w:val="22"/>
                <w:szCs w:val="22"/>
                <w:lang w:val="ru-RU"/>
              </w:rPr>
              <w:t xml:space="preserve"> </w:t>
            </w:r>
            <w:r>
              <w:rPr>
                <w:b w:val="0"/>
                <w:sz w:val="22"/>
                <w:szCs w:val="22"/>
                <w:lang w:val="ru-RU"/>
              </w:rPr>
              <w:t xml:space="preserve">(41531)99-7-20, (41531)99-5-99</w:t>
            </w:r>
          </w:p>
        </w:tc>
      </w:tr>
      <w:tr>
        <w:tc>
          <w:tcPr>
            <w:tcW w:w="465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5.</w:t>
            </w:r>
          </w:p>
        </w:tc>
        <w:tc>
          <w:tcPr>
            <w:tcW w:w="3001" w:type="dxa"/>
            <w:shd w:val="clear" w:color="auto" w:fill="auto"/>
          </w:tcPr>
          <w:p>
            <w:pPr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Срок действия ТУ</w:t>
            </w:r>
          </w:p>
        </w:tc>
        <w:tc>
          <w:tcPr>
            <w:tcW w:w="6022" w:type="dxa"/>
            <w:shd w:val="clear" w:color="auto" w:fill="auto"/>
          </w:tcPr>
          <w:p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Технические условия </w:t>
            </w:r>
            <w:r>
              <w:rPr>
                <w:b w:val="0"/>
                <w:sz w:val="22"/>
                <w:szCs w:val="22"/>
                <w:lang w:val="ru-RU"/>
              </w:rPr>
              <w:t xml:space="preserve">действительны в течении </w:t>
            </w:r>
            <w:r>
              <w:rPr>
                <w:b w:val="0"/>
                <w:sz w:val="22"/>
                <w:szCs w:val="22"/>
                <w:lang w:val="ru-RU"/>
              </w:rPr>
              <w:t xml:space="preserve">24</w:t>
            </w:r>
            <w:r>
              <w:rPr>
                <w:b w:val="0"/>
                <w:sz w:val="22"/>
                <w:szCs w:val="22"/>
                <w:lang w:val="ru-RU"/>
              </w:rPr>
              <w:t xml:space="preserve"> месяцев с момента утверждения.</w:t>
            </w:r>
          </w:p>
        </w:tc>
      </w:tr>
    </w:tbl>
    <w:p>
      <w:pPr>
        <w:rPr>
          <w:szCs w:val="36"/>
          <w:lang w:val="ru-RU"/>
        </w:rPr>
      </w:pPr>
    </w:p>
    <w:p>
      <w:pPr>
        <w:rPr>
          <w:szCs w:val="36"/>
          <w:lang w:val="ru-RU"/>
        </w:rPr>
      </w:pPr>
    </w:p>
    <w:p>
      <w:pPr>
        <w:rPr>
          <w:szCs w:val="36"/>
          <w:lang w:val="ru-RU"/>
        </w:rPr>
      </w:pPr>
    </w:p>
    <w:p>
      <w:pPr>
        <w:rPr>
          <w:szCs w:val="36"/>
          <w:lang w:val="ru-RU"/>
        </w:rPr>
      </w:pPr>
    </w:p>
    <w:p>
      <w:pPr>
        <w:rPr>
          <w:szCs w:val="36"/>
          <w:lang w:val="ru-RU"/>
        </w:rPr>
      </w:pPr>
    </w:p>
    <w:p>
      <w:pPr>
        <w:rPr>
          <w:b w:val="0"/>
          <w:sz w:val="22"/>
          <w:szCs w:val="22"/>
          <w:lang w:val="ru-RU"/>
        </w:rPr>
      </w:pPr>
      <w:r>
        <w:rPr>
          <w:b w:val="0"/>
          <w:szCs w:val="36"/>
          <w:lang w:val="ru-RU"/>
        </w:rPr>
        <w:t xml:space="preserve">Начальник </w:t>
      </w:r>
      <w:r>
        <w:rPr>
          <w:b w:val="0"/>
          <w:szCs w:val="36"/>
          <w:lang w:val="ru-RU"/>
        </w:rPr>
        <w:t xml:space="preserve">СИТиС</w:t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 xml:space="preserve">А.В.</w:t>
      </w:r>
      <w:r>
        <w:rPr>
          <w:b w:val="0"/>
          <w:szCs w:val="36"/>
          <w:lang w:val="ru-RU"/>
        </w:rPr>
        <w:t xml:space="preserve"> Лагойда</w:t>
      </w: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</w:p>
    <w:p>
      <w:pPr>
        <w:spacing w:after="160" w:line="259" w:lineRule="auto"/>
        <w:rPr>
          <w:b w:val="0"/>
          <w:lang w:val="ru-RU"/>
        </w:rPr>
      </w:pPr>
      <w:r>
        <w:rPr>
          <w:b w:val="0"/>
          <w:lang w:val="ru-RU"/>
        </w:rPr>
        <w:br w:type="page" w:clear="all"/>
      </w:r>
    </w:p>
    <w:p>
      <w:pPr>
        <w:jc w:val="right"/>
        <w:rPr>
          <w:b w:val="0"/>
          <w:lang w:val="ru-RU"/>
        </w:rPr>
        <w:sectPr>
          <w:pgSz w:w="11907" w:h="16840"/>
          <w:pgMar w:top="1134" w:right="992" w:bottom="1276" w:left="1417" w:header="720" w:footer="720" w:gutter="0"/>
          <w:cols w:space="708"/>
          <w:docGrid w:linePitch="360"/>
        </w:sectPr>
      </w:pPr>
    </w:p>
    <w:p>
      <w:pPr>
        <w:jc w:val="right"/>
        <w:rPr>
          <w:b w:val="0"/>
          <w:lang w:val="ru-RU"/>
        </w:rPr>
      </w:pPr>
      <w:r>
        <w:rPr>
          <w:b w:val="0"/>
          <w:lang w:val="ru-RU"/>
        </w:rPr>
        <w:t xml:space="preserve">П</w:t>
      </w:r>
      <w:r>
        <w:rPr>
          <w:b w:val="0"/>
          <w:lang w:val="ru-RU"/>
        </w:rPr>
        <w:t xml:space="preserve">риложение 1</w:t>
      </w: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  <w:r>
        <w:rPr>
          <w:sz w:val="24"/>
          <w:szCs w:val="24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62060" cy="4472940"/>
                <wp:effectExtent l="0" t="0" r="0" b="381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8862060" cy="447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97.80pt;height:352.20pt;mso-wrap-distance-left:0.00pt;mso-wrap-distance-top:0.00pt;mso-wrap-distance-right:0.00pt;mso-wrap-distance-bottom:0.00pt;" stroked="f">
                <v:path textboxrect="0,0,0,0"/>
                <v:imagedata r:id="rId7" o:title=""/>
              </v:shape>
            </w:pict>
          </mc:Fallback>
        </mc:AlternateContent>
      </w: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</w:p>
    <w:p>
      <w:pPr>
        <w:spacing w:after="160" w:line="259" w:lineRule="auto"/>
        <w:rPr>
          <w:b w:val="0"/>
          <w:lang w:val="ru-RU"/>
        </w:rPr>
      </w:pPr>
      <w:r>
        <w:rPr>
          <w:b w:val="0"/>
          <w:lang w:val="ru-RU"/>
        </w:rPr>
        <w:br w:type="page" w:clear="all"/>
      </w:r>
    </w:p>
    <w:p>
      <w:pPr>
        <w:jc w:val="right"/>
        <w:rPr>
          <w:b w:val="0"/>
          <w:lang w:val="ru-RU"/>
        </w:rPr>
      </w:pPr>
      <w:r>
        <w:rPr>
          <w:b w:val="0"/>
          <w:lang w:val="ru-RU"/>
        </w:rPr>
        <w:t xml:space="preserve">Приложение </w:t>
      </w:r>
      <w:r>
        <w:rPr>
          <w:b w:val="0"/>
          <w:lang w:val="ru-RU"/>
        </w:rPr>
        <w:t xml:space="preserve">2</w:t>
      </w:r>
    </w:p>
    <w:p>
      <w:pPr>
        <w:jc w:val="right"/>
        <w:rPr>
          <w:b w:val="0"/>
          <w:lang w:val="ru-RU"/>
        </w:rPr>
      </w:pPr>
    </w:p>
    <w:p>
      <w:pPr>
        <w:jc w:val="right"/>
        <w:rPr>
          <w:b w:val="0"/>
          <w:lang w:val="ru-RU"/>
        </w:rPr>
      </w:pPr>
      <w:r>
        <w:rPr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54440" cy="4137660"/>
                <wp:effectExtent l="0" t="0" r="381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8854440" cy="413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697.20pt;height:325.8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</w:p>
    <w:p>
      <w:pPr>
        <w:jc w:val="right"/>
        <w:rPr>
          <w:b w:val="0"/>
          <w:lang w:val="ru-RU"/>
        </w:rPr>
        <w:sectPr>
          <w:pgSz w:w="16840" w:h="11907" w:orient="landscape"/>
          <w:pgMar w:top="1418" w:right="1134" w:bottom="992" w:left="1276" w:header="720" w:footer="720" w:gutter="0"/>
          <w:cols w:space="708"/>
          <w:docGrid w:linePitch="360"/>
        </w:sectPr>
      </w:pPr>
    </w:p>
    <w:p>
      <w:pPr>
        <w:rPr>
          <w:b w:val="0"/>
          <w:lang w:val="ru-RU"/>
        </w:rPr>
      </w:pPr>
    </w:p>
    <w:sectPr>
      <w:pgSz w:w="11907" w:h="16840"/>
      <w:pgMar w:top="1134" w:right="992" w:bottom="1276" w:left="141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plc="2AC89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entative="1" w:tplc="041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plc="650AA3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 w:tplc="2AC89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spacing w:after="0" w:line="240" w:lineRule="auto"/>
    </w:pPr>
    <w:rPr>
      <w:rFonts w:ascii="Times New Roman" w:hAnsi="Times New Roman" w:eastAsia="Calibri" w:cs="Times New Roman"/>
      <w:b/>
      <w:sz w:val="28"/>
      <w:szCs w:val="28"/>
      <w:lang w:val="en-GB"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styleId="a6" w:customStyle="1">
    <w:name w:val="Текст примечания Знак"/>
    <w:basedOn w:val="a0"/>
    <w:link w:val="a5"/>
    <w:uiPriority w:val="99"/>
    <w:semiHidden/>
    <w:rPr>
      <w:rFonts w:ascii="Times New Roman" w:hAnsi="Times New Roman" w:eastAsia="Calibri" w:cs="Times New Roman"/>
      <w:b/>
      <w:sz w:val="20"/>
      <w:szCs w:val="20"/>
      <w:lang w:val="en-GB"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Pr>
      <w:bCs/>
    </w:rPr>
  </w:style>
  <w:style w:type="character" w:styleId="a8" w:customStyle="1">
    <w:name w:val="Тема примечания Знак"/>
    <w:basedOn w:val="a6"/>
    <w:link w:val="a7"/>
    <w:uiPriority w:val="99"/>
    <w:semiHidden/>
    <w:rPr>
      <w:rFonts w:ascii="Times New Roman" w:hAnsi="Times New Roman" w:eastAsia="Calibri" w:cs="Times New Roman"/>
      <w:b/>
      <w:bCs/>
      <w:sz w:val="20"/>
      <w:szCs w:val="20"/>
      <w:lang w:val="en-GB" w:eastAsia="ru-RU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aa" w:customStyle="1">
    <w:name w:val="Текст выноски Знак"/>
    <w:basedOn w:val="a0"/>
    <w:link w:val="a9"/>
    <w:uiPriority w:val="99"/>
    <w:semiHidden/>
    <w:rPr>
      <w:rFonts w:ascii="Segoe UI" w:hAnsi="Segoe UI" w:eastAsia="Calibri" w:cs="Segoe UI"/>
      <w:b/>
      <w:sz w:val="18"/>
      <w:szCs w:val="18"/>
      <w:lang w:val="en-GB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Liberation Sans"/>
        <a:cs typeface="Liberation Sans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Liberation Sans"/>
        <a:cs typeface="Liberation Sans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haracters>1316</Characters>
  <CharactersWithSpaces>1543</CharactersWithSpaces>
  <Company/>
  <DocSecurity>0</DocSecurity>
  <HyperlinksChanged>false</HyperlinksChanged>
  <Lines>10</Lines>
  <LinksUpToDate>false</LinksUpToDate>
  <Pages>4</Pages>
  <Paragraphs>3</Paragraphs>
  <ScaleCrop>false</ScaleCrop>
  <SharedDoc>false</SharedDoc>
  <Template>Normal.dotm</Template>
  <TotalTime>28</TotalTime>
  <Words>230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Табатчиков Евгений Николаевич</dc:creator>
  <cp:keywords/>
  <dc:description/>
  <cp:lastModifiedBy>USER23</cp:lastModifiedBy>
  <cp:revision>5</cp:revision>
  <dcterms:created xsi:type="dcterms:W3CDTF">2025-02-11T22:48:00Z</dcterms:created>
  <dcterms:modified xsi:type="dcterms:W3CDTF">2025-02-13T01:47:00Z</dcterms:modified>
</cp:coreProperties>
</file>