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>
        <w:tblPrEx/>
        <w:trPr>
          <w:jc w:val="center"/>
        </w:trPr>
        <w:tc>
          <w:tcPr>
            <w:shd w:val="clear" w:color="auto" w:fill="auto"/>
            <w:tcW w:w="2411" w:type="pct"/>
            <w:textDirection w:val="lrTb"/>
            <w:noWrap w:val="false"/>
          </w:tcPr>
          <w:p>
            <w:pPr>
              <w:pStyle w:val="680"/>
              <w:jc w:val="right"/>
              <w:rPr>
                <w:rFonts w:ascii="Calibri" w:hAnsi="Calibri" w:eastAsia="Calibri" w:cs="Calibri"/>
                <w:sz w:val="18"/>
                <w:szCs w:val="18"/>
              </w:rPr>
            </w:pPr>
            <w:r/>
            <w:bookmarkStart w:id="0" w:name="_Hlk94873296"/>
            <w:r/>
            <w:bookmarkEnd w:id="0"/>
            <w:r/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  <w:tc>
          <w:tcPr>
            <w:shd w:val="clear" w:color="auto" w:fill="auto"/>
            <w:tcW w:w="2589" w:type="pct"/>
            <w:textDirection w:val="lrTb"/>
            <w:noWrap w:val="false"/>
          </w:tcPr>
          <w:p>
            <w:pPr>
              <w:pStyle w:val="680"/>
              <w:jc w:val="right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Рекомендуемый образец формы заявки участника</w:t>
            </w:r>
            <w:r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hAnsi="Times New Roman" w:cs="Times New Roman"/>
          <w:i/>
          <w:sz w:val="18"/>
          <w:szCs w:val="18"/>
          <w:lang w:eastAsia="ru-RU"/>
        </w:rPr>
      </w:r>
      <w:r>
        <w:rPr>
          <w:rFonts w:ascii="Times New Roman" w:hAnsi="Times New Roman" w:cs="Times New Roman"/>
          <w:i/>
          <w:sz w:val="18"/>
          <w:szCs w:val="18"/>
          <w:lang w:eastAsia="ru-RU"/>
        </w:rPr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>
        <w:tblPrEx/>
        <w:trPr>
          <w:trHeight w:val="279"/>
        </w:trPr>
        <w:tc>
          <w:tcPr>
            <w:gridSpan w:val="2"/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 w:eastAsia="Calibri" w:cs="Times New Roman"/>
                <w:iCs/>
                <w:sz w:val="20"/>
                <w:szCs w:val="20"/>
                <w:lang w:eastAsia="ru-RU"/>
              </w:rPr>
            </w:pPr>
            <w:r/>
            <w:bookmarkStart w:id="1" w:name="_Hlk208071188"/>
            <w:r>
              <w:rPr>
                <w:rStyle w:val="679"/>
                <w:rFonts w:eastAsia="Arial Unicode MS"/>
                <w:b/>
                <w:sz w:val="20"/>
                <w:szCs w:val="20"/>
              </w:rPr>
              <w:t xml:space="preserve">ПРЕДЛОЖЕНИЕ УЧАСТНИКА ЗАКУПКИ</w:t>
            </w:r>
            <w:r>
              <w:rPr>
                <w:rFonts w:ascii="Times New Roman" w:hAnsi="Times New Roman" w:eastAsia="Calibri" w:cs="Times New Roman"/>
                <w:i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679"/>
                <w:rFonts w:eastAsia="Arial Unicode MS"/>
                <w:b/>
                <w:sz w:val="20"/>
                <w:szCs w:val="20"/>
              </w:rPr>
              <w:t xml:space="preserve">№</w:t>
            </w:r>
            <w:r>
              <w:rPr>
                <w:rStyle w:val="679"/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Style w:val="679"/>
                <w:rFonts w:eastAsia="Arial Unicode MS"/>
                <w:b/>
                <w:sz w:val="20"/>
                <w:szCs w:val="20"/>
              </w:rPr>
              <w:t xml:space="preserve">закупки в Единой информационной системы в сфере закупок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Style w:val="679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Style w:val="679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rStyle w:val="679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679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 xml:space="preserve">_____________</w:t>
            </w:r>
            <w:r>
              <w:rPr>
                <w:rStyle w:val="679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r>
          </w:p>
        </w:tc>
      </w:tr>
      <w:tr>
        <w:tblPrEx/>
        <w:trPr>
          <w:trHeight w:val="424"/>
        </w:trPr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 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r>
          </w:p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подтверждаем свое согласие участвовать в вышеуказанной закупке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r>
          </w:p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r>
          </w:p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r>
          </w:p>
          <w:p>
            <w:pPr>
              <w:ind w:firstLine="567"/>
              <w:jc w:val="both"/>
              <w:spacing w:after="0" w:line="240" w:lineRule="auto"/>
              <w:rPr>
                <w:rStyle w:val="679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.</w:t>
            </w:r>
            <w:bookmarkEnd w:id="1"/>
            <w:r>
              <w:rPr>
                <w:rStyle w:val="679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hAnsi="Times New Roman" w:cs="Times New Roman"/>
          <w:i/>
          <w:sz w:val="18"/>
          <w:szCs w:val="18"/>
          <w:lang w:eastAsia="ru-RU"/>
        </w:rPr>
      </w:r>
      <w:r>
        <w:rPr>
          <w:rFonts w:ascii="Times New Roman" w:hAnsi="Times New Roman" w:cs="Times New Roman"/>
          <w:i/>
          <w:sz w:val="18"/>
          <w:szCs w:val="18"/>
          <w:lang w:eastAsia="ru-RU"/>
        </w:rPr>
      </w:r>
    </w:p>
    <w:tbl>
      <w:tblPr>
        <w:tblStyle w:val="682"/>
        <w:tblW w:w="5000" w:type="pct"/>
        <w:tblLook w:val="04A0" w:firstRow="1" w:lastRow="0" w:firstColumn="1" w:lastColumn="0" w:noHBand="0" w:noVBand="1"/>
      </w:tblPr>
      <w:tblGrid>
        <w:gridCol w:w="10456"/>
      </w:tblGrid>
      <w:tr>
        <w:tblPrEx/>
        <w:trPr/>
        <w:tc>
          <w:tcPr>
            <w:shd w:val="clear" w:color="auto" w:fill="deeaf6" w:themeFill="accent5" w:themeFillTint="33"/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679"/>
                <w:rFonts w:eastAsia="Arial Unicode MS"/>
                <w:b/>
                <w:bCs/>
                <w:sz w:val="20"/>
                <w:szCs w:val="20"/>
              </w:rPr>
              <w:t xml:space="preserve">ЦЕНОВОЕ ПРЕДЛОЖЕНИЕ УЧАСТНИКА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прописью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(указывается, если участник является плательщиком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прописью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(указывается, если участник не является плательщиком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включает в себя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оплачиваемые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Предлагаемая цена договора является твердой и определяется на весь срок его исполнения.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r/>
      <w:r/>
    </w:p>
    <w:tbl>
      <w:tblPr>
        <w:tblStyle w:val="682"/>
        <w:tblW w:w="5000" w:type="pct"/>
        <w:tblLook w:val="04A0" w:firstRow="1" w:lastRow="0" w:firstColumn="1" w:lastColumn="0" w:noHBand="0" w:noVBand="1"/>
      </w:tblPr>
      <w:tblGrid>
        <w:gridCol w:w="10456"/>
      </w:tblGrid>
      <w:tr>
        <w:tblPrEx/>
        <w:trPr/>
        <w:tc>
          <w:tcPr>
            <w:shd w:val="clear" w:color="auto" w:fill="deeaf6" w:themeFill="accent5" w:themeFillTint="33"/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СООТВЕТСТВИЕ УЧАСТНИКА ЗАКУПКИ ЕДИНЫМ ТРЕБОВАНИЯМ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000" w:type="pct"/>
            <w:textDirection w:val="lrTb"/>
            <w:noWrap w:val="false"/>
          </w:tcPr>
          <w:p>
            <w:pPr>
              <w:ind w:firstLine="56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r>
          </w:p>
        </w:tc>
      </w:tr>
    </w:tbl>
    <w:p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>
        <w:tblPrEx/>
        <w:trPr/>
        <w:tc>
          <w:tcPr>
            <w:gridSpan w:val="3"/>
            <w:shd w:val="clear" w:color="auto" w:fill="deeaf6" w:themeFill="accent5" w:themeFillTint="33"/>
            <w:tcW w:w="5000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/>
            <w:bookmarkStart w:id="2" w:name="OLE_LINK1"/>
            <w:r/>
            <w:bookmarkStart w:id="3" w:name="OLE_LINK2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АНКЕТА УЧАСТНИКА ЗАКУПКИ</w:t>
            </w:r>
            <w:bookmarkEnd w:id="2"/>
            <w:r/>
            <w:bookmarkEnd w:id="3"/>
            <w:r/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r>
          </w:p>
        </w:tc>
      </w:tr>
      <w:tr>
        <w:tblPrEx/>
        <w:trPr/>
        <w:tc>
          <w:tcPr>
            <w:tcW w:w="271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2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77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казывается полное наименование Участника, включая его организационно-правовую форму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71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2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Место нахождения (для юридического лица), место жительства (для физического лица):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7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наименование элемента планировочной структуры (квартал, микрорайон, иные) (при наличии);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наименование объекта улично-дорожной сети (улица, проспект, шоссе, переулок, проезд, набережная, площадь, иные) (при наличии);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r>
          </w:p>
        </w:tc>
      </w:tr>
      <w:tr>
        <w:tblPrEx/>
        <w:trPr/>
        <w:tc>
          <w:tcPr>
            <w:tcW w:w="271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2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Почтовый адрес (для юридического лица)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77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местонахождения участника.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71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2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Контактный телефон: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77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71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2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Факс (при наличии):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77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71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2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Адрес электронной почты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участника закупки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77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случае если предложение участника закупки будет признано лучшим, то на указанный в заявке электронный адрес будет выслан проект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71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2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77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71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2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причины постановки (КПП) на учёт в налоговом органе (только для российских юридических лиц)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77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71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2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ОГРН (для юридического лица) или ОГРНИП (для индивидуального предпринимателя) участника закупки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77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71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2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ОКПО участника (только для юридических лиц)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77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Указывается код по Общероссийскому классификатору предприятий и организаций (ОКПО), установленный участнику закупки.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71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852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Банковские реквизиты: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77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71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2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обслуживающего банка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77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71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2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Расчетный счет</w:t>
            </w:r>
            <w:r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77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71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2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Корреспондентский счет</w:t>
            </w:r>
            <w:r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77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71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2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БИК</w:t>
            </w:r>
            <w:r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77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71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Style w:val="68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681"/>
                <w:rFonts w:ascii="Times New Roman" w:hAnsi="Times New Roman" w:cs="Times New Roman"/>
                <w:sz w:val="20"/>
                <w:szCs w:val="20"/>
              </w:rPr>
              <w:t xml:space="preserve">12.</w:t>
            </w:r>
            <w:r>
              <w:rPr>
                <w:rStyle w:val="681"/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2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ФИО и должность руководителя участника закупки (директор, президент…)</w:t>
            </w:r>
            <w:r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77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указывают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r>
          </w:p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71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Style w:val="68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681"/>
                <w:rFonts w:ascii="Times New Roman" w:hAnsi="Times New Roman" w:cs="Times New Roman"/>
                <w:sz w:val="20"/>
                <w:szCs w:val="20"/>
              </w:rPr>
              <w:t xml:space="preserve">13.</w:t>
            </w:r>
            <w:r>
              <w:rPr>
                <w:rStyle w:val="681"/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2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Основание полномочий руководителя (Устав, Положение, Решение учредителей и т.д.)</w:t>
            </w:r>
            <w:r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77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должны приложить документ, определяющие его полномочия (Устав, Решение учредителей, Приказ и т.д.).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71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Style w:val="68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681"/>
                <w:rFonts w:ascii="Times New Roman" w:hAnsi="Times New Roman" w:cs="Times New Roman"/>
                <w:sz w:val="20"/>
                <w:szCs w:val="20"/>
              </w:rPr>
              <w:t xml:space="preserve">14.</w:t>
            </w:r>
            <w:r>
              <w:rPr>
                <w:rStyle w:val="681"/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2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  <w:r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77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71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Style w:val="68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681"/>
                <w:rFonts w:ascii="Times New Roman" w:hAnsi="Times New Roman" w:cs="Times New Roman"/>
                <w:sz w:val="20"/>
                <w:szCs w:val="20"/>
              </w:rPr>
              <w:t xml:space="preserve">15.</w:t>
            </w:r>
            <w:r>
              <w:rPr>
                <w:rStyle w:val="681"/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2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Основание полномочий лица, подписывающего договор (Устав, Положение, Доверенность № ___ от ____ 200_ г. и т.д.)</w:t>
            </w:r>
            <w:r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77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71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Style w:val="68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681"/>
                <w:rFonts w:ascii="Times New Roman" w:hAnsi="Times New Roman" w:cs="Times New Roman"/>
                <w:sz w:val="20"/>
                <w:szCs w:val="20"/>
              </w:rPr>
              <w:t xml:space="preserve">16.</w:t>
            </w:r>
            <w:r>
              <w:rPr>
                <w:rStyle w:val="681"/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2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Является ли организация налогоплательщиком НДС</w:t>
            </w:r>
            <w:r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77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71" w:type="pct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Style w:val="68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681"/>
                <w:rFonts w:ascii="Times New Roman" w:hAnsi="Times New Roman" w:cs="Times New Roman"/>
                <w:sz w:val="20"/>
                <w:szCs w:val="20"/>
              </w:rPr>
              <w:t xml:space="preserve">17.</w:t>
            </w:r>
            <w:r>
              <w:rPr>
                <w:rStyle w:val="681"/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52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ФИО, должность, телефон и электронный адрес контактного лица для получения дополнительной информации</w:t>
            </w:r>
            <w:r>
              <w:rPr>
                <w:rStyle w:val="681"/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877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680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</w:r>
      <w:r>
        <w:rPr>
          <w:rFonts w:eastAsia="Calibri"/>
          <w:b/>
          <w:bCs/>
          <w:sz w:val="20"/>
          <w:szCs w:val="20"/>
        </w:rPr>
      </w:r>
    </w:p>
    <w:p>
      <w:pPr>
        <w:pStyle w:val="680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Предлагаем </w:t>
      </w:r>
      <w:r>
        <w:rPr>
          <w:rFonts w:eastAsia="Calibri"/>
          <w:b/>
          <w:bCs/>
          <w:sz w:val="20"/>
          <w:szCs w:val="20"/>
        </w:rPr>
        <w:t xml:space="preserve">оказать услуги</w:t>
      </w:r>
      <w:r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  <w:r>
        <w:rPr>
          <w:rFonts w:eastAsia="Calibri"/>
          <w:b/>
          <w:bCs/>
          <w:sz w:val="20"/>
          <w:szCs w:val="20"/>
        </w:rPr>
      </w:r>
    </w:p>
    <w:p>
      <w:pPr>
        <w:pStyle w:val="680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</w:r>
      <w:r>
        <w:rPr>
          <w:rFonts w:eastAsia="Calibri"/>
          <w:b/>
          <w:bCs/>
          <w:sz w:val="20"/>
          <w:szCs w:val="20"/>
        </w:rPr>
      </w: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>
        <w:tblPrEx/>
        <w:trPr>
          <w:trHeight w:val="307"/>
        </w:trPr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п/п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2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widowControl w:val="off"/>
              <w:tabs>
                <w:tab w:val="left" w:pos="9180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Предмет закупки (договора)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042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widowControl w:val="off"/>
              <w:tabs>
                <w:tab w:val="left" w:pos="9180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оказания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widowControl w:val="off"/>
              <w:tabs>
                <w:tab w:val="left" w:pos="9180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Ед. изм.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2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widowControl w:val="off"/>
              <w:tabs>
                <w:tab w:val="left" w:pos="9180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за ед. изм., руб.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38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2" w:type="dxa"/>
            <w:vAlign w:val="center"/>
            <w:textDirection w:val="lrTb"/>
            <w:noWrap w:val="false"/>
          </w:tcPr>
          <w:p>
            <w:pPr>
              <w:ind w:left="154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042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widowControl w:val="off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widowControl w:val="off"/>
              <w:tabs>
                <w:tab w:val="left" w:pos="9180" w:leader="none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2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widowControl w:val="off"/>
              <w:tabs>
                <w:tab w:val="left" w:pos="9180" w:leader="none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blPrEx/>
        <w:trPr>
          <w:trHeight w:val="38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2" w:type="dxa"/>
            <w:vAlign w:val="center"/>
            <w:textDirection w:val="lrTb"/>
            <w:noWrap w:val="false"/>
          </w:tcPr>
          <w:p>
            <w:pPr>
              <w:ind w:left="154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042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widowControl w:val="off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widowControl w:val="off"/>
              <w:tabs>
                <w:tab w:val="left" w:pos="9180" w:leader="none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2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widowControl w:val="off"/>
              <w:tabs>
                <w:tab w:val="left" w:pos="9180" w:leader="none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blPrEx/>
        <w:trPr>
          <w:trHeight w:val="38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7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2" w:type="dxa"/>
            <w:vAlign w:val="center"/>
            <w:textDirection w:val="lrTb"/>
            <w:noWrap w:val="false"/>
          </w:tcPr>
          <w:p>
            <w:pPr>
              <w:ind w:left="154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3042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widowControl w:val="off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5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widowControl w:val="off"/>
              <w:tabs>
                <w:tab w:val="left" w:pos="9180" w:leader="none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2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widowControl w:val="off"/>
              <w:tabs>
                <w:tab w:val="left" w:pos="9180" w:leader="none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0"/>
        <w:ind w:firstLine="566"/>
        <w:jc w:val="both"/>
        <w:rPr>
          <w:rFonts w:eastAsia="Calibri"/>
          <w:b/>
          <w:bCs/>
          <w:sz w:val="20"/>
          <w:szCs w:val="20"/>
        </w:rPr>
      </w:pPr>
      <w:r/>
      <w:bookmarkStart w:id="4" w:name="_Hlk208071764"/>
      <w:r>
        <w:rPr>
          <w:rFonts w:eastAsia="Calibri"/>
          <w:b/>
          <w:bCs/>
          <w:sz w:val="20"/>
          <w:szCs w:val="20"/>
        </w:rPr>
        <w:t xml:space="preserve"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>
        <w:rPr>
          <w:rStyle w:val="685"/>
          <w:rFonts w:eastAsia="Calibri"/>
          <w:b/>
          <w:bCs/>
          <w:szCs w:val="20"/>
        </w:rPr>
        <w:footnoteReference w:id="2"/>
      </w:r>
      <w:r>
        <w:rPr>
          <w:rFonts w:eastAsia="Calibri"/>
          <w:b/>
          <w:bCs/>
          <w:sz w:val="20"/>
          <w:szCs w:val="20"/>
        </w:rPr>
        <w:t xml:space="preserve">:</w:t>
      </w:r>
      <w:r>
        <w:rPr>
          <w:rFonts w:eastAsia="Calibri"/>
          <w:b/>
          <w:bCs/>
          <w:sz w:val="20"/>
          <w:szCs w:val="20"/>
        </w:rPr>
      </w:r>
    </w:p>
    <w:p>
      <w:pPr>
        <w:pStyle w:val="680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</w:r>
      <w:r>
        <w:rPr>
          <w:rFonts w:eastAsia="Calibri"/>
          <w:b/>
          <w:bCs/>
          <w:sz w:val="20"/>
          <w:szCs w:val="20"/>
        </w:rPr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>
        <w:tblPrEx/>
        <w:trPr>
          <w:jc w:val="center"/>
          <w:trHeight w:val="281"/>
        </w:trPr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textDirection w:val="lrTb"/>
            <w:noWrap w:val="false"/>
          </w:tcPr>
          <w:p>
            <w:pPr>
              <w:pStyle w:val="686"/>
              <w:jc w:val="center"/>
              <w:spacing w:after="0" w:line="240" w:lineRule="auto"/>
              <w:rPr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п/п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pct"/>
            <w:textDirection w:val="lrTb"/>
            <w:noWrap w:val="false"/>
          </w:tcPr>
          <w:p>
            <w:pPr>
              <w:pStyle w:val="686"/>
              <w:jc w:val="center"/>
              <w:spacing w:after="0" w:line="240" w:lineRule="auto"/>
              <w:rPr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товара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pct"/>
            <w:textDirection w:val="lrTb"/>
            <w:noWrap w:val="false"/>
          </w:tcPr>
          <w:p>
            <w:pPr>
              <w:pStyle w:val="686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NSimSu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Наименование производителя товара (при наличии). Функциональные свойст</w:t>
            </w:r>
            <w:r>
              <w:rPr>
                <w:rFonts w:ascii="Times New Roman" w:hAnsi="Times New Roman" w:eastAsia="NSimSun" w:cs="Times New Roman"/>
                <w:b/>
                <w:bCs/>
                <w:color w:val="000000"/>
                <w:sz w:val="18"/>
                <w:szCs w:val="18"/>
                <w:lang w:bidi="hi-IN"/>
              </w:rPr>
              <w:t xml:space="preserve">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pct"/>
            <w:textDirection w:val="lrTb"/>
            <w:noWrap w:val="false"/>
          </w:tcPr>
          <w:p>
            <w:pPr>
              <w:pStyle w:val="686"/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страны происхождения товара (в соответствии с Общероссийским классификатором стран мира)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tcW w:w="455" w:type="pct"/>
            <w:textDirection w:val="lrTb"/>
            <w:noWrap w:val="false"/>
          </w:tcPr>
          <w:p>
            <w:pPr>
              <w:pStyle w:val="686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r>
          </w:p>
          <w:p>
            <w:pPr>
              <w:pStyle w:val="686"/>
              <w:jc w:val="center"/>
              <w:spacing w:after="0" w:line="240" w:lineRule="auto"/>
              <w:rPr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(при наличии)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" w:type="pct"/>
            <w:textDirection w:val="lrTb"/>
            <w:noWrap w:val="false"/>
          </w:tcPr>
          <w:p>
            <w:pPr>
              <w:pStyle w:val="686"/>
              <w:jc w:val="center"/>
              <w:spacing w:after="0" w:line="240" w:lineRule="auto"/>
              <w:rPr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Ед. изм.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" w:type="pct"/>
            <w:textDirection w:val="lrTb"/>
            <w:noWrap w:val="false"/>
          </w:tcPr>
          <w:p>
            <w:pPr>
              <w:pStyle w:val="686"/>
              <w:jc w:val="center"/>
              <w:spacing w:after="0" w:line="240" w:lineRule="auto"/>
              <w:rPr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Кол-во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" w:type="pct"/>
            <w:textDirection w:val="lrTb"/>
            <w:noWrap w:val="false"/>
          </w:tcPr>
          <w:p>
            <w:pPr>
              <w:pStyle w:val="686"/>
              <w:jc w:val="center"/>
              <w:spacing w:after="0" w:line="240" w:lineRule="auto"/>
              <w:rPr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за единицу, руб.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" w:type="pct"/>
            <w:textDirection w:val="lrTb"/>
            <w:noWrap w:val="false"/>
          </w:tcPr>
          <w:p>
            <w:pPr>
              <w:pStyle w:val="686"/>
              <w:jc w:val="center"/>
              <w:spacing w:after="0" w:line="240" w:lineRule="auto"/>
              <w:rPr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Сумма (итого), руб.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1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textDirection w:val="lrTb"/>
            <w:noWrap w:val="false"/>
          </w:tcPr>
          <w:p>
            <w:pPr>
              <w:pStyle w:val="686"/>
              <w:jc w:val="center"/>
              <w:spacing w:after="0" w:line="240" w:lineRule="auto"/>
              <w:rPr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pct"/>
            <w:textDirection w:val="lrTb"/>
            <w:noWrap w:val="false"/>
          </w:tcPr>
          <w:p>
            <w:pPr>
              <w:pStyle w:val="686"/>
              <w:jc w:val="center"/>
              <w:spacing w:after="0" w:line="240" w:lineRule="auto"/>
              <w:rPr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pct"/>
            <w:textDirection w:val="lrTb"/>
            <w:noWrap w:val="false"/>
          </w:tcPr>
          <w:p>
            <w:pPr>
              <w:pStyle w:val="686"/>
              <w:jc w:val="center"/>
              <w:spacing w:after="0" w:line="240" w:lineRule="auto"/>
              <w:rPr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pct"/>
            <w:textDirection w:val="lrTb"/>
            <w:noWrap w:val="false"/>
          </w:tcPr>
          <w:p>
            <w:pPr>
              <w:pStyle w:val="686"/>
              <w:jc w:val="center"/>
              <w:spacing w:after="0" w:line="240" w:lineRule="auto"/>
              <w:rPr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tcW w:w="455" w:type="pct"/>
            <w:textDirection w:val="lrTb"/>
            <w:noWrap w:val="false"/>
          </w:tcPr>
          <w:p>
            <w:pPr>
              <w:pStyle w:val="686"/>
              <w:jc w:val="center"/>
              <w:spacing w:after="0" w:line="240" w:lineRule="auto"/>
              <w:rPr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" w:type="pct"/>
            <w:textDirection w:val="lrTb"/>
            <w:noWrap w:val="false"/>
          </w:tcPr>
          <w:p>
            <w:pPr>
              <w:pStyle w:val="686"/>
              <w:jc w:val="center"/>
              <w:spacing w:after="0" w:line="240" w:lineRule="auto"/>
              <w:rPr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" w:type="pct"/>
            <w:textDirection w:val="lrTb"/>
            <w:noWrap w:val="false"/>
          </w:tcPr>
          <w:p>
            <w:pPr>
              <w:pStyle w:val="686"/>
              <w:jc w:val="center"/>
              <w:spacing w:after="0" w:line="240" w:lineRule="auto"/>
              <w:rPr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" w:type="pct"/>
            <w:textDirection w:val="lrTb"/>
            <w:noWrap w:val="false"/>
          </w:tcPr>
          <w:p>
            <w:pPr>
              <w:pStyle w:val="686"/>
              <w:jc w:val="center"/>
              <w:spacing w:after="0" w:line="240" w:lineRule="auto"/>
              <w:rPr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" w:type="pct"/>
            <w:textDirection w:val="lrTb"/>
            <w:noWrap w:val="false"/>
          </w:tcPr>
          <w:p>
            <w:pPr>
              <w:pStyle w:val="686"/>
              <w:jc w:val="center"/>
              <w:spacing w:after="0" w:line="240" w:lineRule="auto"/>
              <w:rPr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4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center"/>
            <w:textDirection w:val="lrTb"/>
            <w:noWrap w:val="false"/>
          </w:tcPr>
          <w:p>
            <w:pPr>
              <w:pStyle w:val="686"/>
              <w:jc w:val="center"/>
              <w:spacing w:after="0"/>
              <w:rPr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pct"/>
            <w:textDirection w:val="lrTb"/>
            <w:noWrap w:val="false"/>
          </w:tcPr>
          <w:p>
            <w:pPr>
              <w:pStyle w:val="686"/>
              <w:spacing w:after="0"/>
              <w:rPr>
                <w:rFonts w:ascii="Times New Roman" w:hAnsi="Times New Roman"/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pct"/>
            <w:textDirection w:val="lrTb"/>
            <w:noWrap w:val="false"/>
          </w:tcPr>
          <w:p>
            <w:pPr>
              <w:pStyle w:val="686"/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pct"/>
            <w:textDirection w:val="lrTb"/>
            <w:noWrap w:val="false"/>
          </w:tcPr>
          <w:p>
            <w:pPr>
              <w:pStyle w:val="686"/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tcW w:w="455" w:type="pct"/>
            <w:textDirection w:val="lrTb"/>
            <w:noWrap w:val="false"/>
          </w:tcPr>
          <w:p>
            <w:pPr>
              <w:pStyle w:val="686"/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" w:type="pct"/>
            <w:textDirection w:val="lrTb"/>
            <w:noWrap w:val="false"/>
          </w:tcPr>
          <w:p>
            <w:pPr>
              <w:pStyle w:val="686"/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" w:type="pct"/>
            <w:textDirection w:val="lrTb"/>
            <w:noWrap w:val="false"/>
          </w:tcPr>
          <w:p>
            <w:pPr>
              <w:pStyle w:val="686"/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" w:type="pct"/>
            <w:textDirection w:val="lrTb"/>
            <w:noWrap w:val="false"/>
          </w:tcPr>
          <w:p>
            <w:pPr>
              <w:pStyle w:val="686"/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" w:type="pct"/>
            <w:textDirection w:val="lrTb"/>
            <w:noWrap w:val="false"/>
          </w:tcPr>
          <w:p>
            <w:pPr>
              <w:pStyle w:val="686"/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jc w:val="center"/>
          <w:trHeight w:val="2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pct"/>
            <w:vAlign w:val="center"/>
            <w:textDirection w:val="lrTb"/>
            <w:noWrap w:val="false"/>
          </w:tcPr>
          <w:p>
            <w:pPr>
              <w:pStyle w:val="686"/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pct"/>
            <w:textDirection w:val="lrTb"/>
            <w:noWrap w:val="false"/>
          </w:tcPr>
          <w:p>
            <w:pPr>
              <w:pStyle w:val="686"/>
              <w:spacing w:after="0"/>
              <w:rPr>
                <w:rFonts w:ascii="Times New Roman" w:hAnsi="Times New Roman"/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pct"/>
            <w:textDirection w:val="lrTb"/>
            <w:noWrap w:val="false"/>
          </w:tcPr>
          <w:p>
            <w:pPr>
              <w:pStyle w:val="686"/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pct"/>
            <w:textDirection w:val="lrTb"/>
            <w:noWrap w:val="false"/>
          </w:tcPr>
          <w:p>
            <w:pPr>
              <w:pStyle w:val="686"/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right w:w="10" w:type="dxa"/>
            </w:tcMar>
            <w:tcW w:w="455" w:type="pct"/>
            <w:textDirection w:val="lrTb"/>
            <w:noWrap w:val="false"/>
          </w:tcPr>
          <w:p>
            <w:pPr>
              <w:pStyle w:val="686"/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" w:type="pct"/>
            <w:textDirection w:val="lrTb"/>
            <w:noWrap w:val="false"/>
          </w:tcPr>
          <w:p>
            <w:pPr>
              <w:pStyle w:val="686"/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" w:type="pct"/>
            <w:textDirection w:val="lrTb"/>
            <w:noWrap w:val="false"/>
          </w:tcPr>
          <w:p>
            <w:pPr>
              <w:pStyle w:val="686"/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" w:type="pct"/>
            <w:textDirection w:val="lrTb"/>
            <w:noWrap w:val="false"/>
          </w:tcPr>
          <w:p>
            <w:pPr>
              <w:pStyle w:val="686"/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" w:type="pct"/>
            <w:textDirection w:val="lrTb"/>
            <w:noWrap w:val="false"/>
          </w:tcPr>
          <w:p>
            <w:pPr>
              <w:pStyle w:val="686"/>
              <w:jc w:val="center"/>
              <w:spacing w:after="0"/>
              <w:rPr>
                <w:rFonts w:ascii="Times New Roman" w:hAnsi="Times New Roman"/>
                <w:sz w:val="18"/>
                <w:szCs w:val="18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bookmarkEnd w:id="4"/>
      <w:r>
        <w:rPr>
          <w:sz w:val="20"/>
          <w:szCs w:val="20"/>
        </w:rPr>
      </w:r>
    </w:p>
    <w:p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</w:p>
    <w:tbl>
      <w:tblPr>
        <w:tblStyle w:val="682"/>
        <w:tblW w:w="0" w:type="auto"/>
        <w:tblLook w:val="04A0" w:firstRow="1" w:lastRow="0" w:firstColumn="1" w:lastColumn="0" w:noHBand="0" w:noVBand="1"/>
      </w:tblPr>
      <w:tblGrid>
        <w:gridCol w:w="10456"/>
      </w:tblGrid>
      <w:tr>
        <w:tblPrEx/>
        <w:trPr/>
        <w:tc>
          <w:tcPr>
            <w:tcW w:w="10456" w:type="dxa"/>
            <w:textDirection w:val="lrTb"/>
            <w:noWrap w:val="false"/>
          </w:tcPr>
          <w:p>
            <w:pPr>
              <w:contextualSpacing/>
              <w:jc w:val="center"/>
              <w:spacing w:after="0"/>
              <w:shd w:val="clear" w:color="auto" w:fill="deeaf6" w:themeFill="accent5" w:themeFillTint="3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согласия участника закупки – физического лица (индивидуального предпринимателя) на обработку персональных данных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</w:tbl>
    <w:p>
      <w:pPr>
        <w:contextualSpacing/>
        <w:jc w:val="center"/>
        <w:spacing w:after="0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center"/>
        <w:spacing w:after="0"/>
        <w:shd w:val="clear" w:color="auto" w:fill="ffffff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Согласие участника закупки на обработку персональных данных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ind w:left="709" w:hanging="709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______,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709" w:hanging="709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  <w:r>
        <w:rPr>
          <w:rFonts w:ascii="Times New Roman" w:hAnsi="Times New Roman" w:cs="Times New Roman"/>
          <w:i/>
          <w:iCs/>
          <w:sz w:val="20"/>
          <w:szCs w:val="20"/>
        </w:rPr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(серия, номер, кем и когда выдан)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____________________,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_____________________,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27.07.2006 г. №152-ФЗ «О персональных данных» (далее – Закон 152-ФЗ), подтверждает свое согласие на передачу и о</w:t>
      </w:r>
      <w:r>
        <w:rPr>
          <w:rFonts w:ascii="Times New Roman" w:hAnsi="Times New Roman" w:cs="Times New Roman"/>
          <w:sz w:val="20"/>
          <w:szCs w:val="20"/>
        </w:rPr>
        <w:t xml:space="preserve">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r>
        <w:rPr>
          <w:rFonts w:ascii="Times New Roman" w:hAnsi="Times New Roman" w:cs="Times New Roman"/>
          <w:sz w:val="20"/>
          <w:szCs w:val="20"/>
        </w:rPr>
        <w:t xml:space="preserve">наименование  ]</w:t>
      </w:r>
      <w:r>
        <w:rPr>
          <w:rFonts w:ascii="Times New Roman" w:hAnsi="Times New Roman" w:cs="Times New Roman"/>
          <w:sz w:val="20"/>
          <w:szCs w:val="20"/>
        </w:rPr>
        <w:t xml:space="preserve">, зарегистрирован по адресу: [указать адрес].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 дано в отношении всех сведений, указанных в передаваемых мною в адрес [указать наименование] документах, в том числе (есл</w:t>
      </w:r>
      <w:r>
        <w:rPr>
          <w:rFonts w:ascii="Times New Roman" w:hAnsi="Times New Roman" w:cs="Times New Roman"/>
          <w:sz w:val="20"/>
          <w:szCs w:val="20"/>
        </w:rPr>
        <w:t xml:space="preserve">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</w:t>
      </w:r>
      <w:r>
        <w:rPr>
          <w:rFonts w:ascii="Times New Roman" w:hAnsi="Times New Roman" w:cs="Times New Roman"/>
          <w:sz w:val="20"/>
          <w:szCs w:val="20"/>
        </w:rPr>
        <w:t xml:space="preserve">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Перечень действий с персональными данными, в отношении которых дано согласие, вклю</w:t>
      </w:r>
      <w:r>
        <w:rPr>
          <w:rFonts w:ascii="Times New Roman" w:hAnsi="Times New Roman" w:cs="Times New Roman"/>
          <w:sz w:val="20"/>
          <w:szCs w:val="20"/>
        </w:rPr>
        <w:t xml:space="preserve">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</w:t>
      </w:r>
      <w:r>
        <w:rPr>
          <w:rFonts w:ascii="Times New Roman" w:hAnsi="Times New Roman" w:cs="Times New Roman"/>
          <w:sz w:val="20"/>
          <w:szCs w:val="20"/>
        </w:rPr>
        <w:t xml:space="preserve">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709" w:hanging="709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«___» ______________ 202_ г.                                 _________________ (_________)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709" w:hanging="709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 xml:space="preserve">ФИО</w:t>
      </w:r>
      <w:r>
        <w:rPr>
          <w:rFonts w:ascii="Times New Roman" w:hAnsi="Times New Roman" w:cs="Times New Roman"/>
          <w:i/>
          <w:iCs/>
          <w:sz w:val="18"/>
          <w:szCs w:val="1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SimSun">
    <w:panose1 w:val="02020603020101020101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683"/>
        <w:spacing w:after="0"/>
        <w:rPr>
          <w:rFonts w:ascii="Times New Roman" w:hAnsi="Times New Roman" w:cs="Times New Roman"/>
          <w:lang w:val="ru-RU"/>
        </w:rPr>
      </w:pPr>
      <w:r>
        <w:rPr>
          <w:rStyle w:val="685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 xml:space="preserve"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 xml:space="preserve"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 xml:space="preserve">II</w:t>
      </w:r>
      <w:r>
        <w:rPr>
          <w:rFonts w:ascii="Times New Roman" w:hAnsi="Times New Roman" w:cs="Times New Roman"/>
          <w:lang w:val="ru-RU"/>
        </w:rPr>
        <w:t xml:space="preserve"> части).</w:t>
      </w:r>
      <w:r>
        <w:rPr>
          <w:rFonts w:ascii="Times New Roman" w:hAnsi="Times New Roman" w:cs="Times New Roman"/>
          <w:lang w:val="ru-RU"/>
        </w:rPr>
      </w:r>
    </w:p>
    <w:p>
      <w:pPr>
        <w:pStyle w:val="683"/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2) Столбцы 8, 9 данной формы не заполняются при проведении аукциона в электронной форме.</w:t>
      </w:r>
      <w:r>
        <w:rPr>
          <w:lang w:val="ru-RU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75"/>
    <w:next w:val="675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76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75"/>
    <w:next w:val="675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76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75"/>
    <w:next w:val="675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76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75"/>
    <w:next w:val="675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76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5"/>
    <w:next w:val="675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6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5"/>
    <w:next w:val="675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6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5"/>
    <w:next w:val="675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6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5"/>
    <w:next w:val="675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6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5"/>
    <w:next w:val="675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6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75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5"/>
    <w:next w:val="675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6"/>
    <w:link w:val="35"/>
    <w:uiPriority w:val="10"/>
    <w:rPr>
      <w:sz w:val="48"/>
      <w:szCs w:val="48"/>
    </w:rPr>
  </w:style>
  <w:style w:type="paragraph" w:styleId="37">
    <w:name w:val="Subtitle"/>
    <w:basedOn w:val="675"/>
    <w:next w:val="675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6"/>
    <w:link w:val="37"/>
    <w:uiPriority w:val="11"/>
    <w:rPr>
      <w:sz w:val="24"/>
      <w:szCs w:val="24"/>
    </w:rPr>
  </w:style>
  <w:style w:type="paragraph" w:styleId="39">
    <w:name w:val="Quote"/>
    <w:basedOn w:val="675"/>
    <w:next w:val="675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5"/>
    <w:next w:val="675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76"/>
    <w:link w:val="687"/>
    <w:uiPriority w:val="99"/>
  </w:style>
  <w:style w:type="character" w:styleId="46">
    <w:name w:val="Footer Char"/>
    <w:basedOn w:val="676"/>
    <w:link w:val="689"/>
    <w:uiPriority w:val="99"/>
  </w:style>
  <w:style w:type="paragraph" w:styleId="47">
    <w:name w:val="Caption"/>
    <w:basedOn w:val="675"/>
    <w:next w:val="675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6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character" w:styleId="177">
    <w:name w:val="Footnote Text Char"/>
    <w:link w:val="683"/>
    <w:uiPriority w:val="99"/>
    <w:rPr>
      <w:sz w:val="18"/>
    </w:rPr>
  </w:style>
  <w:style w:type="paragraph" w:styleId="179">
    <w:name w:val="endnote text"/>
    <w:basedOn w:val="675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6"/>
    <w:uiPriority w:val="99"/>
    <w:semiHidden/>
    <w:unhideWhenUsed/>
    <w:rPr>
      <w:vertAlign w:val="superscript"/>
    </w:rPr>
  </w:style>
  <w:style w:type="paragraph" w:styleId="182">
    <w:name w:val="toc 1"/>
    <w:basedOn w:val="675"/>
    <w:next w:val="675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5"/>
    <w:next w:val="675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5"/>
    <w:next w:val="675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5"/>
    <w:next w:val="675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5"/>
    <w:next w:val="675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5"/>
    <w:next w:val="675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5"/>
    <w:next w:val="675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5"/>
    <w:next w:val="675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qFormat/>
    <w:pPr>
      <w:spacing w:after="200" w:line="276" w:lineRule="auto"/>
    </w:pPr>
    <w:rPr>
      <w:rFonts w:ascii="Calibri" w:hAnsi="Calibri" w:eastAsia="Times New Roman" w:cs="Calibri"/>
      <w:lang w:eastAsia="zh-CN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 w:customStyle="1">
    <w:name w:val="Заголовок №3 (2)"/>
    <w:rPr>
      <w:rFonts w:ascii="Times New Roman" w:hAnsi="Times New Roman" w:cs="Times New Roman"/>
      <w:spacing w:val="0"/>
      <w:sz w:val="23"/>
      <w:u w:val="none"/>
    </w:rPr>
  </w:style>
  <w:style w:type="paragraph" w:styleId="680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zh-CN"/>
    </w:rPr>
  </w:style>
  <w:style w:type="character" w:styleId="681" w:customStyle="1">
    <w:name w:val="Основной шрифт"/>
    <w:semiHidden/>
  </w:style>
  <w:style w:type="table" w:styleId="682">
    <w:name w:val="Table Grid"/>
    <w:basedOn w:val="67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3">
    <w:name w:val="footnote text"/>
    <w:basedOn w:val="675"/>
    <w:link w:val="684"/>
    <w:semiHidden/>
    <w:pPr>
      <w:jc w:val="both"/>
      <w:spacing w:after="160" w:line="240" w:lineRule="auto"/>
    </w:pPr>
    <w:rPr>
      <w:sz w:val="20"/>
      <w:szCs w:val="20"/>
      <w:lang w:val="en-US" w:eastAsia="en-US"/>
    </w:rPr>
  </w:style>
  <w:style w:type="character" w:styleId="684" w:customStyle="1">
    <w:name w:val="Текст сноски Знак"/>
    <w:basedOn w:val="676"/>
    <w:link w:val="683"/>
    <w:semiHidden/>
    <w:rPr>
      <w:rFonts w:ascii="Calibri" w:hAnsi="Calibri" w:eastAsia="Times New Roman" w:cs="Calibri"/>
      <w:sz w:val="20"/>
      <w:szCs w:val="20"/>
      <w:lang w:val="en-US"/>
    </w:rPr>
  </w:style>
  <w:style w:type="character" w:styleId="685">
    <w:name w:val="footnote reference"/>
    <w:rPr>
      <w:sz w:val="20"/>
      <w:vertAlign w:val="superscript"/>
    </w:rPr>
  </w:style>
  <w:style w:type="paragraph" w:styleId="686" w:customStyle="1">
    <w:name w:val="Standard (WW)"/>
    <w:pPr>
      <w:spacing w:after="200" w:line="276" w:lineRule="auto"/>
    </w:pPr>
    <w:rPr>
      <w:rFonts w:ascii="Calibri" w:hAnsi="Calibri" w:eastAsia="Calibri" w:cs="Calibri"/>
      <w:lang w:eastAsia="zh-CN"/>
    </w:rPr>
  </w:style>
  <w:style w:type="paragraph" w:styleId="687">
    <w:name w:val="Header"/>
    <w:basedOn w:val="675"/>
    <w:link w:val="6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8" w:customStyle="1">
    <w:name w:val="Верхний колонтитул Знак"/>
    <w:basedOn w:val="676"/>
    <w:link w:val="687"/>
    <w:uiPriority w:val="99"/>
    <w:rPr>
      <w:rFonts w:ascii="Calibri" w:hAnsi="Calibri" w:eastAsia="Times New Roman" w:cs="Calibri"/>
      <w:lang w:eastAsia="zh-CN"/>
    </w:rPr>
  </w:style>
  <w:style w:type="paragraph" w:styleId="689">
    <w:name w:val="Footer"/>
    <w:basedOn w:val="675"/>
    <w:link w:val="6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0" w:customStyle="1">
    <w:name w:val="Нижний колонтитул Знак"/>
    <w:basedOn w:val="676"/>
    <w:link w:val="689"/>
    <w:uiPriority w:val="99"/>
    <w:rPr>
      <w:rFonts w:ascii="Calibri" w:hAnsi="Calibri" w:eastAsia="Times New Roman" w:cs="Calibri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887C-E388-43A0-8005-EB4A043D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Станислав Эдуардович</cp:lastModifiedBy>
  <cp:revision>15</cp:revision>
  <dcterms:created xsi:type="dcterms:W3CDTF">2025-03-09T10:53:00Z</dcterms:created>
  <dcterms:modified xsi:type="dcterms:W3CDTF">2026-05-22T09:22:27Z</dcterms:modified>
</cp:coreProperties>
</file>