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Техническое задание</w:t>
      </w:r>
      <w:r>
        <w:rPr>
          <w:b/>
          <w:bCs/>
          <w:sz w:val="22"/>
          <w:szCs w:val="22"/>
        </w:rPr>
      </w:r>
    </w:p>
    <w:p>
      <w:pPr>
        <w:pStyle w:val="939"/>
        <w:contextualSpacing/>
        <w:ind w:firstLine="0"/>
        <w:jc w:val="center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поставку бытового оборудования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9"/>
        <w:contextualSpacing/>
        <w:ind w:firstLine="0"/>
        <w:jc w:val="center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для нужд МАДОУ ДСКВ СКАЗКА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5"/>
        <w:ind w:left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Объект зак⁠﻿‍﻿​‌⁠​‍‍‍‌﻿‍‍​⁠﻿﻿﻿‌‌​​‍​‌​​⁠⁠‌​​‍‍⁠﻿​‍⁠﻿‌﻿упки:</w:t>
      </w:r>
      <w:r>
        <w:rPr>
          <w:rFonts w:ascii="Times New Roman" w:hAnsi="Times New Roman"/>
          <w:b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7"/>
        <w:gridCol w:w="1502"/>
        <w:gridCol w:w="2595"/>
        <w:gridCol w:w="1268"/>
        <w:gridCol w:w="1983"/>
        <w:gridCol w:w="2170"/>
      </w:tblGrid>
      <w:tr>
        <w:tblPrEx/>
        <w:trPr>
          <w:trHeight w:val="345"/>
        </w:trPr>
        <w:tc>
          <w:tcPr>
            <w:tcW w:w="677" w:type="dxa"/>
            <w:vMerge w:val="restart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п/п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Код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595" w:type="dxa"/>
            <w:vMerge w:val="restart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3"/>
            <w:tcW w:w="5421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Национальный режим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tcW w:w="677" w:type="dxa"/>
            <w:vMerge w:val="continue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502" w:type="dxa"/>
            <w:vMerge w:val="continue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595" w:type="dxa"/>
            <w:vMerge w:val="continue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268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1875 (Запрет)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1875 (Ограничение)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170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1875 (Преимущество)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W w:w="677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27.51.13.110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5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Стиральная машина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0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✓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W w:w="677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28.94.22.130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5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Сушильная машина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0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✓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W w:w="677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28.25.13.112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5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Холодильная камера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✓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0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W w:w="677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28.25.30.110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5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Моноблок к холодильной камере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0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✓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W w:w="677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28.93.15.121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5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Котел пищеварочный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✓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0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W w:w="677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28.93.17.111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5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Картофелеочистительная машина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✓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0" w:type="dxa"/>
            <w:textDirection w:val="lrTb"/>
            <w:noWrap w:val="false"/>
          </w:tcPr>
          <w:p>
            <w:pPr>
              <w:pStyle w:val="941"/>
              <w:contextualSpacing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941"/>
        <w:contextualSpacing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</w:r>
      <w:r>
        <w:rPr>
          <w:i/>
          <w:iCs/>
          <w:color w:val="000000"/>
          <w:sz w:val="22"/>
          <w:szCs w:val="22"/>
        </w:rPr>
      </w:r>
    </w:p>
    <w:p>
      <w:pPr>
        <w:pStyle w:val="939"/>
        <w:contextualSpacing/>
        <w:ind w:firstLine="0"/>
        <w:jc w:val="center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5"/>
        <w:numPr>
          <w:ilvl w:val="0"/>
          <w:numId w:val="8"/>
        </w:numPr>
        <w:ind w:left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Описание закупки:</w:t>
      </w:r>
      <w:r>
        <w:rPr>
          <w:rFonts w:ascii="Times New Roman" w:hAnsi="Times New Roman"/>
          <w:b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0"/>
        <w:gridCol w:w="5786"/>
        <w:gridCol w:w="992"/>
        <w:gridCol w:w="993"/>
      </w:tblGrid>
      <w:tr>
        <w:tblPrEx/>
        <w:trPr>
          <w:trHeight w:val="255"/>
        </w:trPr>
        <w:tc>
          <w:tcPr>
            <w:tcW w:w="566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5786" w:type="dxa"/>
            <w:textDirection w:val="lrTb"/>
            <w:noWrap/>
          </w:tcPr>
          <w:p>
            <w:pPr>
              <w:pStyle w:val="7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Характеристика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Ед. изм.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Количество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5"/>
        </w:trPr>
        <w:tc>
          <w:tcPr>
            <w:tcW w:w="566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Стиральная машина </w:t>
            </w:r>
            <w:r>
              <w:rPr>
                <w:rFonts w:ascii="Times New Roman" w:hAnsi="Times New Roman"/>
                <w:color w:val="000000" w:themeColor="text1"/>
              </w:rPr>
              <w:t xml:space="preserve">«Вязьма»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</w:r>
          </w:p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786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Вид нагрева электро-паровой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загрузка, кг. 11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объем барабана, л. Не менее 100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размер барабана, мм. не менее 600х360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высота загрузки, мм. не менее 667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G- фактор при отжиме. 110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частота вращения при отжиме, об/мин. не менее 573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остаточная влажность, %. не более 70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мощность двигателя. не менее 1,3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мощность ТЭН. не менее 10.5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напряжение, В.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не менее 380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длина, мм. не менее 815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ширина, мм. не менее 760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вы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сота, мм. не менее 1230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шт.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5"/>
        </w:trPr>
        <w:tc>
          <w:tcPr>
            <w:tcW w:w="566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Сушильная машина </w:t>
            </w:r>
            <w:r>
              <w:rPr>
                <w:rFonts w:ascii="Times New Roman" w:hAnsi="Times New Roman"/>
                <w:color w:val="000000" w:themeColor="text1"/>
              </w:rPr>
              <w:t xml:space="preserve">«Вязьма»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</w:r>
          </w:p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786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вид нагрева электро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загрузка, кг. 15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макс. производительность, кг.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не менее 30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объем барабана, л. не менее 330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размер барабана, мм. не менее 760х760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высота загрузки, мм. не менее 575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остаточная влажность, %. Не более 10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мощность двигателя не менее 0,55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мощность вентилятора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не менее 0,37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мощность ТЭН не менее 13,5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напряжение, В не менее 380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длина, мм. не менее 1070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ширина, мм. не менее 805 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высота, мм. не менее 1390 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шт.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5"/>
        </w:trPr>
        <w:tc>
          <w:tcPr>
            <w:shd w:val="clear" w:color="ffffff" w:fill="ffffff"/>
            <w:tcW w:w="566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Холодильная камера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  <w:t xml:space="preserve">Polair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</w:r>
          </w:p>
          <w:p>
            <w:pPr>
              <w:pStyle w:val="71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  <w:tc>
          <w:tcPr>
            <w:shd w:val="clear" w:color="ffffff" w:fill="ffffff"/>
            <w:tcW w:w="5786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Условия окружающей среды (t,°C,/вл-сть, %) :30...+40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Размеры: не менее 1360х1360х2200 мм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Объем, м3 :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не менее 2,94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Материал обшивок корпуса изнутри: сталь оцинкованная с антибактериальным покрытием 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шт.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1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765"/>
        </w:trPr>
        <w:tc>
          <w:tcPr>
            <w:shd w:val="clear" w:color="ffffff" w:fill="ffffff"/>
            <w:tcW w:w="566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Моноблок к холодильной камере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  <w:t xml:space="preserve">Polair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</w:r>
          </w:p>
          <w:p>
            <w:pPr>
              <w:pStyle w:val="714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</w:rPr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</w:r>
          </w:p>
          <w:p>
            <w:pPr>
              <w:pStyle w:val="71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  <w:tc>
          <w:tcPr>
            <w:shd w:val="clear" w:color="ffffff" w:fill="ffffff"/>
            <w:tcW w:w="5786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Габаритные размеры: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не менее 827x490x704 мм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Температурный режим, °C: -15...- 25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Система электропитания, В/Гц 220/50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Потребляемая мощность, Вт, не более: 1000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Расход электроэнергии в сутки, кВт/ч, не более: 17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Хладагент R404A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Тип оттайки: электрический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Доза заправки R404, г: 750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КОНДЕНСАТОР: Медно-алюминиевый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Шаг ребра, мм: 3,2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Поверхн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ость, м²: 6,25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Количество вентиляторов, шт.: 1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Мощность вент-ра, Вт/об/мин: 18/1300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Диаметр крыльчатки, мм: 254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Производительность, м³/час: 600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ВОЗДУХООХЛАДИТЕЛЬ: Медно-алюминиевый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Шаг ребра, мм: 3,6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Поверхность, м²: 4,63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Количество вентиляторов воздухоохладителя, шт.: 1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Мощность вент-ра, Вт/об/мин: 18/2600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Диаметр крыльчатки, мм: 200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Производительность, м³/час: 600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Дальность струи воздуха, м: 4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Внешний силовой электрокабель: 2x1,5+1x1,5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Силовой соеденит. э/кабель: 2x0.75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К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амера 80 мм, м3, при t окр. среды 25°C: 1,9 ... 5</w:t>
            </w:r>
            <w:r>
              <w:rPr>
                <w:rFonts w:ascii="Times New Roman" w:hAnsi="Times New Roman" w:eastAsia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</w:rPr>
              <w:t xml:space="preserve">Камера 100 мм, м3, при t окр. среды 25°C: 2,6 ... 6,2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шт.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1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3885"/>
        </w:trPr>
        <w:tc>
          <w:tcPr>
            <w:shd w:val="clear" w:color="ffffff" w:fill="ffffff"/>
            <w:tcW w:w="566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Котел пищеварочный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/>
              </w:rPr>
              <w:t xml:space="preserve">Abat»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</w:r>
          </w:p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W w:w="5786" w:type="dxa"/>
            <w:textDirection w:val="lrTb"/>
            <w:noWrap/>
          </w:tcPr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Исполнение Напольное 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Материал Нержавеющая сталь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Цвет Нержавеющая сталь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Рабочий объем, л60 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Температурный режим, °C0...+100 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Напряжение, В400 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Мощность, кВт10,2 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Тип используемой энергии Электрическая 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Высота с упаковкой, мм 1354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Объем, л60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Тип слива Ручное опрокидывание 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Длина с упаковкой, мм не менее 1120 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Ширина с упаковкой, мм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не менее 810 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Опрокидывание -соответствие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Цельнотянутый-соответствие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Диаметр котла не менее 425 мм 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Габариты без упаковки (Д*Ш*В) мм 1036*683*1163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шт.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/>
          </w:tcPr>
          <w:p>
            <w:pPr>
              <w:pStyle w:val="7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1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4062"/>
        </w:trPr>
        <w:tc>
          <w:tcPr>
            <w:shd w:val="clear" w:color="ffffff" w:fill="ffffff"/>
            <w:tcW w:w="566" w:type="dxa"/>
            <w:textDirection w:val="lrTb"/>
            <w:noWrap/>
          </w:tcPr>
          <w:p>
            <w:pPr>
              <w:pStyle w:val="714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tabs>
                <w:tab w:val="left" w:pos="142" w:leader="none"/>
                <w:tab w:val="left" w:pos="5437" w:leader="none"/>
                <w:tab w:val="left" w:pos="6521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Картофелеочистительная машина 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/>
              </w:rPr>
              <w:t xml:space="preserve">Abat»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shd w:val="clear" w:color="ffffff" w:fill="ffffff"/>
            <w:tcW w:w="5786" w:type="dxa"/>
            <w:textDirection w:val="lrTb"/>
            <w:noWrap/>
          </w:tcPr>
          <w:p>
            <w:pPr>
              <w:pStyle w:val="7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Исполнение Напольное.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Цвет Серый.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Материал Нержавеющая сталь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Применение -картофелечистка.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Габаритные размеры, мм-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465х700х1125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Масса, кг-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Номинальная потребляемая мощность, кВт-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0.75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Номинальное напряжение, В-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Тип оборудования-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Машина картофелеочистительная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Время на обработку, мин.-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Максимальная разовая загрузка, кг-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Высота загрузки, мм-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Высота выгрузки, мм-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Производительность, кг/ч-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шт.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/>
          </w:tcPr>
          <w:p>
            <w:pPr>
              <w:pStyle w:val="714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</w:tbl>
    <w:p>
      <w:p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Место поставки: </w:t>
      </w:r>
      <w:r>
        <w:rPr>
          <w:bCs/>
          <w:sz w:val="22"/>
          <w:szCs w:val="22"/>
        </w:rPr>
        <w:t xml:space="preserve">628661, Ханты-Мансийский автономный округ - Югра, г. Покачи, ул. Таежная, д. 14</w:t>
      </w:r>
      <w:r>
        <w:rPr>
          <w:b/>
          <w:sz w:val="22"/>
          <w:szCs w:val="22"/>
        </w:rPr>
      </w:r>
    </w:p>
    <w:p>
      <w:pPr>
        <w:contextualSpacing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3. Срок поставки:  </w:t>
      </w:r>
      <w:r>
        <w:rPr>
          <w:bCs/>
          <w:sz w:val="22"/>
          <w:szCs w:val="22"/>
        </w:rPr>
        <w:t xml:space="preserve">с момента заключения договора до 31.12.2026г.</w:t>
      </w:r>
      <w:r>
        <w:rPr>
          <w:bCs/>
          <w:sz w:val="22"/>
          <w:szCs w:val="22"/>
        </w:rPr>
      </w:r>
    </w:p>
    <w:p>
      <w:p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Товар поставляется партиями в течение 60 (календарных) дней  с момента получения Заявки от Заказчика. </w:t>
      </w:r>
      <w:r>
        <w:rPr>
          <w:bCs/>
          <w:sz w:val="22"/>
          <w:szCs w:val="22"/>
        </w:rPr>
      </w:r>
    </w:p>
    <w:p>
      <w:pPr>
        <w:contextualSpacing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3.1. Поставка и погрузочно-разгрузочные работы осуществляется Поставщиком за его счет </w:t>
      </w:r>
      <w:r>
        <w:rPr>
          <w:sz w:val="22"/>
          <w:szCs w:val="22"/>
          <w:lang w:eastAsia="ar-SA"/>
        </w:rPr>
      </w:r>
    </w:p>
    <w:p>
      <w:pPr>
        <w:contextualSpacing/>
        <w:jc w:val="both"/>
        <w:tabs>
          <w:tab w:val="left" w:pos="7920" w:leader="none"/>
        </w:tabs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 xml:space="preserve">4. Требования к качеству, безопасности поставляемого товара:</w:t>
      </w:r>
      <w:r>
        <w:rPr>
          <w:rFonts w:eastAsia="Calibri"/>
          <w:b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4.1. </w:t>
      </w:r>
      <w:r>
        <w:rPr>
          <w:bCs/>
          <w:sz w:val="22"/>
          <w:szCs w:val="22"/>
        </w:rPr>
        <w:t xml:space="preserve">Поставляемый товар должен соответствовать заданным функциональным и качественным характеристикам; </w:t>
      </w:r>
      <w:r>
        <w:rPr>
          <w:bCs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</w:t>
      </w:r>
      <w:r>
        <w:rPr>
          <w:bCs/>
          <w:sz w:val="22"/>
          <w:szCs w:val="22"/>
        </w:rPr>
        <w:t xml:space="preserve">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</w:t>
      </w:r>
      <w:r>
        <w:rPr>
          <w:bCs/>
          <w:sz w:val="22"/>
          <w:szCs w:val="22"/>
        </w:rPr>
        <w:t xml:space="preserve">вара) если таковые требуются;</w:t>
      </w:r>
      <w:r>
        <w:rPr>
          <w:bCs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  <w:r>
        <w:rPr>
          <w:bCs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4.4. Товар должен быть безопасным и отвечать требованиям законодательства Россий</w:t>
      </w:r>
      <w:r>
        <w:rPr>
          <w:bCs/>
          <w:sz w:val="22"/>
          <w:szCs w:val="22"/>
        </w:rPr>
        <w:t xml:space="preserve">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  <w:r>
        <w:rPr>
          <w:bCs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4.5. Товар должен отвечать требованиям безопасности жизни и здоровья, окружающей среды в течение установочного сро</w:t>
      </w:r>
      <w:r>
        <w:rPr>
          <w:bCs/>
          <w:sz w:val="22"/>
          <w:szCs w:val="22"/>
        </w:rPr>
        <w:t xml:space="preserve">ка годности при обычных условиях его использования, хранения, транспортировки и утилизации.</w:t>
      </w:r>
      <w:r>
        <w:rPr>
          <w:bCs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Требования к упаковке и маркировке поставляемого товара:</w:t>
      </w:r>
      <w:r>
        <w:rPr>
          <w:b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5.1. Товар поставляется в таре и упаковке, соответствующей государственным стандартам, техническим услов</w:t>
      </w:r>
      <w:r>
        <w:rPr>
          <w:bCs/>
          <w:sz w:val="22"/>
          <w:szCs w:val="22"/>
        </w:rPr>
        <w:t xml:space="preserve">иям, предъявляемым к поставке данного вида товара, другой нормативно-технической документации. </w:t>
      </w:r>
      <w:r>
        <w:rPr>
          <w:bCs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</w:t>
      </w:r>
      <w:r>
        <w:rPr>
          <w:bCs/>
          <w:sz w:val="22"/>
          <w:szCs w:val="22"/>
        </w:rPr>
        <w:t xml:space="preserve">. Тара и упаковка должны быть прочными, сухими, без нарушения целостности со специальной маркировкой;</w:t>
      </w:r>
      <w:r>
        <w:rPr>
          <w:bCs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5.3. Поставщик несет ответственность за ненадлежащую упаковку, не обеспечивающую сохранность товара при его хранении и транспортировании;</w:t>
      </w:r>
      <w:r>
        <w:rPr>
          <w:bCs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5.4. Упаковка и </w:t>
      </w:r>
      <w:r>
        <w:rPr>
          <w:bCs/>
          <w:sz w:val="22"/>
          <w:szCs w:val="22"/>
        </w:rPr>
        <w:t xml:space="preserve">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</w:t>
      </w:r>
      <w:r>
        <w:rPr>
          <w:bCs/>
          <w:sz w:val="22"/>
          <w:szCs w:val="22"/>
        </w:rPr>
        <w:t xml:space="preserve">ка упаковки должна строго соответствовать маркировке товара (если требуется).</w:t>
      </w:r>
      <w:r>
        <w:rPr>
          <w:bCs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Требования к гарантийному сроку товара и (или) объему предоставления гарантий качества товара:</w:t>
      </w:r>
      <w:r>
        <w:rPr>
          <w:b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6.1. Гарантия качества товара - в соответствии с гарантийным сроком, установленн</w:t>
      </w:r>
      <w:r>
        <w:rPr>
          <w:bCs/>
          <w:sz w:val="22"/>
          <w:szCs w:val="22"/>
        </w:rPr>
        <w:t xml:space="preserve">ым производителем. </w:t>
      </w:r>
      <w:r>
        <w:rPr>
          <w:bCs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6.2. Гарантийные обязательства должны распространяться на каждую единицу товара с момента приемки товара Заказчиком.</w:t>
      </w:r>
      <w:r>
        <w:rPr>
          <w:bCs/>
          <w:sz w:val="22"/>
          <w:szCs w:val="22"/>
        </w:rPr>
      </w:r>
    </w:p>
    <w:p>
      <w:pPr>
        <w:contextualSpacing/>
        <w:jc w:val="both"/>
        <w:tabs>
          <w:tab w:val="left" w:pos="79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</w:t>
      </w:r>
      <w:r>
        <w:rPr>
          <w:bCs/>
          <w:sz w:val="22"/>
          <w:szCs w:val="22"/>
        </w:rPr>
        <w:t xml:space="preserve">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>
        <w:rPr>
          <w:bCs/>
          <w:sz w:val="22"/>
          <w:szCs w:val="22"/>
        </w:rPr>
      </w:r>
    </w:p>
    <w:sectPr>
      <w:footnotePr/>
      <w:endnotePr/>
      <w:type w:val="nextPage"/>
      <w:pgSz w:w="11906" w:h="16838" w:orient="portrait"/>
      <w:pgMar w:top="850" w:right="567" w:bottom="142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Noto Sans Devanagari">
    <w:panose1 w:val="020B0502040504020204"/>
  </w:font>
  <w:font w:name="PT Sans">
    <w:panose1 w:val="020B0503020203020204"/>
  </w:font>
  <w:font w:name="Symbol">
    <w:panose1 w:val="05050102010706020507"/>
  </w:font>
  <w:font w:name="MS Mincho">
    <w:panose1 w:val="02020503050405090304"/>
  </w:font>
  <w:font w:name="Tahoma">
    <w:panose1 w:val="020B0604030504040204"/>
  </w:font>
  <w:font w:name="StarSymbol">
    <w:panose1 w:val="02000603000000000000"/>
  </w:font>
  <w:font w:name="Calibri">
    <w:panose1 w:val="020F0502020204030204"/>
  </w:font>
  <w:font w:name="Lucida Sans Unicode">
    <w:panose1 w:val="020B060203050402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6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 w:default="1">
    <w:name w:val="Normal"/>
    <w:qFormat/>
    <w:rPr>
      <w:sz w:val="24"/>
      <w:szCs w:val="24"/>
    </w:rPr>
  </w:style>
  <w:style w:type="paragraph" w:styleId="676">
    <w:name w:val="Heading 1"/>
    <w:basedOn w:val="675"/>
    <w:next w:val="675"/>
    <w:link w:val="705"/>
    <w:qFormat/>
    <w:pPr>
      <w:numPr>
        <w:ilvl w:val="0"/>
        <w:numId w:val="1"/>
      </w:numPr>
      <w:jc w:val="center"/>
      <w:keepNext/>
      <w:outlineLvl w:val="0"/>
    </w:pPr>
    <w:rPr>
      <w:rFonts w:ascii="Arial" w:hAnsi="Arial" w:cs="Arial"/>
      <w:b/>
      <w:i/>
      <w:sz w:val="22"/>
      <w:szCs w:val="20"/>
    </w:rPr>
  </w:style>
  <w:style w:type="paragraph" w:styleId="677">
    <w:name w:val="Heading 2"/>
    <w:basedOn w:val="675"/>
    <w:next w:val="675"/>
    <w:link w:val="706"/>
    <w:qFormat/>
    <w:pPr>
      <w:numPr>
        <w:ilvl w:val="1"/>
        <w:numId w:val="1"/>
      </w:numPr>
      <w:jc w:val="center"/>
      <w:keepNext/>
      <w:outlineLvl w:val="1"/>
    </w:pPr>
    <w:rPr>
      <w:rFonts w:ascii="Arial" w:hAnsi="Arial" w:cs="Arial"/>
      <w:b/>
      <w:sz w:val="20"/>
      <w:szCs w:val="20"/>
    </w:rPr>
  </w:style>
  <w:style w:type="paragraph" w:styleId="678">
    <w:name w:val="Heading 3"/>
    <w:basedOn w:val="675"/>
    <w:next w:val="675"/>
    <w:link w:val="707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79">
    <w:name w:val="Heading 4"/>
    <w:basedOn w:val="715"/>
    <w:next w:val="913"/>
    <w:link w:val="708"/>
    <w:qFormat/>
    <w:pPr>
      <w:numPr>
        <w:ilvl w:val="3"/>
        <w:numId w:val="1"/>
      </w:numPr>
      <w:outlineLvl w:val="3"/>
    </w:pPr>
    <w:rPr>
      <w:rFonts w:ascii="Times New Roman" w:hAnsi="Times New Roman" w:eastAsia="Lucida Sans Unicode"/>
      <w:b/>
      <w:bCs/>
      <w:sz w:val="24"/>
      <w:szCs w:val="24"/>
    </w:rPr>
  </w:style>
  <w:style w:type="paragraph" w:styleId="680">
    <w:name w:val="Heading 5"/>
    <w:basedOn w:val="675"/>
    <w:next w:val="675"/>
    <w:link w:val="709"/>
    <w:qFormat/>
    <w:pPr>
      <w:numPr>
        <w:ilvl w:val="4"/>
        <w:numId w:val="1"/>
      </w:numPr>
      <w:jc w:val="center"/>
      <w:keepNext/>
      <w:outlineLvl w:val="4"/>
    </w:pPr>
    <w:rPr>
      <w:b/>
    </w:rPr>
  </w:style>
  <w:style w:type="paragraph" w:styleId="681">
    <w:name w:val="Heading 6"/>
    <w:basedOn w:val="675"/>
    <w:next w:val="675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Heading 1 Char"/>
    <w:basedOn w:val="685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basedOn w:val="685"/>
    <w:uiPriority w:val="9"/>
    <w:rPr>
      <w:rFonts w:ascii="Arial" w:hAnsi="Arial" w:eastAsia="Arial" w:cs="Arial"/>
      <w:sz w:val="34"/>
    </w:rPr>
  </w:style>
  <w:style w:type="character" w:styleId="690" w:customStyle="1">
    <w:name w:val="Heading 3 Char"/>
    <w:basedOn w:val="685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basedOn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Title Char"/>
    <w:basedOn w:val="685"/>
    <w:uiPriority w:val="10"/>
    <w:rPr>
      <w:sz w:val="48"/>
      <w:szCs w:val="48"/>
    </w:rPr>
  </w:style>
  <w:style w:type="character" w:styleId="698" w:customStyle="1">
    <w:name w:val="Subtitle Char"/>
    <w:basedOn w:val="685"/>
    <w:uiPriority w:val="11"/>
    <w:rPr>
      <w:sz w:val="24"/>
      <w:szCs w:val="24"/>
    </w:rPr>
  </w:style>
  <w:style w:type="character" w:styleId="699" w:customStyle="1">
    <w:name w:val="Quote Char"/>
    <w:uiPriority w:val="29"/>
    <w:rPr>
      <w:i/>
    </w:rPr>
  </w:style>
  <w:style w:type="character" w:styleId="700" w:customStyle="1">
    <w:name w:val="Intense Quote Char"/>
    <w:uiPriority w:val="30"/>
    <w:rPr>
      <w:i/>
    </w:rPr>
  </w:style>
  <w:style w:type="character" w:styleId="701" w:customStyle="1">
    <w:name w:val="Header Char"/>
    <w:basedOn w:val="685"/>
    <w:uiPriority w:val="99"/>
  </w:style>
  <w:style w:type="character" w:styleId="702" w:customStyle="1">
    <w:name w:val="Caption Char"/>
    <w:uiPriority w:val="99"/>
  </w:style>
  <w:style w:type="character" w:styleId="703" w:customStyle="1">
    <w:name w:val="Footnote Text Char"/>
    <w:uiPriority w:val="99"/>
    <w:rPr>
      <w:sz w:val="18"/>
    </w:rPr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15">
    <w:name w:val="Title"/>
    <w:basedOn w:val="675"/>
    <w:next w:val="913"/>
    <w:link w:val="716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character" w:styleId="716" w:customStyle="1">
    <w:name w:val="Заголовок Знак"/>
    <w:link w:val="715"/>
    <w:uiPriority w:val="10"/>
    <w:rPr>
      <w:sz w:val="48"/>
      <w:szCs w:val="48"/>
    </w:rPr>
  </w:style>
  <w:style w:type="paragraph" w:styleId="717">
    <w:name w:val="Subtitle"/>
    <w:basedOn w:val="675"/>
    <w:next w:val="675"/>
    <w:link w:val="718"/>
    <w:qFormat/>
    <w:pPr>
      <w:jc w:val="center"/>
    </w:pPr>
    <w:rPr>
      <w:i/>
      <w:iCs/>
      <w:sz w:val="28"/>
      <w:szCs w:val="28"/>
    </w:rPr>
  </w:style>
  <w:style w:type="character" w:styleId="718" w:customStyle="1">
    <w:name w:val="Подзаголовок Знак"/>
    <w:link w:val="717"/>
    <w:uiPriority w:val="11"/>
    <w:rPr>
      <w:sz w:val="24"/>
      <w:szCs w:val="24"/>
    </w:rPr>
  </w:style>
  <w:style w:type="paragraph" w:styleId="719">
    <w:name w:val="Quote"/>
    <w:basedOn w:val="675"/>
    <w:next w:val="675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75"/>
    <w:next w:val="675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>
    <w:name w:val="Header"/>
    <w:basedOn w:val="675"/>
    <w:link w:val="724"/>
    <w:pPr>
      <w:tabs>
        <w:tab w:val="center" w:pos="4677" w:leader="none"/>
        <w:tab w:val="right" w:pos="9355" w:leader="none"/>
      </w:tabs>
    </w:pPr>
  </w:style>
  <w:style w:type="character" w:styleId="724" w:customStyle="1">
    <w:name w:val="Верхний колонтитул Знак"/>
    <w:link w:val="723"/>
    <w:uiPriority w:val="99"/>
  </w:style>
  <w:style w:type="paragraph" w:styleId="725">
    <w:name w:val="Footer"/>
    <w:basedOn w:val="675"/>
    <w:link w:val="728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26" w:customStyle="1">
    <w:name w:val="Footer Char"/>
    <w:uiPriority w:val="99"/>
  </w:style>
  <w:style w:type="paragraph" w:styleId="727">
    <w:name w:val="Caption"/>
    <w:basedOn w:val="675"/>
    <w:qFormat/>
    <w:pPr>
      <w:spacing w:before="120" w:after="120"/>
      <w:suppressLineNumbers/>
    </w:pPr>
    <w:rPr>
      <w:rFonts w:ascii="PT Sans" w:hAnsi="PT Sans" w:cs="Noto Sans Devanagari"/>
      <w:i/>
      <w:iCs/>
    </w:rPr>
  </w:style>
  <w:style w:type="character" w:styleId="728" w:customStyle="1">
    <w:name w:val="Нижний колонтитул Знак"/>
    <w:link w:val="725"/>
    <w:uiPriority w:val="99"/>
  </w:style>
  <w:style w:type="table" w:styleId="729">
    <w:name w:val="Table Grid"/>
    <w:basedOn w:val="686"/>
    <w:uiPriority w:val="59"/>
    <w:tblPr/>
  </w:style>
  <w:style w:type="table" w:styleId="73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rPr>
      <w:color w:val="000080"/>
      <w:u w:val="single"/>
      <w:lang w:val="en-US" w:eastAsia="en-US" w:bidi="en-US"/>
    </w:rPr>
  </w:style>
  <w:style w:type="paragraph" w:styleId="856">
    <w:name w:val="footnote text"/>
    <w:basedOn w:val="675"/>
    <w:link w:val="857"/>
    <w:rPr>
      <w:sz w:val="20"/>
      <w:szCs w:val="20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675"/>
    <w:link w:val="860"/>
    <w:uiPriority w:val="99"/>
    <w:semiHidden/>
    <w:unhideWhenUsed/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675"/>
    <w:next w:val="675"/>
    <w:uiPriority w:val="39"/>
    <w:unhideWhenUsed/>
    <w:pPr>
      <w:spacing w:after="57"/>
    </w:pPr>
  </w:style>
  <w:style w:type="paragraph" w:styleId="863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64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65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66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67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68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69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70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5"/>
    <w:next w:val="675"/>
    <w:uiPriority w:val="99"/>
    <w:unhideWhenUsed/>
  </w:style>
  <w:style w:type="character" w:styleId="873" w:customStyle="1">
    <w:name w:val="WW8Num1z0"/>
  </w:style>
  <w:style w:type="character" w:styleId="874" w:customStyle="1">
    <w:name w:val="WW8Num1z1"/>
  </w:style>
  <w:style w:type="character" w:styleId="875" w:customStyle="1">
    <w:name w:val="WW8Num1z2"/>
  </w:style>
  <w:style w:type="character" w:styleId="876" w:customStyle="1">
    <w:name w:val="WW8Num1z3"/>
  </w:style>
  <w:style w:type="character" w:styleId="877" w:customStyle="1">
    <w:name w:val="WW8Num1z4"/>
  </w:style>
  <w:style w:type="character" w:styleId="878" w:customStyle="1">
    <w:name w:val="WW8Num1z5"/>
  </w:style>
  <w:style w:type="character" w:styleId="879" w:customStyle="1">
    <w:name w:val="WW8Num1z6"/>
  </w:style>
  <w:style w:type="character" w:styleId="880" w:customStyle="1">
    <w:name w:val="WW8Num1z7"/>
  </w:style>
  <w:style w:type="character" w:styleId="881" w:customStyle="1">
    <w:name w:val="WW8Num1z8"/>
  </w:style>
  <w:style w:type="character" w:styleId="882" w:customStyle="1">
    <w:name w:val="WW8Num2z0"/>
    <w:rPr>
      <w:rFonts w:ascii="Times New Roman" w:hAnsi="Times New Roman" w:cs="Times New Roman"/>
    </w:rPr>
  </w:style>
  <w:style w:type="character" w:styleId="883" w:customStyle="1">
    <w:name w:val="WW8Num2z1"/>
  </w:style>
  <w:style w:type="character" w:styleId="884" w:customStyle="1">
    <w:name w:val="WW8Num2z2"/>
  </w:style>
  <w:style w:type="character" w:styleId="885" w:customStyle="1">
    <w:name w:val="WW8Num2z3"/>
  </w:style>
  <w:style w:type="character" w:styleId="886" w:customStyle="1">
    <w:name w:val="WW8Num2z4"/>
  </w:style>
  <w:style w:type="character" w:styleId="887" w:customStyle="1">
    <w:name w:val="WW8Num2z5"/>
  </w:style>
  <w:style w:type="character" w:styleId="888" w:customStyle="1">
    <w:name w:val="WW8Num2z6"/>
  </w:style>
  <w:style w:type="character" w:styleId="889" w:customStyle="1">
    <w:name w:val="WW8Num2z7"/>
  </w:style>
  <w:style w:type="character" w:styleId="890" w:customStyle="1">
    <w:name w:val="WW8Num2z8"/>
  </w:style>
  <w:style w:type="character" w:styleId="891" w:customStyle="1">
    <w:name w:val="Основной шрифт абзаца2"/>
  </w:style>
  <w:style w:type="character" w:styleId="892" w:customStyle="1">
    <w:name w:val="Основной шрифт абзаца1"/>
  </w:style>
  <w:style w:type="character" w:styleId="893">
    <w:name w:val="page number"/>
    <w:basedOn w:val="892"/>
  </w:style>
  <w:style w:type="character" w:styleId="894" w:customStyle="1">
    <w:name w:val="Символ сноски"/>
    <w:rPr>
      <w:vertAlign w:val="superscript"/>
    </w:rPr>
  </w:style>
  <w:style w:type="character" w:styleId="895" w:customStyle="1">
    <w:name w:val="Знак сноски1"/>
    <w:rPr>
      <w:vertAlign w:val="superscript"/>
    </w:rPr>
  </w:style>
  <w:style w:type="character" w:styleId="896" w:customStyle="1">
    <w:name w:val="Документ_поле"/>
    <w:rPr>
      <w:b/>
      <w:bCs/>
      <w:sz w:val="21"/>
      <w:shd w:val="clear" w:color="auto" w:fill="auto"/>
    </w:rPr>
  </w:style>
  <w:style w:type="character" w:styleId="897" w:customStyle="1">
    <w:name w:val="Маркеры списка"/>
    <w:rPr>
      <w:rFonts w:ascii="StarSymbol" w:hAnsi="StarSymbol" w:eastAsia="StarSymbol" w:cs="StarSymbol"/>
      <w:sz w:val="18"/>
      <w:szCs w:val="18"/>
    </w:rPr>
  </w:style>
  <w:style w:type="character" w:styleId="898" w:customStyle="1">
    <w:name w:val="Символ нумерации"/>
    <w:rPr>
      <w:b w:val="0"/>
      <w:bCs w:val="0"/>
      <w:lang w:val="en-US"/>
    </w:rPr>
  </w:style>
  <w:style w:type="character" w:styleId="899" w:customStyle="1">
    <w:name w:val="RTF_Num 2 1"/>
    <w:rPr>
      <w:b/>
      <w:bCs/>
    </w:rPr>
  </w:style>
  <w:style w:type="character" w:styleId="900" w:customStyle="1">
    <w:name w:val="RTF_Num 2 2"/>
    <w:rPr>
      <w:b/>
      <w:bCs/>
    </w:rPr>
  </w:style>
  <w:style w:type="character" w:styleId="901" w:customStyle="1">
    <w:name w:val="RTF_Num 2 3"/>
    <w:rPr>
      <w:b/>
      <w:bCs/>
    </w:rPr>
  </w:style>
  <w:style w:type="character" w:styleId="902" w:customStyle="1">
    <w:name w:val="RTF_Num 2 4"/>
    <w:rPr>
      <w:b/>
      <w:bCs/>
    </w:rPr>
  </w:style>
  <w:style w:type="character" w:styleId="903" w:customStyle="1">
    <w:name w:val="RTF_Num 2 5"/>
    <w:rPr>
      <w:b/>
      <w:bCs/>
    </w:rPr>
  </w:style>
  <w:style w:type="character" w:styleId="904" w:customStyle="1">
    <w:name w:val="RTF_Num 2 6"/>
    <w:rPr>
      <w:b/>
      <w:bCs/>
    </w:rPr>
  </w:style>
  <w:style w:type="character" w:styleId="905" w:customStyle="1">
    <w:name w:val="RTF_Num 2 7"/>
    <w:rPr>
      <w:b/>
      <w:bCs/>
    </w:rPr>
  </w:style>
  <w:style w:type="character" w:styleId="906" w:customStyle="1">
    <w:name w:val="RTF_Num 2 8"/>
    <w:rPr>
      <w:b/>
      <w:bCs/>
    </w:rPr>
  </w:style>
  <w:style w:type="character" w:styleId="907" w:customStyle="1">
    <w:name w:val="RTF_Num 2 9"/>
    <w:rPr>
      <w:b/>
      <w:bCs/>
    </w:rPr>
  </w:style>
  <w:style w:type="character" w:styleId="908" w:customStyle="1">
    <w:name w:val="RTF_Num 2 10"/>
    <w:rPr>
      <w:b/>
      <w:bCs/>
    </w:rPr>
  </w:style>
  <w:style w:type="character" w:styleId="909" w:customStyle="1">
    <w:name w:val="Numbering Symbols"/>
    <w:rPr>
      <w:b/>
      <w:bCs/>
      <w:sz w:val="24"/>
      <w:szCs w:val="24"/>
      <w:lang w:val="en-US"/>
    </w:rPr>
  </w:style>
  <w:style w:type="character" w:styleId="910">
    <w:name w:val="Strong"/>
    <w:qFormat/>
    <w:rPr>
      <w:b/>
      <w:bCs/>
    </w:rPr>
  </w:style>
  <w:style w:type="character" w:styleId="911" w:customStyle="1">
    <w:name w:val="Основной текст Знак"/>
  </w:style>
  <w:style w:type="character" w:styleId="912">
    <w:name w:val="Emphasis"/>
    <w:qFormat/>
    <w:rPr>
      <w:i/>
      <w:iCs/>
    </w:rPr>
  </w:style>
  <w:style w:type="paragraph" w:styleId="913">
    <w:name w:val="Body Text"/>
    <w:basedOn w:val="675"/>
    <w:pPr>
      <w:jc w:val="both"/>
    </w:pPr>
    <w:rPr>
      <w:sz w:val="20"/>
      <w:szCs w:val="20"/>
    </w:rPr>
  </w:style>
  <w:style w:type="paragraph" w:styleId="914">
    <w:name w:val="List"/>
    <w:basedOn w:val="913"/>
    <w:rPr>
      <w:rFonts w:ascii="Arial" w:hAnsi="Arial" w:cs="Tahoma"/>
    </w:rPr>
  </w:style>
  <w:style w:type="paragraph" w:styleId="915" w:customStyle="1">
    <w:name w:val="Указатель2"/>
    <w:basedOn w:val="675"/>
    <w:pPr>
      <w:suppressLineNumbers/>
    </w:pPr>
    <w:rPr>
      <w:rFonts w:ascii="PT Sans" w:hAnsi="PT Sans" w:cs="Noto Sans Devanagari"/>
    </w:rPr>
  </w:style>
  <w:style w:type="paragraph" w:styleId="916" w:customStyle="1">
    <w:name w:val="WW-Заголовок"/>
    <w:basedOn w:val="675"/>
    <w:next w:val="913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917" w:customStyle="1">
    <w:name w:val="Название1"/>
    <w:basedOn w:val="675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918" w:customStyle="1">
    <w:name w:val="Указатель1"/>
    <w:basedOn w:val="675"/>
    <w:pPr>
      <w:suppressLineNumbers/>
    </w:pPr>
    <w:rPr>
      <w:rFonts w:ascii="Arial" w:hAnsi="Arial" w:cs="Tahoma"/>
    </w:rPr>
  </w:style>
  <w:style w:type="paragraph" w:styleId="919" w:customStyle="1">
    <w:name w:val="Основной текст 21"/>
    <w:basedOn w:val="675"/>
    <w:pPr>
      <w:jc w:val="both"/>
    </w:pPr>
    <w:rPr>
      <w:bCs/>
      <w:sz w:val="20"/>
    </w:rPr>
  </w:style>
  <w:style w:type="paragraph" w:styleId="920" w:customStyle="1">
    <w:name w:val="ConsNormal"/>
    <w:pPr>
      <w:ind w:right="19772" w:firstLine="720"/>
    </w:pPr>
    <w:rPr>
      <w:rFonts w:ascii="Arial" w:hAnsi="Arial" w:eastAsia="Arial" w:cs="Arial"/>
    </w:rPr>
  </w:style>
  <w:style w:type="paragraph" w:styleId="921" w:customStyle="1">
    <w:name w:val="Верхний и нижний колонтитулы"/>
    <w:basedOn w:val="675"/>
    <w:pPr>
      <w:tabs>
        <w:tab w:val="center" w:pos="4819" w:leader="none"/>
        <w:tab w:val="right" w:pos="9638" w:leader="none"/>
      </w:tabs>
      <w:suppressLineNumbers/>
    </w:pPr>
  </w:style>
  <w:style w:type="paragraph" w:styleId="922" w:customStyle="1">
    <w:name w:val="LO-Normal"/>
    <w:pPr>
      <w:ind w:firstLine="720"/>
      <w:jc w:val="both"/>
      <w:spacing w:line="300" w:lineRule="auto"/>
      <w:widowControl w:val="off"/>
    </w:pPr>
    <w:rPr>
      <w:rFonts w:eastAsia="Arial"/>
      <w:sz w:val="22"/>
    </w:rPr>
  </w:style>
  <w:style w:type="paragraph" w:styleId="923">
    <w:name w:val="Body Text Indent"/>
    <w:basedOn w:val="675"/>
    <w:pPr>
      <w:ind w:firstLine="720"/>
      <w:jc w:val="both"/>
    </w:pPr>
    <w:rPr>
      <w:rFonts w:ascii="Arial" w:hAnsi="Arial" w:cs="Arial"/>
      <w:sz w:val="22"/>
      <w:szCs w:val="20"/>
    </w:rPr>
  </w:style>
  <w:style w:type="paragraph" w:styleId="924" w:customStyle="1">
    <w:name w:val="Основной текст с отступом 21"/>
    <w:basedOn w:val="675"/>
    <w:pPr>
      <w:ind w:firstLine="720"/>
    </w:pPr>
    <w:rPr>
      <w:rFonts w:ascii="Arial" w:hAnsi="Arial" w:cs="Arial"/>
      <w:sz w:val="22"/>
      <w:szCs w:val="20"/>
    </w:rPr>
  </w:style>
  <w:style w:type="paragraph" w:styleId="925" w:customStyle="1">
    <w:name w:val="Основной текст 31"/>
    <w:basedOn w:val="675"/>
    <w:pPr>
      <w:spacing w:after="120"/>
    </w:pPr>
    <w:rPr>
      <w:sz w:val="16"/>
      <w:szCs w:val="16"/>
    </w:rPr>
  </w:style>
  <w:style w:type="paragraph" w:styleId="926" w:customStyle="1">
    <w:name w:val="Содержимое таблицы"/>
    <w:basedOn w:val="675"/>
    <w:pPr>
      <w:suppressLineNumbers/>
    </w:pPr>
  </w:style>
  <w:style w:type="paragraph" w:styleId="927" w:customStyle="1">
    <w:name w:val="Заголовок таблицы"/>
    <w:basedOn w:val="926"/>
    <w:pPr>
      <w:jc w:val="center"/>
    </w:pPr>
    <w:rPr>
      <w:b/>
      <w:bCs/>
    </w:rPr>
  </w:style>
  <w:style w:type="paragraph" w:styleId="928" w:customStyle="1">
    <w:name w:val="Содержимое врезки"/>
    <w:basedOn w:val="913"/>
  </w:style>
  <w:style w:type="paragraph" w:styleId="929" w:customStyle="1">
    <w:name w:val="Договор_верхний_колонтитул"/>
    <w:pPr>
      <w:jc w:val="right"/>
      <w:widowControl w:val="off"/>
    </w:pPr>
    <w:rPr>
      <w:rFonts w:eastAsia="Lucida Sans Unicode"/>
      <w:i/>
      <w:sz w:val="12"/>
      <w:szCs w:val="24"/>
    </w:rPr>
  </w:style>
  <w:style w:type="paragraph" w:styleId="930" w:customStyle="1">
    <w:name w:val="Документ_текст"/>
    <w:pPr>
      <w:jc w:val="both"/>
      <w:widowControl w:val="off"/>
    </w:pPr>
    <w:rPr>
      <w:rFonts w:eastAsia="Lucida Sans Unicode"/>
      <w:sz w:val="21"/>
      <w:szCs w:val="24"/>
    </w:rPr>
  </w:style>
  <w:style w:type="paragraph" w:styleId="931" w:customStyle="1">
    <w:name w:val="Документ_понятия"/>
    <w:basedOn w:val="930"/>
    <w:pPr>
      <w:spacing w:before="170" w:after="57"/>
    </w:pPr>
    <w:rPr>
      <w:b/>
      <w:bCs/>
    </w:rPr>
  </w:style>
  <w:style w:type="paragraph" w:styleId="932" w:customStyle="1">
    <w:name w:val="Документ_потребитель"/>
    <w:basedOn w:val="930"/>
    <w:pPr>
      <w:jc w:val="center"/>
    </w:pPr>
    <w:rPr>
      <w:b/>
      <w:bCs/>
      <w:sz w:val="32"/>
      <w:szCs w:val="32"/>
    </w:rPr>
  </w:style>
  <w:style w:type="paragraph" w:styleId="933" w:customStyle="1">
    <w:name w:val="Документ_раздел"/>
    <w:basedOn w:val="930"/>
    <w:next w:val="930"/>
    <w:pPr>
      <w:jc w:val="center"/>
      <w:keepNext/>
      <w:spacing w:before="340" w:after="227"/>
    </w:pPr>
    <w:rPr>
      <w:b/>
    </w:rPr>
  </w:style>
  <w:style w:type="paragraph" w:styleId="934" w:customStyle="1">
    <w:name w:val="s_1"/>
    <w:basedOn w:val="675"/>
    <w:pPr>
      <w:spacing w:before="280" w:after="280"/>
    </w:pPr>
    <w:rPr>
      <w:lang w:eastAsia="ru-RU"/>
    </w:rPr>
  </w:style>
  <w:style w:type="paragraph" w:styleId="935">
    <w:name w:val="List Paragraph"/>
    <w:basedOn w:val="675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paragraph" w:styleId="936" w:customStyle="1">
    <w:name w:val="Табличный текст"/>
    <w:basedOn w:val="675"/>
    <w:rPr>
      <w:bCs/>
      <w:szCs w:val="28"/>
      <w:lang w:val="en-US"/>
    </w:rPr>
  </w:style>
  <w:style w:type="paragraph" w:styleId="937">
    <w:name w:val="Balloon Text"/>
    <w:basedOn w:val="675"/>
    <w:link w:val="9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38" w:customStyle="1">
    <w:name w:val="Текст выноски Знак"/>
    <w:link w:val="937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styleId="939" w:customStyle="1">
    <w:name w:val="ConsPlusNormal"/>
    <w:link w:val="940"/>
    <w:qFormat/>
    <w:pPr>
      <w:ind w:firstLine="720"/>
      <w:widowControl w:val="off"/>
    </w:pPr>
    <w:rPr>
      <w:rFonts w:ascii="Arial" w:hAnsi="Arial" w:cs="Arial"/>
      <w:lang w:eastAsia="ru-RU"/>
    </w:rPr>
  </w:style>
  <w:style w:type="character" w:styleId="940" w:customStyle="1">
    <w:name w:val="ConsPlusNormal Знак"/>
    <w:link w:val="939"/>
    <w:rPr>
      <w:rFonts w:ascii="Arial" w:hAnsi="Arial" w:cs="Arial"/>
    </w:rPr>
  </w:style>
  <w:style w:type="paragraph" w:styleId="941" w:customStyle="1">
    <w:name w:val="docdata;docy;v5;2726;bqiaagaaeyqcaaagiaiaaaprcqaabd8jaaaaaaaaaaaaaaaaaaaaaaaaaaaaaaaaaaaaaaaaaaaaaaaaaaaaaaaaaaaaaaaaaaaaaaaaaaaaaaaaaaaaaaaaaaaaaaaaaaaaaaaaaaaaaaaaaaaaaaaaaaaaaaaaaaaaaaaaaaaaaaaaaaaaaaaaaaaaaaaaaaaaaaaaaaaaaaaaaaaaaaaaaaaaaaaaaaaaaaaa"/>
    <w:basedOn w:val="67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Шутенкова Мария Николаевна</dc:creator>
  <dc:description>DOC-MARKER-CBeSwbyWHIkPRV5mPwCzMA</dc:description>
  <cp:revision>8</cp:revision>
  <dcterms:created xsi:type="dcterms:W3CDTF">2026-06-10T11:39:00Z</dcterms:created>
  <dcterms:modified xsi:type="dcterms:W3CDTF">2026-06-25T06:18:27Z</dcterms:modified>
  <cp:version>1048576</cp:version>
</cp:coreProperties>
</file>