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СШ "Геолог"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id w:val="-1368987401"/>
          <w:placeholder>
            <w:docPart w:val="DefaultPlaceholder_-1854013437"/>
          </w:placeholder>
          <w15:color w:val="FF00FF"/>
          <w:date w:fullDate="2026-06-25T00:00:00Z">
            <w:dateFormat w:val="dd.MM.yyyy"/>
            <w:lid w:val="ru-RU"/>
            <w:storeMappedDataAs w:val="dateTime"/>
            <w:calendar w:val="gregorian"/>
          </w:date>
        </w:sdtPr>
        <w:sdtContent>
          <w:r>
            <w:rPr>
              <w:rStyle w:val="19"/>
              <w:b/>
              <w:bCs/>
            </w:rPr>
          </w:r>
          <w:r>
            <w:rPr>
              <w:rStyle w:val="19"/>
              <w:b/>
              <w:bCs/>
            </w:rPr>
            <w:t>25.06.2026</w:t>
          </w:r>
          <w:r/>
        </w:sdtContent>
      </w:sdt>
      <w:r>
        <w:rPr>
          <w:rStyle w:val="19"/>
          <w:b/>
          <w:bCs/>
        </w:rPr>
      </w:r>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rmal"/>
        <w:spacing w:lineRule="auto" w:line="240" w:before="0" w:after="0"/>
        <w:jc w:val="center"/>
        <w:rPr>
          <w:rFonts w:ascii="Times New Roman" w:hAnsi="Times New Roman" w:eastAsia="Times New Roman" w:cs="Times New Roman"/>
          <w:b/>
          <w:bCs/>
          <w:color w:val="151515"/>
          <w:shd w:fill="FFFFFF" w:val="clear"/>
          <w:lang w:eastAsia="ru-RU"/>
        </w:rPr>
      </w:pPr>
      <w:bookmarkStart w:id="2" w:name="_Hlk233290010"/>
      <w:r>
        <w:rPr>
          <w:rFonts w:eastAsia="Calibri" w:cs="Times New Roman" w:ascii="Times New Roman" w:hAnsi="Times New Roman"/>
          <w:b/>
          <w:bCs/>
          <w:lang w:eastAsia="ru-RU"/>
        </w:rPr>
        <w:t>на поставку</w:t>
      </w:r>
      <w:r>
        <w:rPr>
          <w:rFonts w:eastAsia="Times New Roman" w:cs="Times New Roman" w:ascii="Times New Roman" w:hAnsi="Times New Roman"/>
          <w:b/>
          <w:bCs/>
          <w:color w:val="151515"/>
          <w:shd w:fill="FFFFFF" w:val="clear"/>
          <w:lang w:eastAsia="ru-RU"/>
        </w:rPr>
        <w:t xml:space="preserve"> охранной телевизионной системы, позволяющей при</w:t>
      </w:r>
    </w:p>
    <w:p>
      <w:pPr>
        <w:pStyle w:val="Normal"/>
        <w:spacing w:lineRule="auto" w:line="240" w:before="0" w:after="0"/>
        <w:jc w:val="center"/>
        <w:rPr>
          <w:rFonts w:ascii="Times New Roman" w:hAnsi="Times New Roman" w:eastAsia="Times New Roman" w:cs="Times New Roman"/>
          <w:b/>
          <w:bCs/>
          <w:color w:val="151515"/>
          <w:shd w:fill="FFFFFF" w:val="clear"/>
          <w:lang w:eastAsia="ru-RU"/>
        </w:rPr>
      </w:pPr>
      <w:r>
        <w:rPr>
          <w:rFonts w:eastAsia="Times New Roman" w:cs="Times New Roman" w:ascii="Times New Roman" w:hAnsi="Times New Roman"/>
          <w:b/>
          <w:bCs/>
          <w:color w:val="151515"/>
          <w:shd w:fill="FFFFFF" w:val="clear"/>
          <w:lang w:eastAsia="ru-RU"/>
        </w:rPr>
        <w:t xml:space="preserve"> </w:t>
      </w:r>
      <w:r>
        <w:rPr>
          <w:rFonts w:eastAsia="Times New Roman" w:cs="Times New Roman" w:ascii="Times New Roman" w:hAnsi="Times New Roman"/>
          <w:b/>
          <w:bCs/>
          <w:color w:val="151515"/>
          <w:shd w:fill="FFFFFF" w:val="clear"/>
          <w:lang w:eastAsia="ru-RU"/>
        </w:rPr>
        <w:t>необходимости идентифицировать лица посетителей на объекте КСП Хоккейный корт "Г</w:t>
      </w:r>
      <w:r>
        <w:rPr>
          <w:rFonts w:eastAsia="Times New Roman" w:cs="Times New Roman" w:ascii="Times New Roman" w:hAnsi="Times New Roman"/>
          <w:b/>
          <w:bCs/>
          <w:color w:val="151515"/>
          <w:shd w:fill="FFFFFF" w:val="clear"/>
          <w:lang w:eastAsia="ru-RU"/>
        </w:rPr>
        <w:t>е</w:t>
      </w:r>
      <w:r>
        <w:rPr>
          <w:rFonts w:eastAsia="Times New Roman" w:cs="Times New Roman" w:ascii="Times New Roman" w:hAnsi="Times New Roman"/>
          <w:b/>
          <w:bCs/>
          <w:color w:val="151515"/>
          <w:shd w:fill="FFFFFF" w:val="clear"/>
          <w:lang w:eastAsia="ru-RU"/>
        </w:rPr>
        <w:t>олог" (629860, Ямало-Ненецкий автономный округ, Пуровский район, поселок городского типа Уренгой, 4-й мкр., стр.2а)"</w:t>
      </w:r>
      <w:bookmarkEnd w:id="2"/>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3" w:name="OLE_LINK9"/>
      <w:bookmarkStart w:id="4" w:name="OLE_LINK8"/>
      <w:r>
        <w:rPr>
          <w:rFonts w:eastAsia="Times New Roman" w:cs="Times New Roman" w:ascii="Times New Roman" w:hAnsi="Times New Roman"/>
          <w:iCs/>
          <w:lang w:eastAsia="ru-RU"/>
        </w:rPr>
        <w:t>ценовой запрос</w:t>
      </w:r>
      <w:bookmarkEnd w:id="3"/>
      <w:bookmarkEnd w:id="4"/>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5" w:name="OLE_LINK11"/>
            <w:bookmarkStart w:id="6" w:name="OLE_LINK10"/>
            <w:r>
              <w:rPr>
                <w:rFonts w:eastAsia="Times New Roman" w:cs="Times New Roman" w:ascii="Times New Roman" w:hAnsi="Times New Roman"/>
                <w:b/>
                <w:bCs/>
                <w:iCs/>
                <w:kern w:val="0"/>
                <w:sz w:val="20"/>
                <w:szCs w:val="20"/>
                <w:lang w:val="ru-RU" w:eastAsia="ru-RU" w:bidi="ar-SA"/>
              </w:rPr>
              <w:t>информационная карта</w:t>
            </w:r>
            <w:bookmarkEnd w:id="5"/>
            <w:bookmarkEnd w:id="6"/>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bookmarkStart w:id="7" w:name="OLE_LINK6"/>
            <w:bookmarkStart w:id="8" w:name="OLE_LINK5"/>
            <w:r>
              <w:rPr>
                <w:rFonts w:eastAsia="Times New Roman" w:cs="Times New Roman" w:ascii="Times New Roman" w:hAnsi="Times New Roman"/>
                <w:iCs/>
                <w:kern w:val="0"/>
                <w:sz w:val="20"/>
                <w:szCs w:val="20"/>
                <w:lang w:val="ru-RU" w:eastAsia="ru-RU" w:bidi="ar-SA"/>
              </w:rPr>
              <w:t xml:space="preserve">Инфокарта </w:t>
            </w:r>
            <w:bookmarkEnd w:id="7"/>
            <w:bookmarkEnd w:id="8"/>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25.06.2026г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pacing w:lineRule="auto" w:line="240" w:before="0" w:after="0"/>
              <w:ind w:start="33"/>
              <w:contextualSpacing/>
              <w:jc w:val="both"/>
              <w:rPr>
                <w:rFonts w:ascii="Times New Roman" w:hAnsi="Times New Roman"/>
                <w:b/>
                <w:bCs/>
              </w:rPr>
            </w:pPr>
            <w:sdt>
              <w:sdtPr>
                <w15:color w:val="FF00FF"/>
                <w:id w:val="423772107"/>
                <w:placeholder>
                  <w:docPart w:val="BFC32AEDEEEC43DABA99D6143B821F92"/>
                </w:placeholder>
                <w:date w:fullDate="2026-06-26T00:00:00Z">
                  <w:dateFormat w:val="dd.MM.yyyy"/>
                  <w:lid w:val="ru-RU"/>
                </w:date>
              </w:sdtPr>
              <w:sdtContent>
                <w:r>
                  <w:rPr>
                    <w:rStyle w:val="19"/>
                    <w:rFonts w:eastAsia="Calibri" w:cs="Times New Roman"/>
                    <w:b/>
                    <w:bCs/>
                    <w:kern w:val="0"/>
                    <w:sz w:val="20"/>
                    <w:szCs w:val="20"/>
                    <w:lang w:val="ru-RU" w:eastAsia="ru-RU" w:bidi="ar-SA"/>
                  </w:rPr>
                </w:r>
                <w:r>
                  <w:rPr>
                    <w:rStyle w:val="19"/>
                    <w:rFonts w:eastAsia="Calibri" w:cs="Times New Roman"/>
                    <w:b/>
                    <w:bCs/>
                    <w:kern w:val="0"/>
                    <w:sz w:val="20"/>
                    <w:szCs w:val="20"/>
                    <w:lang w:val="ru-RU" w:eastAsia="ru-RU" w:bidi="ar-SA"/>
                  </w:rPr>
                  <w:t>26.06.2026</w:t>
                </w:r>
              </w:sdtContent>
            </w:sdt>
            <w:r>
              <w:rPr>
                <w:rFonts w:eastAsia="Calibri" w:cs="Times New Roman"/>
                <w:b/>
                <w:bCs/>
                <w:kern w:val="0"/>
                <w:sz w:val="20"/>
                <w:szCs w:val="20"/>
                <w:lang w:val="ru-RU" w:eastAsia="ru-RU" w:bidi="ar-SA"/>
              </w:rPr>
              <w:t>г</w:t>
            </w:r>
            <w:r>
              <w:rPr>
                <w:rFonts w:eastAsia="Calibri" w:cs="Times New Roman"/>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В 18:00 (местное время Заказчика)</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pacing w:lineRule="auto" w:line="240" w:before="0" w:after="0"/>
              <w:ind w:start="33"/>
              <w:contextualSpacing/>
              <w:jc w:val="both"/>
              <w:rPr>
                <w:rStyle w:val="19"/>
                <w:b/>
                <w:bCs/>
              </w:rPr>
            </w:pPr>
            <w:sdt>
              <w:sdtPr>
                <w:id w:val="372498348"/>
                <w:placeholder>
                  <w:docPart w:val="37BAFFABC3724EF4ACC76CE533E02295"/>
                </w:placeholder>
                <w15:color w:val="FF00FF"/>
                <w:date w:fullDate="2026-06-29T00:00:00Z">
                  <w:dateFormat w:val="dd.MM.yyyy"/>
                  <w:lid w:val="ru-RU"/>
                  <w:storeMappedDataAs w:val="dateTime"/>
                  <w:calendar w:val="gregorian"/>
                </w:date>
              </w:sdtPr>
              <w:sdtContent>
                <w:r>
                  <w:rPr>
                    <w:rStyle w:val="19"/>
                    <w:rFonts w:eastAsia="Calibri" w:cs="Times New Roman"/>
                    <w:b/>
                    <w:bCs/>
                    <w:kern w:val="0"/>
                    <w:sz w:val="20"/>
                    <w:szCs w:val="20"/>
                    <w:lang w:val="ru-RU" w:eastAsia="ru-RU" w:bidi="ar-SA"/>
                  </w:rPr>
                </w:r>
                <w:r>
                  <w:rPr>
                    <w:rStyle w:val="19"/>
                    <w:rFonts w:eastAsia="Calibri" w:cs="Times New Roman"/>
                    <w:b/>
                    <w:bCs/>
                    <w:kern w:val="0"/>
                    <w:sz w:val="20"/>
                    <w:szCs w:val="20"/>
                    <w:lang w:val="ru-RU" w:eastAsia="ru-RU" w:bidi="ar-SA"/>
                  </w:rPr>
                  <w:t>29.06.2026</w:t>
                </w:r>
                <w:r/>
              </w:sdtContent>
            </w:sdt>
            <w:r>
              <w:rPr>
                <w:rStyle w:val="19"/>
                <w:rFonts w:eastAsia="Calibri" w:cs="Times New Roman"/>
                <w:b/>
                <w:bCs/>
                <w:kern w:val="0"/>
                <w:sz w:val="20"/>
                <w:szCs w:val="20"/>
                <w:lang w:val="ru-RU" w:eastAsia="ru-RU" w:bidi="ar-SA"/>
              </w:rPr>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pacing w:lineRule="auto" w:line="240" w:before="0" w:after="0"/>
              <w:ind w:start="33"/>
              <w:contextualSpacing/>
              <w:jc w:val="both"/>
              <w:rPr>
                <w:rFonts w:ascii="Times New Roman" w:hAnsi="Times New Roman"/>
                <w:b/>
                <w:bCs/>
              </w:rPr>
            </w:pPr>
            <w:sdt>
              <w:sdtPr>
                <w15:color w:val="FF00FF"/>
                <w:id w:val="1739432593"/>
                <w:placeholder>
                  <w:docPart w:val="3E83FE2655E84B03BDD93A973F3F17D9"/>
                </w:placeholder>
                <w:date w:fullDate="2026-06-26T00:00:00Z">
                  <w:dateFormat w:val="dd.MM.yyyy"/>
                  <w:lid w:val="ru-RU"/>
                </w:date>
              </w:sdtPr>
              <w:sdtContent>
                <w:r>
                  <w:rPr>
                    <w:rStyle w:val="19"/>
                    <w:rFonts w:eastAsia="Calibri" w:cs="Times New Roman"/>
                    <w:b/>
                    <w:bCs/>
                    <w:kern w:val="0"/>
                    <w:sz w:val="20"/>
                    <w:szCs w:val="20"/>
                    <w:lang w:val="ru-RU" w:eastAsia="ru-RU" w:bidi="ar-SA"/>
                  </w:rPr>
                </w:r>
                <w:r>
                  <w:rPr>
                    <w:rStyle w:val="19"/>
                    <w:rFonts w:eastAsia="Calibri" w:cs="Times New Roman"/>
                    <w:b/>
                    <w:bCs/>
                    <w:kern w:val="0"/>
                    <w:sz w:val="20"/>
                    <w:szCs w:val="20"/>
                    <w:lang w:val="ru-RU" w:eastAsia="ru-RU" w:bidi="ar-SA"/>
                  </w:rPr>
                  <w:t>26.06.2026</w:t>
                </w:r>
              </w:sdtContent>
            </w:sdt>
            <w:r>
              <w:rPr>
                <w:rFonts w:eastAsia="Calibri" w:cs="Times New Roman"/>
                <w:b/>
                <w:bCs/>
                <w:kern w:val="0"/>
                <w:sz w:val="20"/>
                <w:szCs w:val="20"/>
                <w:lang w:val="ru-RU" w:eastAsia="ru-RU" w:bidi="ar-SA"/>
              </w:rPr>
              <w:t xml:space="preserve">г. </w:t>
            </w:r>
            <w:r>
              <w:rPr>
                <w:rFonts w:eastAsia="Times New Roman" w:cs="Times New Roman" w:ascii="Times New Roman" w:hAnsi="Times New Roman"/>
                <w:b/>
                <w:bCs/>
                <w:iCs/>
                <w:kern w:val="0"/>
                <w:sz w:val="20"/>
                <w:szCs w:val="20"/>
                <w:lang w:val="ru-RU" w:eastAsia="ru-RU" w:bidi="ar-SA"/>
              </w:rPr>
              <w:t>в 17:59 (местное время Заказчика)</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9"/>
        <w:gridCol w:w="5046"/>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r>
        <w:trPr/>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УСТАНОВЛЕНО</w:t>
            </w:r>
          </w:p>
        </w:tc>
      </w:tr>
      <w:tr>
        <w:trPr/>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b/>
                <w:bCs/>
                <w:sz w:val="20"/>
                <w:szCs w:val="20"/>
              </w:rPr>
            </w:pPr>
            <w:sdt>
              <w:sdtPr>
                <w:alias w:val=""/>
                <w:dropDownList w:lastValue="2">
                  <w:listItem w:value="Выберите элемент." w:displayText="Выберите элемент."/>
                  <w:listItem w:value="Предоставляется" w:displayText="Предоставляется"/>
                  <w:listItem w:value="НЕ предоставляется" w:displayText="НЕ предоставляется"/>
                </w:dropDownList>
              </w:sdtPr>
              <w:sdtContent>
                <w:r>
                  <w:rPr/>
                </w:r>
                <w:r>
                  <w:t>НЕ предоставляется</w:t>
                </w:r>
              </w:sdtContent>
            </w:sdt>
          </w:p>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Поставка охранной телевизионной системы, позволяющей при</w:t>
            </w:r>
          </w:p>
          <w:p>
            <w:pPr>
              <w:pStyle w:val="Normal"/>
              <w:widowControl w:val="false"/>
              <w:spacing w:lineRule="auto" w:line="240" w:before="0" w:after="0"/>
              <w:ind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необходимости идентифицировать лица посетителей на объекте КСП Хоккейный корт "Г</w:t>
            </w:r>
            <w:r>
              <w:rPr>
                <w:rFonts w:eastAsia="Times New Roman" w:cs="Times New Roman" w:ascii="Times New Roman" w:hAnsi="Times New Roman"/>
                <w:b/>
                <w:sz w:val="20"/>
                <w:szCs w:val="20"/>
                <w:lang w:eastAsia="ru-RU"/>
              </w:rPr>
              <w:t>е</w:t>
            </w:r>
            <w:r>
              <w:rPr>
                <w:rFonts w:eastAsia="Times New Roman" w:cs="Times New Roman" w:ascii="Times New Roman" w:hAnsi="Times New Roman"/>
                <w:b/>
                <w:sz w:val="20"/>
                <w:szCs w:val="20"/>
                <w:lang w:eastAsia="ru-RU"/>
              </w:rPr>
              <w:t>олог" (629860, Ямало-Ненецкий автономный округ, Пуровский район, поселок городского типа Уренгой, 4-й мкр., стр.2а)"</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Место поставки:</w:t>
            </w:r>
            <w:r>
              <w:rPr>
                <w:rFonts w:eastAsia="Times New Roman" w:cs="Times New Roman" w:ascii="Times New Roman" w:hAnsi="Times New Roman"/>
                <w:sz w:val="20"/>
                <w:szCs w:val="20"/>
                <w:lang w:eastAsia="ru-RU"/>
              </w:rPr>
              <w:t xml:space="preserve"> 629860, Ямало-Ненецкий автономный округ, Пуровский район, поселок городского типа Уренгой, 4-й мкр., стр. 2а</w:t>
            </w:r>
          </w:p>
          <w:p>
            <w:pPr>
              <w:pStyle w:val="Normal"/>
              <w:widowControl w:val="false"/>
              <w:spacing w:lineRule="auto" w:line="240"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Срок поставки:</w:t>
            </w:r>
            <w:r>
              <w:rPr>
                <w:rFonts w:eastAsia="Times New Roman" w:cs="Times New Roman" w:ascii="Times New Roman" w:hAnsi="Times New Roman"/>
                <w:sz w:val="20"/>
                <w:szCs w:val="20"/>
                <w:lang w:eastAsia="ru-RU"/>
              </w:rPr>
              <w:t xml:space="preserve"> с момента заключения Договора в течение 45 (сорока пяти) календарных дней.</w:t>
            </w:r>
          </w:p>
          <w:p>
            <w:pPr>
              <w:pStyle w:val="Normal"/>
              <w:widowControl w:val="false"/>
              <w:spacing w:lineRule="auto" w:line="240" w:before="0" w:after="0"/>
              <w:ind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Доставка, погрузочно-разгрузочные работы, монтаж и установка выполняются силами Поставщика.</w:t>
            </w:r>
          </w:p>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931 000</w:t>
            </w:r>
            <w:r>
              <w:rPr>
                <w:rFonts w:cs="Times New Roman" w:ascii="Times New Roman" w:hAnsi="Times New Roman"/>
                <w:sz w:val="20"/>
                <w:szCs w:val="20"/>
              </w:rPr>
              <w:t xml:space="preserve"> </w:t>
            </w:r>
            <w:r>
              <w:rPr>
                <w:rFonts w:cs="Times New Roman" w:ascii="Times New Roman" w:hAnsi="Times New Roman"/>
                <w:b/>
                <w:bCs/>
                <w:sz w:val="20"/>
                <w:szCs w:val="20"/>
              </w:rPr>
              <w:t>(Девятьсот тридцать одна тысяча ) рублей 00 копеек</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216"/>
              <w:ind w:firstLine="521"/>
              <w:jc w:val="both"/>
              <w:rPr>
                <w:rStyle w:val="26"/>
                <w:sz w:val="20"/>
              </w:rPr>
            </w:pPr>
            <w:r>
              <w:rPr>
                <w:rFonts w:eastAsia="Calibri"/>
                <w:bCs/>
                <w:sz w:val="20"/>
              </w:rPr>
              <w:t xml:space="preserve">Начальная (максимальная) цена договора </w:t>
            </w:r>
            <w:r>
              <w:rPr>
                <w:rStyle w:val="26"/>
                <w:rFonts w:eastAsia="Calibri"/>
                <w:bCs/>
                <w:sz w:val="20"/>
              </w:rPr>
              <w:t xml:space="preserve">сформирована в соответствии с </w:t>
            </w:r>
            <w:r>
              <w:rPr>
                <w:rStyle w:val="26"/>
                <w:rFonts w:eastAsia="Calibri"/>
                <w:b/>
                <w:bCs/>
                <w:sz w:val="20"/>
              </w:rPr>
              <w:t>Техническим заданием (прилагается отдельным файлом).</w:t>
            </w:r>
            <w:r>
              <w:rPr>
                <w:rStyle w:val="26"/>
                <w:rFonts w:eastAsia="Calibri"/>
                <w:bCs/>
                <w:sz w:val="20"/>
              </w:rPr>
              <w:t xml:space="preserve"> </w:t>
            </w:r>
            <w:r>
              <w:rPr>
                <w:color w:val="auto"/>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w:t>
            </w:r>
            <w:r>
              <w:rPr>
                <w:b/>
                <w:bCs/>
                <w:color w:val="auto"/>
                <w:sz w:val="20"/>
              </w:rPr>
              <w:t>стоимость погрузочно-разгрузочных работ, монтаж и установка товара</w:t>
            </w:r>
            <w:r>
              <w:rPr>
                <w:color w:val="auto"/>
                <w:sz w:val="20"/>
              </w:rPr>
              <w:t xml:space="preserve">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pPr>
              <w:pStyle w:val="216"/>
              <w:ind w:firstLine="521"/>
              <w:jc w:val="both"/>
              <w:rPr>
                <w:sz w:val="20"/>
              </w:rPr>
            </w:pPr>
            <w:r>
              <w:rPr>
                <w:sz w:val="20"/>
              </w:rPr>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6"/>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b/>
              </w:rPr>
              <w:t xml:space="preserve">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b/>
                  </w:rPr>
                </w:r>
                <w:r>
                  <w:rPr>
                    <w:rFonts w:cs="Times New Roman" w:ascii="Times New Roman" w:hAnsi="Times New Roman"/>
                    <w:b/>
                    <w:sz w:val="20"/>
                    <w:szCs w:val="20"/>
                  </w:rPr>
                  <w:t>проектно-сметный</w:t>
                </w:r>
              </w:sdtContent>
            </w:sdt>
            <w:r>
              <w:rPr>
                <w:rStyle w:val="26"/>
                <w:rFonts w:eastAsia="Calibri" w:cs="Times New Roman" w:ascii="Times New Roman" w:hAnsi="Times New Roman"/>
                <w:color w:val="000000"/>
                <w:sz w:val="20"/>
                <w:szCs w:val="20"/>
                <w:lang w:eastAsia="ru-RU"/>
              </w:rPr>
              <w:t xml:space="preserve"> </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w:t>
              <w:tab/>
              <w:t>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w:t>
              <w:tab/>
              <w:t>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9" w:name="OLE_LINK13"/>
            <w:bookmarkStart w:id="10" w:name="OLE_LINK12"/>
            <w:r>
              <w:rPr>
                <w:rFonts w:eastAsia="Times New Roman" w:cs="Times New Roman" w:ascii="Times New Roman" w:hAnsi="Times New Roman"/>
                <w:bCs/>
                <w:sz w:val="20"/>
                <w:szCs w:val="20"/>
                <w:lang w:eastAsia="ru-RU"/>
              </w:rPr>
              <w:t>инфокартой</w:t>
            </w:r>
            <w:bookmarkEnd w:id="9"/>
            <w:bookmarkEnd w:id="10"/>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w:t>
              <w:tab/>
              <w:t>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w:t>
              <w:tab/>
              <w:t>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SimSun" w:cs="Times New Roman" w:ascii="Times New Roman" w:hAnsi="Times New Roman"/>
                <w:sz w:val="20"/>
                <w:szCs w:val="20"/>
              </w:rPr>
              <w:t>В</w:t>
            </w:r>
            <w:r>
              <w:rPr>
                <w:rFonts w:eastAsia="Times New Roman" w:cs="Times New Roman" w:ascii="Times New Roman" w:hAnsi="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widowControl w:val="false"/>
              <w:spacing w:lineRule="auto" w:line="240" w:before="0" w:after="0"/>
              <w:ind w:firstLine="317"/>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Для «Ограничения»:</w:t>
            </w:r>
          </w:p>
          <w:p>
            <w:pPr>
              <w:pStyle w:val="Normal"/>
              <w:widowControl w:val="false"/>
              <w:spacing w:lineRule="auto" w:line="240" w:before="0" w:after="0"/>
              <w:ind w:firstLine="317"/>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lineRule="auto" w:line="240" w:before="0" w:after="0"/>
              <w:jc w:val="both"/>
              <w:rPr>
                <w:rFonts w:ascii="Times New Roman" w:hAnsi="Times New Roman" w:eastAsia="SimSun" w:cs="Times New Roman"/>
                <w:sz w:val="20"/>
                <w:szCs w:val="20"/>
              </w:rPr>
            </w:pPr>
            <w:r>
              <w:rPr>
                <w:rFonts w:eastAsia="SimSun" w:cs="Times New Roman" w:ascii="Times New Roman" w:hAnsi="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Pr>
                <w:rFonts w:eastAsia="SimSun" w:cs="Times New Roman" w:ascii="Times New Roman" w:hAnsi="Times New Roman"/>
                <w:sz w:val="20"/>
                <w:szCs w:val="20"/>
              </w:rPr>
              <w:br w:type="textWrapping" w:clear="all"/>
            </w:r>
            <w:r>
              <w:rPr>
                <w:rFonts w:eastAsia="SimSun" w:cs="Times New Roman" w:ascii="Times New Roman" w:hAnsi="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br/>
              <w:t>ИЛИ</w:t>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Normal"/>
              <w:widowControl w:val="false"/>
              <w:spacing w:lineRule="auto" w:line="240" w:before="0" w:after="0"/>
              <w:jc w:val="both"/>
              <w:rPr>
                <w:rFonts w:ascii="Times New Roman" w:hAnsi="Times New Roman" w:eastAsia="SimSun" w:cs="Times New Roman"/>
                <w:sz w:val="20"/>
                <w:szCs w:val="20"/>
              </w:rPr>
            </w:pPr>
            <w:r>
              <w:rPr>
                <w:rFonts w:eastAsia="SimSun" w:cs="Times New Roman" w:ascii="Times New Roman" w:hAnsi="Times New Roman"/>
                <w:sz w:val="20"/>
                <w:szCs w:val="20"/>
              </w:rPr>
              <w:t xml:space="preserve">ИЛИ </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highlight w:val="green"/>
                <w:lang w:eastAsia="ru-RU"/>
              </w:rPr>
            </w:pPr>
            <w:r>
              <w:rPr>
                <w:rFonts w:eastAsia="SimSun" w:cs="Times New Roman" w:ascii="Times New Roman" w:hAnsi="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roman"/>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12</w:t>
    </w:r>
    <w:r>
      <w:rPr/>
      <w:fldChar w:fldCharType="end"/>
    </w:r>
  </w:p>
  <w:p>
    <w:pPr>
      <w:pStyle w:val="Footer"/>
      <w:rPr/>
    </w:pPr>
    <w:r>
      <w:rPr/>
    </w:r>
  </w:p>
  <w:p>
    <w:pPr>
      <w:pStyle w:val="Normal"/>
      <w:widowControl/>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360"/>
        </w:tabs>
        <w:ind w:start="0" w:hanging="0"/>
      </w:pPr>
      <w:rPr/>
    </w:lvl>
    <w:lvl w:ilvl="2">
      <w:start w:val="1"/>
      <w:numFmt w:val="none"/>
      <w:suff w:val="nothing"/>
      <w:lvlText w:val=""/>
      <w:lvlJc w:val="start"/>
      <w:pPr>
        <w:tabs>
          <w:tab w:val="num" w:pos="360"/>
        </w:tabs>
        <w:ind w:start="0" w:hanging="0"/>
      </w:pPr>
      <w:rPr/>
    </w:lvl>
    <w:lvl w:ilvl="3">
      <w:start w:val="1"/>
      <w:numFmt w:val="none"/>
      <w:suff w:val="nothing"/>
      <w:lvlText w:val=""/>
      <w:lvlJc w:val="start"/>
      <w:pPr>
        <w:tabs>
          <w:tab w:val="num" w:pos="360"/>
        </w:tabs>
        <w:ind w:start="0" w:hanging="0"/>
      </w:pPr>
      <w:rPr/>
    </w:lvl>
    <w:lvl w:ilvl="4">
      <w:start w:val="1"/>
      <w:numFmt w:val="none"/>
      <w:suff w:val="nothing"/>
      <w:lvlText w:val=""/>
      <w:lvlJc w:val="start"/>
      <w:pPr>
        <w:tabs>
          <w:tab w:val="num" w:pos="360"/>
        </w:tabs>
        <w:ind w:start="0" w:hanging="0"/>
      </w:pPr>
      <w:rPr/>
    </w:lvl>
    <w:lvl w:ilvl="5">
      <w:start w:val="1"/>
      <w:numFmt w:val="none"/>
      <w:suff w:val="nothing"/>
      <w:lvlText w:val=""/>
      <w:lvlJc w:val="start"/>
      <w:pPr>
        <w:tabs>
          <w:tab w:val="num" w:pos="360"/>
        </w:tabs>
        <w:ind w:start="0" w:hanging="0"/>
      </w:pPr>
      <w:rPr/>
    </w:lvl>
    <w:lvl w:ilvl="6">
      <w:start w:val="1"/>
      <w:numFmt w:val="none"/>
      <w:suff w:val="nothing"/>
      <w:lvlText w:val=""/>
      <w:lvlJc w:val="start"/>
      <w:pPr>
        <w:tabs>
          <w:tab w:val="num" w:pos="360"/>
        </w:tabs>
        <w:ind w:start="0" w:hanging="0"/>
      </w:pPr>
      <w:rPr/>
    </w:lvl>
    <w:lvl w:ilvl="7">
      <w:start w:val="1"/>
      <w:numFmt w:val="none"/>
      <w:suff w:val="nothing"/>
      <w:lvlText w:val=""/>
      <w:lvlJc w:val="start"/>
      <w:pPr>
        <w:tabs>
          <w:tab w:val="num" w:pos="360"/>
        </w:tabs>
        <w:ind w:start="0" w:hanging="0"/>
      </w:pPr>
      <w:rPr/>
    </w:lvl>
    <w:lvl w:ilvl="8">
      <w:start w:val="1"/>
      <w:numFmt w:val="none"/>
      <w:suff w:val="nothing"/>
      <w:lvlText w:val=""/>
      <w:lvlJc w:val="start"/>
      <w:pPr>
        <w:tabs>
          <w:tab w:val="num" w:pos="36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Style19">
    <w:name w:val="Символ сноски"/>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Style20">
    <w:name w:val="Символ концевой сноски"/>
    <w:uiPriority w:val="99"/>
    <w:unhideWhenUsed/>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99"/>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Style27"/>
    <w:pPr/>
    <w:rPr/>
  </w:style>
  <w:style w:type="paragraph" w:styleId="TOCHeading">
    <w:name w:val="TOC Heading"/>
    <w:uiPriority w:val="39"/>
    <w:unhideWhenUsed/>
    <w:qFormat/>
    <w:pPr>
      <w:widowControl/>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99"/>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bidi w:val="0"/>
      <w:spacing w:lineRule="auto" w:line="240" w:before="0" w:after="0"/>
      <w:jc w:val="start"/>
    </w:pPr>
    <w:rPr>
      <w:rFonts w:ascii="Courier New" w:hAnsi="Courier New" w:eastAsia="Times New Roman" w:cs="Times New Roman"/>
      <w:color w:val="auto"/>
      <w:kern w:val="0"/>
      <w:sz w:val="20"/>
      <w:szCs w:val="20"/>
      <w:lang w:eastAsia="ru-RU" w:val="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Style29">
    <w:name w:val="Колонтитулы"/>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bidi w:val="0"/>
      <w:spacing w:lineRule="auto" w:line="240" w:before="0" w:after="0"/>
      <w:jc w:val="star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bidi w:val="0"/>
      <w:spacing w:lineRule="auto" w:line="240" w:before="0" w:after="0"/>
      <w:ind w:firstLine="720" w:end="19772"/>
      <w:jc w:val="start"/>
    </w:pPr>
    <w:rPr>
      <w:rFonts w:ascii="Arial" w:hAnsi="Arial" w:eastAsia="Times New Roman" w:cs="Arial"/>
      <w:color w:val="auto"/>
      <w:kern w:val="0"/>
      <w:sz w:val="20"/>
      <w:szCs w:val="20"/>
      <w:lang w:eastAsia="ru-RU" w:val="ru-RU" w:bidi="ar-SA"/>
    </w:rPr>
  </w:style>
  <w:style w:type="paragraph" w:styleId="ConsNonformat" w:customStyle="1">
    <w:name w:val="ConsNonformat"/>
    <w:qFormat/>
    <w:pPr>
      <w:widowControl/>
      <w:bidi w:val="0"/>
      <w:spacing w:lineRule="auto" w:line="240" w:before="0" w:after="0"/>
      <w:ind w:end="19772"/>
      <w:jc w:val="start"/>
    </w:pPr>
    <w:rPr>
      <w:rFonts w:ascii="Courier New" w:hAnsi="Courier New" w:eastAsia="Times New Roman" w:cs="Courier New"/>
      <w:color w:val="auto"/>
      <w:kern w:val="0"/>
      <w:sz w:val="20"/>
      <w:szCs w:val="20"/>
      <w:lang w:eastAsia="ru-RU" w:val="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uiPriority w:val="99"/>
    <w:qFormat/>
    <w:pPr>
      <w:widowControl/>
      <w:bidi w:val="0"/>
      <w:spacing w:lineRule="auto" w:line="240" w:before="0" w:after="0"/>
      <w:ind w:firstLine="720"/>
      <w:jc w:val="start"/>
    </w:pPr>
    <w:rPr>
      <w:rFonts w:ascii="Arial" w:hAnsi="Arial" w:eastAsia="Times New Roman" w:cs="Arial"/>
      <w:color w:val="auto"/>
      <w:kern w:val="0"/>
      <w:sz w:val="20"/>
      <w:szCs w:val="20"/>
      <w:lang w:eastAsia="ru-RU" w:val="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bidi w:val="0"/>
      <w:spacing w:lineRule="auto" w:line="278" w:before="0" w:after="0"/>
      <w:ind w:start="280"/>
      <w:jc w:val="start"/>
    </w:pPr>
    <w:rPr>
      <w:rFonts w:ascii="Times New Roman" w:hAnsi="Times New Roman" w:eastAsia="Times New Roman" w:cs="Times New Roman"/>
      <w:color w:val="auto"/>
      <w:kern w:val="0"/>
      <w:sz w:val="20"/>
      <w:szCs w:val="20"/>
      <w:lang w:eastAsia="ru-RU" w:val="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bidi w:val="0"/>
      <w:spacing w:lineRule="auto" w:line="240" w:before="0" w:after="0"/>
      <w:jc w:val="start"/>
    </w:pPr>
    <w:rPr>
      <w:rFonts w:ascii="Times New Roman" w:hAnsi="Times New Roman" w:eastAsia="Times New Roman" w:cs="Times New Roman"/>
      <w:color w:val="auto"/>
      <w:kern w:val="0"/>
      <w:sz w:val="20"/>
      <w:szCs w:val="20"/>
      <w:lang w:eastAsia="ru-RU" w:val="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bidi w:val="0"/>
      <w:spacing w:lineRule="auto" w:line="240" w:before="0" w:after="0"/>
      <w:jc w:val="start"/>
    </w:pPr>
    <w:rPr>
      <w:rFonts w:ascii="Times New Roman" w:hAnsi="Times New Roman" w:eastAsia="Times New Roman" w:cs="Times New Roman"/>
      <w:color w:val="auto"/>
      <w:kern w:val="0"/>
      <w:sz w:val="24"/>
      <w:szCs w:val="24"/>
      <w:lang w:eastAsia="ru-RU" w:val="ru-RU" w:bidi="ar-SA"/>
    </w:rPr>
  </w:style>
  <w:style w:type="paragraph" w:styleId="user" w:customStyle="1">
    <w:name w:val="Содержимое таблицы (user)"/>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bidi w:val="0"/>
      <w:spacing w:lineRule="auto" w:line="240" w:before="0" w:after="0"/>
      <w:jc w:val="start"/>
    </w:pPr>
    <w:rPr>
      <w:rFonts w:ascii="Times New Roman" w:hAnsi="Times New Roman" w:eastAsia="Times New Roman" w:cs="Times New Roman"/>
      <w:color w:val="auto"/>
      <w:kern w:val="0"/>
      <w:sz w:val="24"/>
      <w:szCs w:val="24"/>
      <w:lang w:eastAsia="ru-RU" w:val="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3" w:customStyle="1">
    <w:name w:val="Îáû÷íûé"/>
    <w:qFormat/>
    <w:pPr>
      <w:widowControl/>
      <w:bidi w:val="0"/>
      <w:spacing w:lineRule="auto" w:line="240" w:before="0" w:after="0"/>
      <w:jc w:val="start"/>
    </w:pPr>
    <w:rPr>
      <w:rFonts w:ascii="Times New Roman" w:hAnsi="Times New Roman" w:eastAsia="Times New Roman" w:cs="Times New Roman"/>
      <w:color w:val="auto"/>
      <w:kern w:val="0"/>
      <w:sz w:val="20"/>
      <w:szCs w:val="20"/>
      <w:lang w:eastAsia="ru-RU" w:val="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bidi w:val="0"/>
      <w:spacing w:lineRule="auto" w:line="240" w:before="0" w:after="0"/>
      <w:jc w:val="start"/>
    </w:pPr>
    <w:rPr>
      <w:rFonts w:ascii="Calibri" w:hAnsi="Calibri" w:eastAsia="Times New Roman" w:cs="Times New Roman" w:asciiTheme="minorHAnsi" w:hAnsiTheme="minorHAnsi"/>
      <w:color w:val="auto"/>
      <w:kern w:val="0"/>
      <w:sz w:val="22"/>
      <w:szCs w:val="22"/>
      <w:lang w:eastAsia="ru-RU" w:val="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bidi w:val="0"/>
      <w:spacing w:lineRule="auto" w:line="240" w:before="0" w:after="0"/>
      <w:jc w:val="start"/>
    </w:pPr>
    <w:rPr>
      <w:rFonts w:ascii="Arial" w:hAnsi="Arial" w:eastAsia="Times New Roman" w:cs="Arial"/>
      <w:color w:val="auto"/>
      <w:kern w:val="0"/>
      <w:sz w:val="20"/>
      <w:szCs w:val="20"/>
      <w:lang w:eastAsia="ru-RU" w:val="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bidi w:val="0"/>
      <w:spacing w:lineRule="auto" w:line="240" w:before="0" w:after="0"/>
      <w:jc w:val="start"/>
    </w:pPr>
    <w:rPr>
      <w:rFonts w:ascii="Times New Roman" w:hAnsi="Times New Roman" w:eastAsia="Times New Roman" w:cs="Times New Roman"/>
      <w:color w:val="000000"/>
      <w:kern w:val="0"/>
      <w:sz w:val="24"/>
      <w:szCs w:val="24"/>
      <w:lang w:eastAsia="ru-RU" w:val="ru-RU" w:bidi="ar-SA"/>
    </w:rPr>
  </w:style>
  <w:style w:type="paragraph" w:styleId="Style34"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5"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6"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7"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bidi w:val="0"/>
      <w:spacing w:lineRule="auto" w:line="240" w:before="0" w:after="0"/>
      <w:ind w:firstLine="720"/>
      <w:jc w:val="start"/>
    </w:pPr>
    <w:rPr>
      <w:rFonts w:ascii="Arial" w:hAnsi="Arial" w:eastAsia="Times New Roman" w:cs="Arial"/>
      <w:color w:val="auto"/>
      <w:kern w:val="0"/>
      <w:sz w:val="20"/>
      <w:szCs w:val="20"/>
      <w:lang w:eastAsia="ru-RU" w:val="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bidi w:val="0"/>
      <w:spacing w:lineRule="auto" w:line="240" w:before="0" w:after="0"/>
      <w:jc w:val="start"/>
    </w:pPr>
    <w:rPr>
      <w:rFonts w:ascii="Courier New" w:hAnsi="Courier New" w:eastAsia="Times New Roman" w:cs="Courier New"/>
      <w:color w:val="auto"/>
      <w:kern w:val="0"/>
      <w:sz w:val="20"/>
      <w:szCs w:val="20"/>
      <w:lang w:eastAsia="ru-RU" w:val="ru-RU" w:bidi="ar-SA"/>
    </w:rPr>
  </w:style>
  <w:style w:type="paragraph" w:styleId="formattext" w:customStyle="1">
    <w:name w:val="formattext"/>
    <w:qFormat/>
    <w:pPr>
      <w:widowControl w:val="false"/>
      <w:bidi w:val="0"/>
      <w:spacing w:lineRule="auto" w:line="240" w:before="0" w:after="0"/>
      <w:jc w:val="start"/>
    </w:pPr>
    <w:rPr>
      <w:rFonts w:ascii="Times New Roman" w:hAnsi="Times New Roman" w:eastAsia="Times New Roman" w:cs="Times New Roman"/>
      <w:color w:val="auto"/>
      <w:kern w:val="0"/>
      <w:sz w:val="18"/>
      <w:szCs w:val="18"/>
      <w:lang w:eastAsia="ru-RU" w:val="ru-RU" w:bidi="ar-SA"/>
    </w:rPr>
  </w:style>
  <w:style w:type="paragraph" w:styleId="216" w:customStyle="1">
    <w:name w:val="Обычный2"/>
    <w:qFormat/>
    <w:pPr>
      <w:widowControl/>
      <w:bidi w:val="0"/>
      <w:spacing w:lineRule="auto" w:line="240" w:before="0" w:after="0"/>
      <w:jc w:val="start"/>
    </w:pPr>
    <w:rPr>
      <w:rFonts w:ascii="Times New Roman" w:hAnsi="Times New Roman" w:eastAsia="Times New Roman" w:cs="Times New Roman"/>
      <w:color w:val="000000"/>
      <w:kern w:val="0"/>
      <w:sz w:val="24"/>
      <w:szCs w:val="20"/>
      <w:lang w:eastAsia="ru-RU" w:val="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numbering" w:styleId="Style38" w:default="1">
    <w:name w:val="Без списка"/>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2">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5">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A0B7E1"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A0B7E1"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A0B7E1"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A0B7E1"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A0B7E1"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A2C6E7"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A2C6E7"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A2C6E7"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A2C6E7"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9BC2E5" w:themeColor="accent5" w:sz="4" w:space="0"/>
        </w:tcBorders>
      </w:tcPr>
    </w:tblStylePr>
    <w:tblStylePr w:type="lastRow">
      <w:rPr>
        <w:b/>
        <w:color w:val="9bc2e5" w:themeColor="accent5" w:themeTint="9a" w:themeShade="95"/>
      </w:rPr>
      <w:tblPr/>
      <w:tcPr>
        <w:tcBorders>
          <w:top w:val="single" w:color="9BC2E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9BC2E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9BC2E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9BC2E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9BC2E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sz w:val="20"/>
      <w:szCs w:val="20"/>
      <w:lang w:eastAsia="ru-RU"/>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pPr>
      <w:spacing w:after="0" w:line="240" w:lineRule="auto"/>
    </w:pPr>
    <w:rPr>
      <w:sz w:val="20"/>
      <w:szCs w:val="20"/>
      <w:lang w:eastAsia="ru-RU"/>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sz w:val="20"/>
      <w:szCs w:val="20"/>
      <w:lang w:eastAsia="ru-RU"/>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sz w:val="20"/>
      <w:szCs w:val="20"/>
      <w:lang w:eastAsia="ru-RU"/>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sz w:val="20"/>
      <w:szCs w:val="20"/>
      <w:lang w:eastAsia="ru-RU"/>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pPr>
      <w:spacing w:after="0" w:line="240" w:lineRule="auto"/>
    </w:pPr>
    <w:rPr>
      <w:sz w:val="20"/>
      <w:szCs w:val="20"/>
      <w:lang w:eastAsia="ru-RU"/>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
    <w:name w:val="Table Grid"/>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
    <w:name w:val="Сетка таблицы1"/>
    <w:basedOn w:val="a1"/>
    <w:uiPriority w:val="9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c">
    <w:name w:val="Сетка таблицы2"/>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
    <w:name w:val="Сетка таблицы11"/>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2">
    <w:name w:val="Сетка таблицы21"/>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5">
    <w:name w:val="Table Simple 1"/>
    <w:basedOn w:val="a1"/>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d">
    <w:name w:val="Сетка таблицы3"/>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Простая таблица 11"/>
    <w:basedOn w:val="a1"/>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Сетка таблицы12"/>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Простая таблица 12"/>
    <w:basedOn w:val="a1"/>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Сетка таблицы4"/>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0">
    <w:name w:val="Сетка таблицы13"/>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A2475D86078A4440A3526E088B666D15"/>
        <w:category>
          <w:name w:val="Общие"/>
          <w:gallery w:val="placeholder"/>
        </w:category>
        <w:types>
          <w:type w:val="bbPlcHdr"/>
        </w:types>
        <w:behaviors>
          <w:behavior w:val="content"/>
        </w:behaviors>
        <w:guid w:val="{31123B8E-CBDB-4677-8AAE-C368F9428FEF}"/>
      </w:docPartPr>
      <w:docPartBody>
        <w:p w:rsidR="00000000" w:rsidRDefault="00D36705" w:rsidP="00D36705">
          <w:pPr>
            <w:pStyle w:val="A2475D86078A4440A3526E088B666D15"/>
          </w:pPr>
          <w:r>
            <w:rPr>
              <w:rStyle w:val="afb"/>
            </w:rPr>
            <w:t>Выберите элемент.</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000000"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1EF0" w:rsidRDefault="00F01EF0">
      <w:pPr>
        <w:spacing w:after="0" w:line="240" w:lineRule="auto"/>
      </w:pPr>
      <w:r>
        <w:separator/>
      </w:r>
    </w:p>
  </w:endnote>
  <w:endnote w:type="continuationSeparator" w:id="0">
    <w:p w:rsidR="00F01EF0" w:rsidRDefault="00F01EF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onsultant">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1EF0" w:rsidRDefault="00F01EF0">
      <w:pPr>
        <w:spacing w:after="0" w:line="240" w:lineRule="auto"/>
      </w:pPr>
      <w:r>
        <w:separator/>
      </w:r>
    </w:p>
  </w:footnote>
  <w:footnote w:type="continuationSeparator" w:id="0">
    <w:p w:rsidR="00F01EF0" w:rsidRDefault="00F01EF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D36705"/>
    <w:rsid w:val="00F0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762B-C183-42DC-A2FD-FC7E275A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LibreOffice/26.2.2.2$Linux_X86_64 LibreOffice_project/620$Build-2</Application>
  <AppVersion>15.0000</AppVersion>
  <Pages>12</Pages>
  <Words>4350</Words>
  <Characters>31012</Characters>
  <CharactersWithSpaces>35140</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2026-06-09T05:34:00Z</dcterms:created>
  <dc:creator>Roman Nurgaliev</dc:creator>
  <dc:description/>
  <dc:language>ru-RU</dc:language>
  <cp:lastModifiedBy/>
  <dcterms:modified xsi:type="dcterms:W3CDTF">2026-06-25T17:04:45Z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