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9CA79" w14:textId="77777777" w:rsidR="00E1318C" w:rsidRPr="00E1318C" w:rsidRDefault="00E1318C" w:rsidP="00E1318C">
      <w:pPr>
        <w:widowControl w:val="0"/>
        <w:spacing w:after="0"/>
        <w:jc w:val="right"/>
        <w:rPr>
          <w:rFonts w:eastAsia="SimSun" w:cs="Times New Roman"/>
          <w:sz w:val="22"/>
          <w:lang w:eastAsia="ru-RU"/>
        </w:rPr>
      </w:pPr>
      <w:bookmarkStart w:id="0" w:name="_Hlk195543648"/>
      <w:r w:rsidRPr="00E1318C">
        <w:rPr>
          <w:rFonts w:eastAsia="SimSun" w:cs="Times New Roman"/>
          <w:sz w:val="22"/>
          <w:lang w:eastAsia="ru-RU"/>
        </w:rPr>
        <w:t>Прило﻿‍​‍​⁠​‌⁠‌﻿‌⁠​‌‌‍‍‍‌‍‌‌‌​​﻿﻿‍﻿‍⁠‍⁠⁠‌﻿‍​⁠﻿﻿‌﻿жение № 2</w:t>
      </w:r>
    </w:p>
    <w:bookmarkEnd w:id="0"/>
    <w:p w14:paraId="3D25FEA7" w14:textId="77777777" w:rsidR="009E2F36" w:rsidRDefault="009E2F36" w:rsidP="00526D7D">
      <w:pPr>
        <w:tabs>
          <w:tab w:val="left" w:pos="426"/>
        </w:tabs>
        <w:suppressAutoHyphens/>
        <w:spacing w:after="0"/>
        <w:ind w:right="-1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14:paraId="3022876D" w14:textId="09CA9E42" w:rsidR="000C5043" w:rsidRPr="00526D7D" w:rsidRDefault="000C5043" w:rsidP="00526D7D">
      <w:pPr>
        <w:tabs>
          <w:tab w:val="left" w:pos="426"/>
        </w:tabs>
        <w:suppressAutoHyphens/>
        <w:spacing w:after="0"/>
        <w:ind w:right="-1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526D7D">
        <w:rPr>
          <w:rFonts w:eastAsia="Times New Roman" w:cs="Times New Roman"/>
          <w:b/>
          <w:bCs/>
          <w:sz w:val="22"/>
          <w:lang w:eastAsia="ru-RU"/>
        </w:rPr>
        <w:t>ТЕХНИЧЕСКОЕ ЗАДАНИЕ</w:t>
      </w:r>
    </w:p>
    <w:p w14:paraId="37B21F2A" w14:textId="4424DA46" w:rsidR="000C5043" w:rsidRPr="00526D7D" w:rsidRDefault="000C5043" w:rsidP="00526D7D">
      <w:pPr>
        <w:tabs>
          <w:tab w:val="left" w:pos="426"/>
        </w:tabs>
        <w:suppressAutoHyphens/>
        <w:spacing w:after="0"/>
        <w:ind w:right="-1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526D7D">
        <w:rPr>
          <w:rFonts w:eastAsia="Times New Roman" w:cs="Times New Roman"/>
          <w:b/>
          <w:bCs/>
          <w:sz w:val="22"/>
          <w:lang w:eastAsia="ru-RU"/>
        </w:rPr>
        <w:t xml:space="preserve">на поставку бутилированной питьевой воды </w:t>
      </w:r>
      <w:r w:rsidR="00724270">
        <w:rPr>
          <w:rFonts w:eastAsia="Times New Roman" w:cs="Times New Roman"/>
          <w:b/>
          <w:bCs/>
          <w:sz w:val="22"/>
          <w:lang w:eastAsia="ru-RU"/>
        </w:rPr>
        <w:t>для нужд АО «БРСК»</w:t>
      </w:r>
    </w:p>
    <w:p w14:paraId="47625B6F" w14:textId="77777777" w:rsidR="000C5043" w:rsidRPr="00526D7D" w:rsidRDefault="000C5043" w:rsidP="00526D7D">
      <w:pPr>
        <w:tabs>
          <w:tab w:val="left" w:pos="426"/>
        </w:tabs>
        <w:suppressAutoHyphens/>
        <w:spacing w:after="0"/>
        <w:ind w:right="-1"/>
        <w:rPr>
          <w:rFonts w:eastAsia="Times New Roman" w:cs="Times New Roman"/>
          <w:bCs/>
          <w:sz w:val="22"/>
          <w:lang w:eastAsia="ru-RU"/>
        </w:rPr>
      </w:pPr>
    </w:p>
    <w:p w14:paraId="235A8E9D" w14:textId="77777777" w:rsidR="000C5043" w:rsidRPr="00526D7D" w:rsidRDefault="00336360" w:rsidP="00526D7D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0" w:firstLine="0"/>
        <w:rPr>
          <w:rFonts w:eastAsia="Times New Roman" w:cs="Times New Roman"/>
          <w:b/>
          <w:bCs/>
          <w:sz w:val="22"/>
          <w:lang w:eastAsia="ru-RU"/>
        </w:rPr>
      </w:pPr>
      <w:r w:rsidRPr="00526D7D">
        <w:rPr>
          <w:rFonts w:eastAsia="Times New Roman" w:cs="Times New Roman"/>
          <w:b/>
          <w:bCs/>
          <w:sz w:val="22"/>
          <w:lang w:eastAsia="ru-RU"/>
        </w:rPr>
        <w:t>Объект закупки:</w:t>
      </w:r>
    </w:p>
    <w:tbl>
      <w:tblPr>
        <w:tblW w:w="48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28"/>
        <w:gridCol w:w="1440"/>
        <w:gridCol w:w="4045"/>
        <w:gridCol w:w="799"/>
        <w:gridCol w:w="1185"/>
      </w:tblGrid>
      <w:tr w:rsidR="00F4076E" w:rsidRPr="00526D7D" w14:paraId="59C1F620" w14:textId="77777777" w:rsidTr="00F4076E">
        <w:trPr>
          <w:trHeight w:val="20"/>
        </w:trPr>
        <w:tc>
          <w:tcPr>
            <w:tcW w:w="441" w:type="dxa"/>
            <w:hideMark/>
          </w:tcPr>
          <w:p w14:paraId="641DD5FB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п/п</w:t>
            </w:r>
          </w:p>
        </w:tc>
        <w:tc>
          <w:tcPr>
            <w:tcW w:w="1928" w:type="dxa"/>
          </w:tcPr>
          <w:p w14:paraId="67A6D9D2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товара</w:t>
            </w:r>
          </w:p>
        </w:tc>
        <w:tc>
          <w:tcPr>
            <w:tcW w:w="1440" w:type="dxa"/>
          </w:tcPr>
          <w:p w14:paraId="06FF2CC0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ОКПД 2</w:t>
            </w:r>
          </w:p>
        </w:tc>
        <w:tc>
          <w:tcPr>
            <w:tcW w:w="4045" w:type="dxa"/>
            <w:hideMark/>
          </w:tcPr>
          <w:p w14:paraId="594DA895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799" w:type="dxa"/>
          </w:tcPr>
          <w:p w14:paraId="13494675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Ед. изм.</w:t>
            </w:r>
          </w:p>
        </w:tc>
        <w:tc>
          <w:tcPr>
            <w:tcW w:w="1185" w:type="dxa"/>
            <w:hideMark/>
          </w:tcPr>
          <w:p w14:paraId="7D20A04F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Кол⁠‌‌​‍‌​⁠﻿﻿​﻿​​‌﻿-во</w:t>
            </w:r>
          </w:p>
          <w:p w14:paraId="67B30489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(объем закупки)</w:t>
            </w:r>
          </w:p>
        </w:tc>
      </w:tr>
      <w:tr w:rsidR="00F4076E" w:rsidRPr="00526D7D" w14:paraId="41015B0A" w14:textId="77777777" w:rsidTr="00F4076E">
        <w:trPr>
          <w:trHeight w:val="20"/>
        </w:trPr>
        <w:tc>
          <w:tcPr>
            <w:tcW w:w="441" w:type="dxa"/>
          </w:tcPr>
          <w:p w14:paraId="010C1B38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928" w:type="dxa"/>
          </w:tcPr>
          <w:p w14:paraId="487CF4E8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sz w:val="22"/>
                <w:lang w:eastAsia="ru-RU"/>
              </w:rPr>
              <w:t xml:space="preserve">Бутилированная питьевая вода </w:t>
            </w:r>
          </w:p>
        </w:tc>
        <w:tc>
          <w:tcPr>
            <w:tcW w:w="1440" w:type="dxa"/>
          </w:tcPr>
          <w:p w14:paraId="7CCC3FA5" w14:textId="77777777" w:rsidR="00F4076E" w:rsidRPr="00AC592D" w:rsidRDefault="00F4076E" w:rsidP="00526D7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>11.07.11.121</w:t>
            </w:r>
          </w:p>
        </w:tc>
        <w:tc>
          <w:tcPr>
            <w:tcW w:w="4045" w:type="dxa"/>
          </w:tcPr>
          <w:p w14:paraId="59CA802F" w14:textId="17041DC0" w:rsidR="00F4076E" w:rsidRPr="00AC592D" w:rsidRDefault="00F4076E" w:rsidP="00526D7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>Соответствует требованиям ГОСТ 32220-2013 «Вода питьевая, расфасованная в емкости. Общие технические условия»</w:t>
            </w:r>
          </w:p>
          <w:p w14:paraId="13F60A9F" w14:textId="05C3B435" w:rsidR="00AC592D" w:rsidRPr="00AC592D" w:rsidRDefault="00AC592D" w:rsidP="00526D7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>Вода питьевая негазированная</w:t>
            </w:r>
          </w:p>
          <w:p w14:paraId="48A47087" w14:textId="3FE4FB65" w:rsidR="00F4076E" w:rsidRPr="00AC592D" w:rsidRDefault="00F4076E" w:rsidP="00526D7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>Без посторонних включений, запаха, вкуса, поверхностной плёнки и осадка, не требующая кипячения</w:t>
            </w:r>
          </w:p>
          <w:p w14:paraId="62993667" w14:textId="77777777" w:rsidR="00AC592D" w:rsidRPr="00AC592D" w:rsidRDefault="00AC592D" w:rsidP="00AC592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>Ароматизаторы искусственного происхождения должны быть исключены</w:t>
            </w:r>
          </w:p>
          <w:p w14:paraId="2AC8F199" w14:textId="77777777" w:rsidR="00AC592D" w:rsidRPr="00AC592D" w:rsidRDefault="00AC592D" w:rsidP="00AC592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>Розлив воды в заводских условиях: соответствие</w:t>
            </w:r>
          </w:p>
          <w:p w14:paraId="4E8D16A0" w14:textId="7E263A45" w:rsidR="00AC592D" w:rsidRPr="00AC592D" w:rsidRDefault="00AC592D" w:rsidP="00AC592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>Упаковка должна обеспечивать герметичность и безопасность (ПЭТ-бутыли).</w:t>
            </w:r>
          </w:p>
          <w:p w14:paraId="544C9399" w14:textId="19C0851C" w:rsidR="00F4076E" w:rsidRPr="00AC592D" w:rsidRDefault="00AC592D" w:rsidP="00526D7D">
            <w:pPr>
              <w:tabs>
                <w:tab w:val="left" w:pos="426"/>
                <w:tab w:val="left" w:pos="2267"/>
              </w:tabs>
              <w:suppressAutoHyphens/>
              <w:spacing w:after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C592D">
              <w:rPr>
                <w:rFonts w:eastAsia="Times New Roman" w:cs="Times New Roman"/>
                <w:sz w:val="22"/>
                <w:lang w:eastAsia="ru-RU"/>
              </w:rPr>
              <w:t xml:space="preserve">Тара емкостью </w:t>
            </w:r>
            <w:r w:rsidR="00F4076E" w:rsidRPr="00AC592D">
              <w:rPr>
                <w:rFonts w:eastAsia="Times New Roman" w:cs="Times New Roman"/>
                <w:sz w:val="22"/>
                <w:lang w:eastAsia="ru-RU"/>
              </w:rPr>
              <w:t xml:space="preserve">не менее 18,9 л </w:t>
            </w:r>
          </w:p>
        </w:tc>
        <w:tc>
          <w:tcPr>
            <w:tcW w:w="799" w:type="dxa"/>
          </w:tcPr>
          <w:p w14:paraId="18C73DEF" w14:textId="77777777" w:rsidR="00F4076E" w:rsidRPr="00526D7D" w:rsidRDefault="00F4076E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6D7D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85" w:type="dxa"/>
          </w:tcPr>
          <w:p w14:paraId="2E9FBC23" w14:textId="60A1725D" w:rsidR="00F4076E" w:rsidRPr="00526D7D" w:rsidRDefault="00AC592D" w:rsidP="00526D7D">
            <w:pPr>
              <w:tabs>
                <w:tab w:val="left" w:pos="426"/>
              </w:tabs>
              <w:spacing w:after="0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6</w:t>
            </w:r>
            <w:r w:rsidR="00547CB6">
              <w:rPr>
                <w:rFonts w:eastAsia="Times New Roman" w:cs="Times New Roman"/>
                <w:bCs/>
                <w:sz w:val="22"/>
                <w:lang w:eastAsia="ru-RU"/>
              </w:rPr>
              <w:t>00</w:t>
            </w:r>
          </w:p>
        </w:tc>
      </w:tr>
    </w:tbl>
    <w:p w14:paraId="614BA70C" w14:textId="0B3EA5FE" w:rsidR="000C5043" w:rsidRPr="00724270" w:rsidRDefault="000C5043" w:rsidP="00526D7D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0" w:firstLine="0"/>
        <w:jc w:val="both"/>
        <w:rPr>
          <w:rFonts w:eastAsia="Times New Roman" w:cs="Times New Roman"/>
          <w:sz w:val="22"/>
          <w:lang w:eastAsia="ru-RU"/>
        </w:rPr>
      </w:pPr>
      <w:r w:rsidRPr="00724270">
        <w:rPr>
          <w:rFonts w:eastAsia="Times New Roman" w:cs="Times New Roman"/>
          <w:b/>
          <w:bCs/>
          <w:sz w:val="22"/>
          <w:lang w:eastAsia="ru-RU"/>
        </w:rPr>
        <w:t>Место (адрес) поставки товара:</w:t>
      </w:r>
      <w:r w:rsidRPr="00724270">
        <w:rPr>
          <w:rFonts w:eastAsia="Times New Roman" w:cs="Times New Roman"/>
          <w:sz w:val="22"/>
          <w:lang w:eastAsia="ru-RU"/>
        </w:rPr>
        <w:t xml:space="preserve"> </w:t>
      </w:r>
      <w:r w:rsidR="00526D7D" w:rsidRPr="00724270">
        <w:rPr>
          <w:rFonts w:cs="Times New Roman"/>
          <w:sz w:val="22"/>
        </w:rPr>
        <w:t>Российская Федерация, Республика Башкортостан, г. Уфа, Крупск</w:t>
      </w:r>
      <w:r w:rsidR="00724270">
        <w:rPr>
          <w:rFonts w:cs="Times New Roman"/>
          <w:sz w:val="22"/>
        </w:rPr>
        <w:t>ой, д.</w:t>
      </w:r>
      <w:r w:rsidR="00526D7D" w:rsidRPr="00724270">
        <w:rPr>
          <w:rFonts w:cs="Times New Roman"/>
          <w:sz w:val="22"/>
        </w:rPr>
        <w:t xml:space="preserve"> 9</w:t>
      </w:r>
      <w:r w:rsidR="00657195" w:rsidRPr="00724270">
        <w:rPr>
          <w:rFonts w:eastAsia="Times New Roman" w:cs="Times New Roman"/>
          <w:sz w:val="22"/>
        </w:rPr>
        <w:t xml:space="preserve">. </w:t>
      </w:r>
    </w:p>
    <w:p w14:paraId="1998BF73" w14:textId="66F2FAA7" w:rsidR="00AC592D" w:rsidRPr="00AC592D" w:rsidRDefault="000C5043" w:rsidP="00AC592D">
      <w:pPr>
        <w:numPr>
          <w:ilvl w:val="0"/>
          <w:numId w:val="1"/>
        </w:numPr>
        <w:tabs>
          <w:tab w:val="left" w:pos="426"/>
        </w:tabs>
        <w:suppressAutoHyphens/>
        <w:spacing w:after="0"/>
        <w:ind w:left="0" w:firstLine="0"/>
        <w:jc w:val="both"/>
        <w:rPr>
          <w:rFonts w:eastAsia="Times New Roman" w:cs="Times New Roman"/>
          <w:sz w:val="22"/>
          <w:lang w:eastAsia="ru-RU"/>
        </w:rPr>
      </w:pPr>
      <w:r w:rsidRPr="00526D7D">
        <w:rPr>
          <w:rFonts w:eastAsia="Times New Roman" w:cs="Times New Roman"/>
          <w:b/>
          <w:bCs/>
          <w:sz w:val="22"/>
          <w:lang w:eastAsia="ru-RU"/>
        </w:rPr>
        <w:t>Условия и срок (период, график) поставки товара:</w:t>
      </w:r>
      <w:r w:rsidR="00AC592D" w:rsidRPr="00AC592D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="00AC592D" w:rsidRPr="00AC592D">
        <w:rPr>
          <w:rFonts w:eastAsia="Times New Roman" w:cs="Times New Roman"/>
          <w:sz w:val="22"/>
          <w:lang w:eastAsia="ru-RU"/>
        </w:rPr>
        <w:t>с даты подписания договора до 28 февраля 2027 года, по заявкам Заказчика.</w:t>
      </w:r>
    </w:p>
    <w:p w14:paraId="2E545120" w14:textId="2E911BC7" w:rsidR="000C5043" w:rsidRPr="00526D7D" w:rsidRDefault="00AC592D" w:rsidP="00AC592D">
      <w:pPr>
        <w:tabs>
          <w:tab w:val="left" w:pos="426"/>
        </w:tabs>
        <w:suppressAutoHyphens/>
        <w:spacing w:after="0"/>
        <w:jc w:val="both"/>
        <w:rPr>
          <w:rFonts w:eastAsia="Times New Roman" w:cs="Times New Roman"/>
          <w:sz w:val="22"/>
          <w:lang w:eastAsia="ru-RU"/>
        </w:rPr>
      </w:pPr>
      <w:r w:rsidRPr="00AC592D">
        <w:rPr>
          <w:rFonts w:eastAsia="Times New Roman" w:cs="Times New Roman"/>
          <w:sz w:val="22"/>
          <w:lang w:eastAsia="ru-RU"/>
        </w:rPr>
        <w:t>Поставка осуществляется по заявке, в которой указывается количество товара. Заявки направляются по электронной почте, факсу, телефонограммой либо другим приемлемым для обеих сторон способом (телефонная связь). Поставка осуществляется не позднее следующего дня.</w:t>
      </w:r>
    </w:p>
    <w:p w14:paraId="3A0ED0CB" w14:textId="77777777" w:rsidR="00AC592D" w:rsidRDefault="00AC592D" w:rsidP="00AC592D">
      <w:pPr>
        <w:numPr>
          <w:ilvl w:val="1"/>
          <w:numId w:val="1"/>
        </w:numPr>
        <w:tabs>
          <w:tab w:val="left" w:pos="426"/>
        </w:tabs>
        <w:suppressAutoHyphens/>
        <w:spacing w:after="0"/>
        <w:ind w:left="0" w:firstLine="0"/>
        <w:jc w:val="both"/>
        <w:rPr>
          <w:rFonts w:eastAsia="Times New Roman" w:cs="Times New Roman"/>
          <w:sz w:val="22"/>
          <w:lang w:eastAsia="ru-RU"/>
        </w:rPr>
      </w:pPr>
      <w:r w:rsidRPr="00AC592D">
        <w:rPr>
          <w:rFonts w:eastAsia="Times New Roman" w:cs="Times New Roman"/>
          <w:sz w:val="22"/>
          <w:lang w:eastAsia="ru-RU"/>
        </w:rPr>
        <w:t xml:space="preserve">Доставка, погрузочно-разгрузочные работы, осуществляется силами Поставщика. </w:t>
      </w:r>
    </w:p>
    <w:p w14:paraId="379D9786" w14:textId="103F6B37" w:rsidR="00AC592D" w:rsidRPr="00AC592D" w:rsidRDefault="00AC592D" w:rsidP="00AC592D">
      <w:pPr>
        <w:numPr>
          <w:ilvl w:val="1"/>
          <w:numId w:val="1"/>
        </w:numPr>
        <w:tabs>
          <w:tab w:val="left" w:pos="426"/>
        </w:tabs>
        <w:suppressAutoHyphens/>
        <w:spacing w:after="0"/>
        <w:ind w:left="0" w:firstLine="0"/>
        <w:jc w:val="both"/>
        <w:rPr>
          <w:rFonts w:eastAsia="Times New Roman" w:cs="Times New Roman"/>
          <w:sz w:val="22"/>
          <w:lang w:eastAsia="ru-RU"/>
        </w:rPr>
      </w:pPr>
      <w:r w:rsidRPr="00526D7D">
        <w:rPr>
          <w:rFonts w:eastAsia="Times New Roman" w:cs="Times New Roman"/>
          <w:sz w:val="22"/>
          <w:lang w:eastAsia="ru-RU"/>
        </w:rPr>
        <w:t>Товар поставляется в бутылях (в дальнейшем именуемые – «Тара»), являющаяся оборотной (возвратной) тарой.</w:t>
      </w:r>
      <w:r w:rsidRPr="00AC592D">
        <w:t xml:space="preserve"> </w:t>
      </w:r>
      <w:r w:rsidRPr="00526D7D">
        <w:rPr>
          <w:rFonts w:eastAsia="Times New Roman" w:cs="Times New Roman"/>
          <w:sz w:val="22"/>
          <w:lang w:eastAsia="ru-RU"/>
        </w:rPr>
        <w:t>Вывоз пустой тары обеспечивается Поставщиком при осуществлении очередной доставки Товара.</w:t>
      </w:r>
    </w:p>
    <w:p w14:paraId="1BC18B07" w14:textId="33CAD3B6" w:rsidR="000C5043" w:rsidRPr="00526D7D" w:rsidRDefault="00AC592D" w:rsidP="00AC592D">
      <w:pPr>
        <w:numPr>
          <w:ilvl w:val="1"/>
          <w:numId w:val="1"/>
        </w:numPr>
        <w:tabs>
          <w:tab w:val="left" w:pos="426"/>
        </w:tabs>
        <w:suppressAutoHyphens/>
        <w:spacing w:after="0"/>
        <w:ind w:left="0" w:firstLine="0"/>
        <w:jc w:val="both"/>
        <w:rPr>
          <w:rFonts w:eastAsia="Times New Roman" w:cs="Times New Roman"/>
          <w:sz w:val="22"/>
          <w:lang w:eastAsia="ru-RU"/>
        </w:rPr>
      </w:pPr>
      <w:r w:rsidRPr="00AC592D">
        <w:rPr>
          <w:rFonts w:eastAsia="Times New Roman" w:cs="Times New Roman"/>
          <w:sz w:val="22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8505277" w14:textId="09E7DEAB" w:rsidR="00657195" w:rsidRPr="00526D7D" w:rsidRDefault="000C5043" w:rsidP="00AC592D">
      <w:pPr>
        <w:numPr>
          <w:ilvl w:val="1"/>
          <w:numId w:val="1"/>
        </w:numPr>
        <w:tabs>
          <w:tab w:val="left" w:pos="426"/>
        </w:tabs>
        <w:suppressAutoHyphens/>
        <w:spacing w:after="0"/>
        <w:ind w:left="0" w:firstLine="0"/>
        <w:jc w:val="both"/>
        <w:rPr>
          <w:rFonts w:eastAsia="Calibri"/>
          <w:b/>
          <w:bCs/>
          <w:sz w:val="22"/>
        </w:rPr>
      </w:pPr>
      <w:r w:rsidRPr="00724270">
        <w:rPr>
          <w:rFonts w:eastAsia="Times New Roman" w:cs="Times New Roman"/>
          <w:b/>
          <w:bCs/>
          <w:sz w:val="22"/>
          <w:lang w:eastAsia="ru-RU"/>
        </w:rPr>
        <w:t xml:space="preserve">Период </w:t>
      </w:r>
      <w:r w:rsidRPr="00AC592D">
        <w:rPr>
          <w:rFonts w:eastAsia="Times New Roman" w:cs="Times New Roman"/>
          <w:b/>
          <w:bCs/>
          <w:sz w:val="22"/>
          <w:lang w:eastAsia="ru-RU"/>
        </w:rPr>
        <w:t>поставки</w:t>
      </w:r>
      <w:r w:rsidR="00657195" w:rsidRPr="00AC592D">
        <w:rPr>
          <w:rFonts w:eastAsia="Calibri"/>
          <w:b/>
          <w:bCs/>
          <w:sz w:val="22"/>
        </w:rPr>
        <w:t>4. Требования к безопасности, качеству, к функциональным характеристикам (потребительским</w:t>
      </w:r>
      <w:r w:rsidR="00657195" w:rsidRPr="00526D7D">
        <w:rPr>
          <w:rFonts w:eastAsia="Calibri"/>
          <w:b/>
          <w:bCs/>
          <w:sz w:val="22"/>
        </w:rPr>
        <w:t xml:space="preserve"> свойствам) товара, требования к упаковке поставляемого товара:</w:t>
      </w:r>
    </w:p>
    <w:p w14:paraId="0C7865D1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1E6BA74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Федеральным законом от 02.01.2000 № 29-ФЗ «О качестве и безопасности пищевых продуктов»;</w:t>
      </w:r>
    </w:p>
    <w:p w14:paraId="0B8B981C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Федеральным закон от 30.03.1999 № 52-ФЗ «О санитарно-эпидемиологическом благополучии населения»;</w:t>
      </w:r>
    </w:p>
    <w:p w14:paraId="055724D9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СанПиН 2.3.2.1324-03 «Гигиенические требования к срокам годности и условиям хранения пищевых продуктов»;</w:t>
      </w:r>
    </w:p>
    <w:p w14:paraId="7B2D458D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СанПиН 2.3.2.1078-01 «Гигиенические требования к безопасности и пищевой ценности пищевых продуктов»;</w:t>
      </w:r>
    </w:p>
    <w:p w14:paraId="12D23408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bCs/>
          <w:sz w:val="22"/>
        </w:rPr>
      </w:pPr>
      <w:r w:rsidRPr="00526D7D">
        <w:rPr>
          <w:rFonts w:eastAsia="Calibri"/>
          <w:bCs/>
          <w:sz w:val="22"/>
        </w:rPr>
        <w:t>- СанПин 2.1.4.1116-2002 «Питьевая вода. Гигиенические требования к качеству воды, расфасованной в емкости. Контроль качества».</w:t>
      </w:r>
    </w:p>
    <w:p w14:paraId="2522C297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ГОСТ Р 51074-2003 Продукты пищевые. Информация для потребителя. Общие требования;</w:t>
      </w:r>
    </w:p>
    <w:p w14:paraId="418FF0B9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</w:t>
      </w:r>
      <w:r w:rsidRPr="00526D7D">
        <w:rPr>
          <w:rFonts w:eastAsia="Calibri"/>
          <w:sz w:val="22"/>
        </w:rPr>
        <w:lastRenderedPageBreak/>
        <w:t>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A12C931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ТР ТС 021/2011 «О безопасности пищевой продукции»;</w:t>
      </w:r>
    </w:p>
    <w:p w14:paraId="4DBD2A6D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ТР ТС 022/2011 «Пищевая продукция в части ее маркировки»;</w:t>
      </w:r>
    </w:p>
    <w:p w14:paraId="6D117854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ТР ТС 005/2011 «О безопасности упаковки»;</w:t>
      </w:r>
    </w:p>
    <w:p w14:paraId="52421B76" w14:textId="77777777" w:rsidR="00657195" w:rsidRPr="00526D7D" w:rsidRDefault="00657195" w:rsidP="00526D7D">
      <w:pPr>
        <w:numPr>
          <w:ilvl w:val="0"/>
          <w:numId w:val="4"/>
        </w:numPr>
        <w:tabs>
          <w:tab w:val="left" w:pos="426"/>
        </w:tabs>
        <w:suppressAutoHyphens/>
        <w:spacing w:after="0"/>
        <w:ind w:left="0" w:firstLine="0"/>
        <w:jc w:val="both"/>
        <w:rPr>
          <w:rFonts w:eastAsia="Times New Roman" w:cs="Times New Roman"/>
          <w:sz w:val="22"/>
          <w:lang w:eastAsia="ru-RU"/>
        </w:rPr>
      </w:pPr>
      <w:r w:rsidRPr="00526D7D">
        <w:rPr>
          <w:rFonts w:eastAsia="Times New Roman" w:cs="Times New Roman"/>
          <w:sz w:val="22"/>
          <w:lang w:val="en-US" w:eastAsia="ru-RU"/>
        </w:rPr>
        <w:t>TP</w:t>
      </w:r>
      <w:r w:rsidRPr="00526D7D">
        <w:rPr>
          <w:rFonts w:eastAsia="Times New Roman" w:cs="Times New Roman"/>
          <w:sz w:val="22"/>
          <w:lang w:eastAsia="ru-RU"/>
        </w:rPr>
        <w:t xml:space="preserve"> ЕАЭС 044/2017 «Безопасности упакованной питьевой воды, включая природную минеральную воду»;</w:t>
      </w:r>
    </w:p>
    <w:p w14:paraId="4D245BE7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6E68530" w14:textId="7B1715DC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bookmarkStart w:id="1" w:name="_Hlk1388127"/>
      <w:r w:rsidRPr="00526D7D">
        <w:rPr>
          <w:rFonts w:eastAsia="Calibri"/>
          <w:sz w:val="22"/>
        </w:rPr>
        <w:t xml:space="preserve">4.2. Поставляемый товар должен быть расфасован и упакован в материалы, разрешенные для </w:t>
      </w:r>
      <w:r w:rsidR="00526D7D" w:rsidRPr="00526D7D">
        <w:rPr>
          <w:rFonts w:eastAsia="Calibri"/>
          <w:sz w:val="22"/>
        </w:rPr>
        <w:t>Договор</w:t>
      </w:r>
      <w:r w:rsidRPr="00526D7D">
        <w:rPr>
          <w:rFonts w:eastAsia="Calibri"/>
          <w:sz w:val="22"/>
        </w:rPr>
        <w:t>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49034DD" w14:textId="77777777" w:rsidR="00657195" w:rsidRPr="00526D7D" w:rsidRDefault="00657195" w:rsidP="00526D7D">
      <w:pPr>
        <w:widowControl w:val="0"/>
        <w:tabs>
          <w:tab w:val="left" w:pos="142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3B48E57E" w14:textId="77777777" w:rsidR="00657195" w:rsidRPr="00526D7D" w:rsidRDefault="00657195" w:rsidP="00526D7D">
      <w:pPr>
        <w:widowControl w:val="0"/>
        <w:tabs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1"/>
    <w:p w14:paraId="7698D921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b/>
          <w:bCs/>
          <w:sz w:val="22"/>
        </w:rPr>
      </w:pPr>
      <w:r w:rsidRPr="00526D7D">
        <w:rPr>
          <w:rFonts w:eastAsia="Calibri"/>
          <w:b/>
          <w:bCs/>
          <w:sz w:val="22"/>
        </w:rPr>
        <w:t>5. Требования к сроку и (или) объему предоставления гарантий качества товаров:</w:t>
      </w:r>
    </w:p>
    <w:p w14:paraId="60CEB654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535B1B8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7EFCDB1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5B2BDDE" w14:textId="5DF5A5D4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b/>
          <w:bCs/>
          <w:sz w:val="22"/>
        </w:rPr>
      </w:pPr>
      <w:r w:rsidRPr="00526D7D">
        <w:rPr>
          <w:rFonts w:eastAsia="Calibri"/>
          <w:b/>
          <w:bCs/>
          <w:sz w:val="22"/>
        </w:rPr>
        <w:t>6. Требования к условиям отгрузк</w:t>
      </w:r>
      <w:r w:rsidR="00AC592D">
        <w:rPr>
          <w:rFonts w:eastAsia="Calibri"/>
          <w:b/>
          <w:bCs/>
          <w:sz w:val="22"/>
        </w:rPr>
        <w:t>и</w:t>
      </w:r>
      <w:r w:rsidRPr="00526D7D">
        <w:rPr>
          <w:rFonts w:eastAsia="Calibri"/>
          <w:b/>
          <w:bCs/>
          <w:sz w:val="22"/>
        </w:rPr>
        <w:t xml:space="preserve"> товара:</w:t>
      </w:r>
    </w:p>
    <w:p w14:paraId="734E0DEF" w14:textId="3F50AFCE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6.</w:t>
      </w:r>
      <w:r w:rsidR="008A2E53">
        <w:rPr>
          <w:rFonts w:eastAsia="Calibri"/>
          <w:sz w:val="22"/>
        </w:rPr>
        <w:t>1</w:t>
      </w:r>
      <w:r w:rsidRPr="00526D7D">
        <w:rPr>
          <w:rFonts w:eastAsia="Calibri"/>
          <w:sz w:val="22"/>
        </w:rPr>
        <w:t>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4798F80" w14:textId="4CA922C4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6.</w:t>
      </w:r>
      <w:r w:rsidR="008A2E53">
        <w:rPr>
          <w:rFonts w:eastAsia="Calibri"/>
          <w:sz w:val="22"/>
        </w:rPr>
        <w:t>2</w:t>
      </w:r>
      <w:r w:rsidRPr="00526D7D">
        <w:rPr>
          <w:rFonts w:eastAsia="Calibri"/>
          <w:sz w:val="22"/>
        </w:rPr>
        <w:t>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682D6C7" w14:textId="2A53A395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6.</w:t>
      </w:r>
      <w:r w:rsidR="008A2E53">
        <w:rPr>
          <w:rFonts w:eastAsia="Calibri"/>
          <w:sz w:val="22"/>
        </w:rPr>
        <w:t>3</w:t>
      </w:r>
      <w:r w:rsidRPr="00526D7D">
        <w:rPr>
          <w:rFonts w:eastAsia="Calibri"/>
          <w:sz w:val="22"/>
        </w:rPr>
        <w:t>. Товар должен сопровождаться следующими документами:</w:t>
      </w:r>
    </w:p>
    <w:p w14:paraId="34764964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– товарная накладная (ТОРГ-12) или УПД (оригиналы);</w:t>
      </w:r>
    </w:p>
    <w:p w14:paraId="38EA448A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– счет на оплату (оригиналы);</w:t>
      </w:r>
    </w:p>
    <w:p w14:paraId="0E54395A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– счет-фактура или УПД (оригиналы);</w:t>
      </w:r>
    </w:p>
    <w:p w14:paraId="5028F5A8" w14:textId="77777777" w:rsidR="00657195" w:rsidRPr="00526D7D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– копия сертификата соответствия или декларации соответствия.</w:t>
      </w:r>
    </w:p>
    <w:p w14:paraId="4E64FE34" w14:textId="4810CB1C" w:rsidR="000C5043" w:rsidRDefault="00657195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  <w:r w:rsidRPr="00526D7D">
        <w:rPr>
          <w:rFonts w:eastAsia="Calibri"/>
          <w:sz w:val="22"/>
        </w:rPr>
        <w:t>6.</w:t>
      </w:r>
      <w:r w:rsidR="008A2E53">
        <w:rPr>
          <w:rFonts w:eastAsia="Calibri"/>
          <w:sz w:val="22"/>
        </w:rPr>
        <w:t>4</w:t>
      </w:r>
      <w:r w:rsidRPr="00526D7D">
        <w:rPr>
          <w:rFonts w:eastAsia="Calibri"/>
          <w:sz w:val="22"/>
        </w:rPr>
        <w:t>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F90D7DB" w14:textId="77777777" w:rsidR="00724270" w:rsidRDefault="00724270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</w:p>
    <w:p w14:paraId="684EDB13" w14:textId="77777777" w:rsidR="00724270" w:rsidRDefault="00724270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</w:p>
    <w:p w14:paraId="6E55F918" w14:textId="77777777" w:rsidR="00724270" w:rsidRDefault="00724270" w:rsidP="00526D7D">
      <w:pPr>
        <w:widowControl w:val="0"/>
        <w:tabs>
          <w:tab w:val="left" w:pos="-851"/>
          <w:tab w:val="left" w:pos="426"/>
        </w:tabs>
        <w:spacing w:after="0"/>
        <w:jc w:val="both"/>
        <w:rPr>
          <w:rFonts w:eastAsia="Calibri"/>
          <w:sz w:val="22"/>
        </w:rPr>
      </w:pPr>
    </w:p>
    <w:sectPr w:rsidR="00724270" w:rsidSect="00526D7D">
      <w:headerReference w:type="default" r:id="rId7"/>
      <w:footerReference w:type="default" r:id="rId8"/>
      <w:pgSz w:w="11906" w:h="16838" w:code="9"/>
      <w:pgMar w:top="1134" w:right="707" w:bottom="1418" w:left="1134" w:header="720" w:footer="408" w:gutter="0"/>
      <w:cols w:space="720"/>
      <w:docGrid w:linePitch="381"/>
    </w:sectPr>
    <!-- MKR-1234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F156D" w14:textId="77777777" w:rsidR="00840182" w:rsidRDefault="00840182">
      <w:pPr>
        <w:spacing w:after="0"/>
      </w:pPr>
      <w:r>
        <w:separator/>
      </w:r>
    </w:p>
  </w:endnote>
  <w:endnote w:type="continuationSeparator" w:id="0">
    <w:p w14:paraId="14B26CE1" w14:textId="77777777" w:rsidR="00840182" w:rsidRDefault="008401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0065"/>
    </w:tblGrid>
    <w:tr w:rsidR="00D42A70" w:rsidRPr="0031687F" w14:paraId="6686AB02" w14:textId="77777777" w:rsidTr="00B14359">
      <w:trPr>
        <w:trHeight w:val="129"/>
      </w:trPr>
      <w:tc>
        <w:tcPr>
          <w:tcW w:w="15393" w:type="dxa"/>
        </w:tcPr>
        <w:p w14:paraId="0A973987" w14:textId="77777777" w:rsidR="000E4F84" w:rsidRPr="0031687F" w:rsidRDefault="000E4F84" w:rsidP="00A70855">
          <w:pPr>
            <w:spacing w:line="100" w:lineRule="atLeast"/>
            <w:jc w:val="right"/>
            <w:rPr>
              <w:sz w:val="20"/>
              <w:szCs w:val="20"/>
            </w:rPr>
          </w:pPr>
        </w:p>
      </w:tc>
    </w:tr>
    <w:tr w:rsidR="00D42A70" w:rsidRPr="0031687F" w14:paraId="69007E5D" w14:textId="77777777" w:rsidTr="00B14359">
      <w:trPr>
        <w:trHeight w:val="138"/>
      </w:trPr>
      <w:tc>
        <w:tcPr>
          <w:tcW w:w="15393" w:type="dxa"/>
        </w:tcPr>
        <w:p w14:paraId="575B6A0E" w14:textId="6BE1329C" w:rsidR="000E4F84" w:rsidRPr="0031687F" w:rsidRDefault="000E4F84" w:rsidP="00526D7D">
          <w:pPr>
            <w:pStyle w:val="a3"/>
            <w:rPr>
              <w:sz w:val="20"/>
              <w:szCs w:val="20"/>
            </w:rPr>
          </w:pPr>
        </w:p>
      </w:tc>
    </w:tr>
  </w:tbl>
  <w:p w14:paraId="52FCA979" w14:textId="77777777" w:rsidR="000E4F84" w:rsidRPr="00B27C92" w:rsidRDefault="000E4F84">
    <w:pPr>
      <w:pStyle w:val="a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F2EB2" w14:textId="77777777" w:rsidR="00840182" w:rsidRDefault="00840182">
      <w:pPr>
        <w:spacing w:after="0"/>
      </w:pPr>
      <w:r>
        <w:separator/>
      </w:r>
    </w:p>
  </w:footnote>
  <w:footnote w:type="continuationSeparator" w:id="0">
    <w:p w14:paraId="0D903515" w14:textId="77777777" w:rsidR="00840182" w:rsidRDefault="008401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8B3C" w14:textId="77777777" w:rsidR="000E4F84" w:rsidRPr="00A70855" w:rsidRDefault="000E4F84" w:rsidP="00B14359">
    <w:pPr>
      <w:spacing w:line="100" w:lineRule="atLea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132F"/>
    <w:multiLevelType w:val="hybridMultilevel"/>
    <w:tmpl w:val="12B89B44"/>
    <w:lvl w:ilvl="0" w:tplc="93688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831C5B"/>
    <w:multiLevelType w:val="hybridMultilevel"/>
    <w:tmpl w:val="7CFC32CC"/>
    <w:lvl w:ilvl="0" w:tplc="93688E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BB7EBE"/>
    <w:multiLevelType w:val="multilevel"/>
    <w:tmpl w:val="BD305E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color w:val="auto"/>
      </w:rPr>
    </w:lvl>
  </w:abstractNum>
  <w:abstractNum w:abstractNumId="3" w15:restartNumberingAfterBreak="0">
    <w:nsid w:val="46DA55E9"/>
    <w:multiLevelType w:val="hybridMultilevel"/>
    <w:tmpl w:val="9F2243C2"/>
    <w:lvl w:ilvl="0" w:tplc="93688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3D602D"/>
    <w:multiLevelType w:val="hybridMultilevel"/>
    <w:tmpl w:val="D70683D8"/>
    <w:lvl w:ilvl="0" w:tplc="971CAC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1C7FBE"/>
    <w:multiLevelType w:val="multilevel"/>
    <w:tmpl w:val="B9209C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6" w15:restartNumberingAfterBreak="0">
    <w:nsid w:val="6F014535"/>
    <w:multiLevelType w:val="hybridMultilevel"/>
    <w:tmpl w:val="9C981C80"/>
    <w:lvl w:ilvl="0" w:tplc="93688E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43"/>
    <w:rsid w:val="000C5043"/>
    <w:rsid w:val="000E4F84"/>
    <w:rsid w:val="0018356C"/>
    <w:rsid w:val="001C16D6"/>
    <w:rsid w:val="00217DED"/>
    <w:rsid w:val="00325E54"/>
    <w:rsid w:val="00336360"/>
    <w:rsid w:val="003860FF"/>
    <w:rsid w:val="004008D5"/>
    <w:rsid w:val="00506B71"/>
    <w:rsid w:val="00515F19"/>
    <w:rsid w:val="00526D7D"/>
    <w:rsid w:val="00547CB6"/>
    <w:rsid w:val="0058598C"/>
    <w:rsid w:val="005B45AF"/>
    <w:rsid w:val="005D0D82"/>
    <w:rsid w:val="00657195"/>
    <w:rsid w:val="006C0B77"/>
    <w:rsid w:val="00710772"/>
    <w:rsid w:val="00724270"/>
    <w:rsid w:val="007616DC"/>
    <w:rsid w:val="007B25B3"/>
    <w:rsid w:val="008118C4"/>
    <w:rsid w:val="008242FF"/>
    <w:rsid w:val="00840182"/>
    <w:rsid w:val="00870751"/>
    <w:rsid w:val="00880C58"/>
    <w:rsid w:val="008A2E53"/>
    <w:rsid w:val="00922C48"/>
    <w:rsid w:val="009E2F36"/>
    <w:rsid w:val="00A223A7"/>
    <w:rsid w:val="00AC592D"/>
    <w:rsid w:val="00B24EEE"/>
    <w:rsid w:val="00B915B7"/>
    <w:rsid w:val="00BB3F18"/>
    <w:rsid w:val="00BC15D2"/>
    <w:rsid w:val="00D222E7"/>
    <w:rsid w:val="00E1318C"/>
    <w:rsid w:val="00E35C1B"/>
    <w:rsid w:val="00E87622"/>
    <w:rsid w:val="00EA59DF"/>
    <w:rsid w:val="00EE4070"/>
    <w:rsid w:val="00EF0661"/>
    <w:rsid w:val="00F12C76"/>
    <w:rsid w:val="00F16D59"/>
    <w:rsid w:val="00F4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2EA1"/>
  <w15:chartTrackingRefBased/>
  <w15:docId w15:val="{98DECB15-1637-4D1D-93F6-D754668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5043"/>
    <w:pPr>
      <w:tabs>
        <w:tab w:val="center" w:pos="4677"/>
        <w:tab w:val="right" w:pos="9355"/>
      </w:tabs>
      <w:suppressAutoHyphens/>
      <w:spacing w:after="0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C50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571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6D7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26D7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DOC-MARKER-tu5eciSarbga_IL77my0IA</dc:description>
  <cp:lastModifiedBy>User119</cp:lastModifiedBy>
  <cp:revision>7</cp:revision>
  <dcterms:created xsi:type="dcterms:W3CDTF">2026-05-22T11:02:00Z</dcterms:created>
  <dcterms:modified xsi:type="dcterms:W3CDTF">2026-05-22T11:17:00Z</dcterms:modified>
</cp:coreProperties>
</file>