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7A7FF" w14:textId="77777777" w:rsidR="00A457B0" w:rsidRDefault="00C36EED">
      <w:pPr>
        <w:pStyle w:val="13"/>
        <w:ind w:left="-567"/>
        <w:jc w:val="center"/>
        <w:rPr>
          <w:b/>
          <w:sz w:val="28"/>
          <w:szCs w:val="28"/>
          <w:lang w:val="ru-RU"/>
        </w:rPr>
      </w:pPr>
      <w:r w:rsidRPr="000A0B83">
        <w:rPr>
          <w:b/>
          <w:sz w:val="28"/>
          <w:szCs w:val="28"/>
          <w:lang w:val="ru-RU"/>
        </w:rPr>
        <w:t>ТЕХНИЧЕСКОЕ ЗАДАНИЕ</w:t>
      </w:r>
    </w:p>
    <w:p w14:paraId="289E4D98" w14:textId="77777777" w:rsidR="00754D18" w:rsidRPr="000A0B83" w:rsidRDefault="00754D18">
      <w:pPr>
        <w:pStyle w:val="13"/>
        <w:ind w:left="-567"/>
        <w:jc w:val="center"/>
        <w:rPr>
          <w:b/>
          <w:sz w:val="28"/>
          <w:szCs w:val="28"/>
          <w:lang w:val="ru-RU"/>
        </w:rPr>
      </w:pPr>
    </w:p>
    <w:p w14:paraId="1501ADFB" w14:textId="39374EF5" w:rsidR="0020796C" w:rsidRDefault="00C36EED" w:rsidP="000B4DDA">
      <w:pPr>
        <w:spacing w:line="254" w:lineRule="auto"/>
        <w:jc w:val="center"/>
        <w:rPr>
          <w:b/>
          <w:color w:val="000000"/>
          <w:sz w:val="28"/>
          <w:szCs w:val="28"/>
        </w:rPr>
      </w:pPr>
      <w:r w:rsidRPr="000A0B83">
        <w:rPr>
          <w:b/>
          <w:color w:val="000000"/>
          <w:sz w:val="28"/>
          <w:szCs w:val="28"/>
        </w:rPr>
        <w:t xml:space="preserve">на </w:t>
      </w:r>
      <w:r w:rsidR="005E58F6">
        <w:rPr>
          <w:b/>
          <w:color w:val="000000"/>
          <w:sz w:val="28"/>
          <w:szCs w:val="28"/>
        </w:rPr>
        <w:t>п</w:t>
      </w:r>
      <w:r w:rsidR="005E58F6" w:rsidRPr="005E58F6">
        <w:rPr>
          <w:b/>
          <w:color w:val="000000"/>
          <w:sz w:val="28"/>
          <w:szCs w:val="28"/>
        </w:rPr>
        <w:t>оставк</w:t>
      </w:r>
      <w:r w:rsidR="005E58F6">
        <w:rPr>
          <w:b/>
          <w:color w:val="000000"/>
          <w:sz w:val="28"/>
          <w:szCs w:val="28"/>
        </w:rPr>
        <w:t>у</w:t>
      </w:r>
      <w:r w:rsidR="005E58F6" w:rsidRPr="005E58F6">
        <w:rPr>
          <w:b/>
          <w:color w:val="000000"/>
          <w:sz w:val="28"/>
          <w:szCs w:val="28"/>
        </w:rPr>
        <w:t xml:space="preserve"> контейнерной площадки</w:t>
      </w:r>
    </w:p>
    <w:p w14:paraId="5CA4945D" w14:textId="59BBF80D" w:rsidR="00A457B0" w:rsidRPr="000A0B83" w:rsidRDefault="00A457B0" w:rsidP="000B4DDA">
      <w:pPr>
        <w:spacing w:line="254" w:lineRule="auto"/>
        <w:jc w:val="center"/>
        <w:rPr>
          <w:b/>
          <w:color w:val="000000"/>
          <w:sz w:val="28"/>
          <w:szCs w:val="28"/>
        </w:rPr>
      </w:pPr>
    </w:p>
    <w:p w14:paraId="49D39CEB" w14:textId="77777777" w:rsidR="00341926" w:rsidRPr="001666E9" w:rsidRDefault="00C36EED" w:rsidP="00A967B4">
      <w:pPr>
        <w:tabs>
          <w:tab w:val="left" w:pos="567"/>
          <w:tab w:val="left" w:pos="851"/>
        </w:tabs>
        <w:autoSpaceDE w:val="0"/>
        <w:autoSpaceDN w:val="0"/>
        <w:adjustRightInd w:val="0"/>
        <w:ind w:right="-142" w:firstLine="426"/>
        <w:jc w:val="both"/>
        <w:rPr>
          <w:color w:val="000000"/>
        </w:rPr>
      </w:pPr>
      <w:r w:rsidRPr="001666E9">
        <w:rPr>
          <w:rFonts w:eastAsia="Calibri"/>
          <w:b/>
        </w:rPr>
        <w:t>1.</w:t>
      </w:r>
      <w:r w:rsidRPr="000A0B83">
        <w:rPr>
          <w:rFonts w:eastAsia="Calibri"/>
          <w:b/>
          <w:sz w:val="28"/>
          <w:szCs w:val="28"/>
        </w:rPr>
        <w:t xml:space="preserve"> </w:t>
      </w:r>
      <w:r w:rsidR="005411BC" w:rsidRPr="001666E9">
        <w:rPr>
          <w:b/>
          <w:color w:val="000000"/>
        </w:rPr>
        <w:t xml:space="preserve">Заказчик: </w:t>
      </w:r>
      <w:r w:rsidR="005411BC" w:rsidRPr="001666E9">
        <w:rPr>
          <w:color w:val="000000"/>
        </w:rPr>
        <w:t>Краевое государственное автономное учреждение дополнительного образования «СПОРТИВНАЯ ШКОЛА ОЛИМПИЙСКОГО РЕЗЕРВА «ЕРОФЕЙ».</w:t>
      </w:r>
    </w:p>
    <w:p w14:paraId="19A02394" w14:textId="030FF6D6" w:rsidR="00D15E13" w:rsidRPr="001666E9" w:rsidRDefault="00D15E13" w:rsidP="00A967B4">
      <w:pPr>
        <w:tabs>
          <w:tab w:val="left" w:pos="567"/>
          <w:tab w:val="left" w:pos="851"/>
        </w:tabs>
        <w:autoSpaceDE w:val="0"/>
        <w:autoSpaceDN w:val="0"/>
        <w:adjustRightInd w:val="0"/>
        <w:ind w:right="-142" w:firstLine="426"/>
        <w:jc w:val="both"/>
        <w:rPr>
          <w:color w:val="000000"/>
        </w:rPr>
      </w:pPr>
      <w:r w:rsidRPr="001666E9">
        <w:rPr>
          <w:b/>
          <w:color w:val="000000"/>
        </w:rPr>
        <w:t xml:space="preserve">2. Цель: </w:t>
      </w:r>
      <w:r w:rsidR="00C258B4" w:rsidRPr="001666E9">
        <w:rPr>
          <w:color w:val="000000"/>
        </w:rPr>
        <w:t xml:space="preserve">соблюдение </w:t>
      </w:r>
      <w:r w:rsidR="00341926" w:rsidRPr="001666E9">
        <w:rPr>
          <w:color w:val="000000"/>
        </w:rPr>
        <w:t>Постановления Правительства РФ в редакции от 07.03.2025 № 293 «Правила обустройства мест (площадок) накопления твердых коммунальных отходов и ведения их реестра»</w:t>
      </w:r>
      <w:r w:rsidRPr="001666E9">
        <w:rPr>
          <w:color w:val="000000"/>
        </w:rPr>
        <w:t>.</w:t>
      </w:r>
    </w:p>
    <w:p w14:paraId="532C144A" w14:textId="2702C80B" w:rsidR="005411BC" w:rsidRPr="001666E9" w:rsidRDefault="00D15E13" w:rsidP="00A967B4">
      <w:pPr>
        <w:tabs>
          <w:tab w:val="left" w:pos="709"/>
          <w:tab w:val="left" w:pos="851"/>
        </w:tabs>
        <w:autoSpaceDE w:val="0"/>
        <w:autoSpaceDN w:val="0"/>
        <w:adjustRightInd w:val="0"/>
        <w:ind w:right="-142" w:firstLine="426"/>
        <w:jc w:val="both"/>
        <w:rPr>
          <w:b/>
          <w:color w:val="000000"/>
        </w:rPr>
      </w:pPr>
      <w:r w:rsidRPr="001666E9">
        <w:rPr>
          <w:b/>
          <w:bCs/>
          <w:color w:val="000000"/>
        </w:rPr>
        <w:t>3</w:t>
      </w:r>
      <w:r w:rsidR="005411BC" w:rsidRPr="001666E9">
        <w:rPr>
          <w:b/>
          <w:bCs/>
          <w:color w:val="000000"/>
        </w:rPr>
        <w:t>. Срок поставки</w:t>
      </w:r>
      <w:r w:rsidR="005411BC" w:rsidRPr="001666E9">
        <w:rPr>
          <w:bCs/>
          <w:color w:val="000000"/>
        </w:rPr>
        <w:t xml:space="preserve">: </w:t>
      </w:r>
      <w:r w:rsidR="005411BC" w:rsidRPr="001666E9">
        <w:t xml:space="preserve">в течение </w:t>
      </w:r>
      <w:r w:rsidR="004E33A7">
        <w:t>30</w:t>
      </w:r>
      <w:r w:rsidR="005411BC" w:rsidRPr="001666E9">
        <w:t xml:space="preserve"> (</w:t>
      </w:r>
      <w:r w:rsidR="004E33A7">
        <w:t>тридцати</w:t>
      </w:r>
      <w:r w:rsidR="005411BC" w:rsidRPr="001666E9">
        <w:t xml:space="preserve">) </w:t>
      </w:r>
      <w:r w:rsidR="004E33A7">
        <w:t>рабочих</w:t>
      </w:r>
      <w:r w:rsidR="005411BC" w:rsidRPr="001666E9">
        <w:t xml:space="preserve"> дней с момента заключения договора</w:t>
      </w:r>
      <w:r w:rsidR="005411BC" w:rsidRPr="001666E9">
        <w:rPr>
          <w:color w:val="000000"/>
        </w:rPr>
        <w:t>.</w:t>
      </w:r>
    </w:p>
    <w:p w14:paraId="30DC8C80" w14:textId="3511AB62" w:rsidR="00A457B0" w:rsidRPr="001666E9" w:rsidRDefault="00D15E13" w:rsidP="00A967B4">
      <w:pPr>
        <w:tabs>
          <w:tab w:val="left" w:pos="709"/>
          <w:tab w:val="left" w:pos="851"/>
        </w:tabs>
        <w:autoSpaceDE w:val="0"/>
        <w:autoSpaceDN w:val="0"/>
        <w:adjustRightInd w:val="0"/>
        <w:ind w:right="-142" w:firstLine="426"/>
        <w:jc w:val="both"/>
        <w:rPr>
          <w:b/>
          <w:color w:val="000000"/>
        </w:rPr>
      </w:pPr>
      <w:r w:rsidRPr="001666E9">
        <w:rPr>
          <w:rFonts w:eastAsia="Calibri"/>
          <w:b/>
        </w:rPr>
        <w:t>4</w:t>
      </w:r>
      <w:r w:rsidR="005411BC" w:rsidRPr="001666E9">
        <w:rPr>
          <w:rFonts w:eastAsia="Calibri"/>
          <w:b/>
        </w:rPr>
        <w:t xml:space="preserve">. </w:t>
      </w:r>
      <w:r w:rsidR="00C36EED" w:rsidRPr="001666E9">
        <w:rPr>
          <w:rFonts w:eastAsia="Calibri"/>
          <w:b/>
        </w:rPr>
        <w:t>Общие положения</w:t>
      </w:r>
    </w:p>
    <w:p w14:paraId="5BCEAB23" w14:textId="7E1A8851" w:rsidR="00A457B0" w:rsidRPr="001666E9" w:rsidRDefault="00D15E13" w:rsidP="00A967B4">
      <w:pPr>
        <w:tabs>
          <w:tab w:val="left" w:pos="540"/>
        </w:tabs>
        <w:ind w:firstLine="426"/>
        <w:jc w:val="both"/>
      </w:pPr>
      <w:r w:rsidRPr="001666E9">
        <w:t>4</w:t>
      </w:r>
      <w:r w:rsidR="00C36EED" w:rsidRPr="001666E9">
        <w:t>.</w:t>
      </w:r>
      <w:r w:rsidR="009F06E2">
        <w:t>1</w:t>
      </w:r>
      <w:r w:rsidR="00C36EED" w:rsidRPr="001666E9">
        <w:t xml:space="preserve"> Поставка Товара включает в себя:</w:t>
      </w:r>
    </w:p>
    <w:p w14:paraId="43DDE0D3" w14:textId="77777777" w:rsidR="0010309F" w:rsidRPr="0010309F" w:rsidRDefault="0010309F" w:rsidP="0010309F">
      <w:pPr>
        <w:pStyle w:val="af4"/>
        <w:tabs>
          <w:tab w:val="left" w:pos="12616"/>
        </w:tabs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309F">
        <w:rPr>
          <w:rFonts w:ascii="Times New Roman" w:eastAsia="Times New Roman" w:hAnsi="Times New Roman"/>
          <w:sz w:val="24"/>
          <w:szCs w:val="24"/>
          <w:lang w:eastAsia="ru-RU"/>
        </w:rPr>
        <w:t>- Производство/приобретение Товара;</w:t>
      </w:r>
    </w:p>
    <w:p w14:paraId="3206CBFB" w14:textId="77777777" w:rsidR="0010309F" w:rsidRPr="0010309F" w:rsidRDefault="0010309F" w:rsidP="0010309F">
      <w:pPr>
        <w:pStyle w:val="af4"/>
        <w:tabs>
          <w:tab w:val="left" w:pos="12616"/>
        </w:tabs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309F">
        <w:rPr>
          <w:rFonts w:ascii="Times New Roman" w:eastAsia="Times New Roman" w:hAnsi="Times New Roman"/>
          <w:sz w:val="24"/>
          <w:szCs w:val="24"/>
          <w:lang w:eastAsia="ru-RU"/>
        </w:rPr>
        <w:t>- Доставку Товара в адрес Заказчика;</w:t>
      </w:r>
    </w:p>
    <w:p w14:paraId="49CC210B" w14:textId="77777777" w:rsidR="0010309F" w:rsidRPr="0010309F" w:rsidRDefault="0010309F" w:rsidP="0010309F">
      <w:pPr>
        <w:pStyle w:val="af4"/>
        <w:tabs>
          <w:tab w:val="left" w:pos="12616"/>
        </w:tabs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309F">
        <w:rPr>
          <w:rFonts w:ascii="Times New Roman" w:eastAsia="Times New Roman" w:hAnsi="Times New Roman"/>
          <w:sz w:val="24"/>
          <w:szCs w:val="24"/>
          <w:lang w:eastAsia="ru-RU"/>
        </w:rPr>
        <w:t>- Установка товара;</w:t>
      </w:r>
    </w:p>
    <w:p w14:paraId="75D109AE" w14:textId="5A839433" w:rsidR="00A457B0" w:rsidRPr="001666E9" w:rsidRDefault="0010309F" w:rsidP="0010309F">
      <w:pPr>
        <w:pStyle w:val="af4"/>
        <w:tabs>
          <w:tab w:val="left" w:pos="12616"/>
        </w:tabs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0309F">
        <w:rPr>
          <w:rFonts w:ascii="Times New Roman" w:eastAsia="Times New Roman" w:hAnsi="Times New Roman"/>
          <w:sz w:val="24"/>
          <w:szCs w:val="24"/>
          <w:lang w:eastAsia="ru-RU"/>
        </w:rPr>
        <w:t>- Исполнение гарантийных обязательств</w:t>
      </w:r>
      <w:r w:rsidR="00C36EED" w:rsidRPr="001666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1A02EDEA" w14:textId="09290CE7" w:rsidR="00A457B0" w:rsidRPr="00D70AE8" w:rsidRDefault="00D15E13" w:rsidP="00A967B4">
      <w:pPr>
        <w:pStyle w:val="af4"/>
        <w:tabs>
          <w:tab w:val="left" w:pos="12616"/>
        </w:tabs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66E9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36EED" w:rsidRPr="001666E9">
        <w:rPr>
          <w:rFonts w:ascii="Times New Roman" w:eastAsia="Times New Roman" w:hAnsi="Times New Roman"/>
          <w:sz w:val="24"/>
          <w:szCs w:val="24"/>
          <w:lang w:eastAsia="ru-RU"/>
        </w:rPr>
        <w:t xml:space="preserve">.2. </w:t>
      </w:r>
      <w:r w:rsidR="00A858F8" w:rsidRPr="00102BAE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поставки: </w:t>
      </w:r>
      <w:r w:rsidR="00C36EED" w:rsidRPr="00102BAE">
        <w:rPr>
          <w:rFonts w:ascii="Times New Roman" w:eastAsia="Times New Roman" w:hAnsi="Times New Roman"/>
          <w:sz w:val="24"/>
          <w:szCs w:val="24"/>
          <w:lang w:eastAsia="ru-RU"/>
        </w:rPr>
        <w:t xml:space="preserve">Доставка </w:t>
      </w:r>
      <w:r w:rsidR="00D70AE8" w:rsidRPr="00102BAE">
        <w:rPr>
          <w:rFonts w:ascii="Times New Roman" w:eastAsia="Times New Roman" w:hAnsi="Times New Roman"/>
          <w:sz w:val="24"/>
          <w:szCs w:val="24"/>
          <w:lang w:eastAsia="ru-RU"/>
        </w:rPr>
        <w:t>и установка</w:t>
      </w:r>
      <w:r w:rsidR="00C36EED" w:rsidRPr="00102BAE">
        <w:rPr>
          <w:rFonts w:ascii="Times New Roman" w:eastAsia="Times New Roman" w:hAnsi="Times New Roman"/>
          <w:sz w:val="24"/>
          <w:szCs w:val="24"/>
          <w:lang w:eastAsia="ru-RU"/>
        </w:rPr>
        <w:t xml:space="preserve"> Товара осуществляются силами и средствами Поставщика</w:t>
      </w:r>
      <w:r w:rsidR="00C36EED" w:rsidRPr="00102BAE">
        <w:rPr>
          <w:color w:val="000000" w:themeColor="text1"/>
          <w:sz w:val="24"/>
          <w:szCs w:val="24"/>
        </w:rPr>
        <w:t xml:space="preserve"> </w:t>
      </w:r>
      <w:r w:rsidR="006E6CD4" w:rsidRPr="00102BAE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D70AE8" w:rsidRPr="00102BAE">
        <w:rPr>
          <w:rFonts w:ascii="Times New Roman" w:hAnsi="Times New Roman"/>
          <w:color w:val="000000" w:themeColor="text1"/>
          <w:sz w:val="24"/>
          <w:szCs w:val="24"/>
        </w:rPr>
        <w:t>о а</w:t>
      </w:r>
      <w:r w:rsidR="00C36EED" w:rsidRPr="00102BAE">
        <w:rPr>
          <w:rFonts w:ascii="Times New Roman" w:hAnsi="Times New Roman"/>
          <w:color w:val="000000" w:themeColor="text1"/>
          <w:sz w:val="24"/>
          <w:szCs w:val="24"/>
        </w:rPr>
        <w:t>дрес</w:t>
      </w:r>
      <w:r w:rsidR="00D70AE8" w:rsidRPr="00102B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C36EED" w:rsidRPr="00102BAE">
        <w:rPr>
          <w:rFonts w:ascii="Times New Roman" w:hAnsi="Times New Roman"/>
          <w:color w:val="000000" w:themeColor="text1"/>
          <w:sz w:val="24"/>
          <w:szCs w:val="24"/>
        </w:rPr>
        <w:t>: 680012, г. Хабаровск, ул. Павла Морозова</w:t>
      </w:r>
      <w:r w:rsidR="00C36EED" w:rsidRPr="00102BAE">
        <w:rPr>
          <w:rFonts w:ascii="Times New Roman" w:hAnsi="Times New Roman"/>
          <w:sz w:val="24"/>
          <w:szCs w:val="24"/>
        </w:rPr>
        <w:t xml:space="preserve"> </w:t>
      </w:r>
      <w:r w:rsidR="00C36EED" w:rsidRPr="00102BAE">
        <w:rPr>
          <w:rFonts w:ascii="Times New Roman" w:hAnsi="Times New Roman"/>
          <w:color w:val="000000" w:themeColor="text1"/>
          <w:sz w:val="24"/>
          <w:szCs w:val="24"/>
        </w:rPr>
        <w:t>Леонтьевича, дом 83.</w:t>
      </w:r>
      <w:r w:rsidR="00AD49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CF31767" w14:textId="1B3B9D25" w:rsidR="00A457B0" w:rsidRPr="001666E9" w:rsidRDefault="00D15E13" w:rsidP="00A967B4">
      <w:pPr>
        <w:tabs>
          <w:tab w:val="left" w:pos="0"/>
          <w:tab w:val="left" w:pos="284"/>
          <w:tab w:val="left" w:pos="1186"/>
        </w:tabs>
        <w:ind w:firstLine="426"/>
        <w:jc w:val="both"/>
        <w:rPr>
          <w:color w:val="000000"/>
        </w:rPr>
      </w:pPr>
      <w:r w:rsidRPr="00102BAE">
        <w:rPr>
          <w:color w:val="000000"/>
        </w:rPr>
        <w:t>4</w:t>
      </w:r>
      <w:r w:rsidR="00C36EED" w:rsidRPr="00102BAE">
        <w:rPr>
          <w:color w:val="000000"/>
        </w:rPr>
        <w:t>.</w:t>
      </w:r>
      <w:r w:rsidR="006E6CD4" w:rsidRPr="00102BAE">
        <w:rPr>
          <w:color w:val="000000"/>
        </w:rPr>
        <w:t>3</w:t>
      </w:r>
      <w:r w:rsidR="00C36EED" w:rsidRPr="00102BAE">
        <w:rPr>
          <w:color w:val="000000"/>
        </w:rPr>
        <w:t xml:space="preserve">. </w:t>
      </w:r>
      <w:r w:rsidR="0010309F" w:rsidRPr="00102BAE">
        <w:rPr>
          <w:color w:val="000000"/>
        </w:rPr>
        <w:t xml:space="preserve">В </w:t>
      </w:r>
      <w:r w:rsidR="004E33A7">
        <w:rPr>
          <w:color w:val="000000"/>
        </w:rPr>
        <w:t>цену договора</w:t>
      </w:r>
      <w:r w:rsidR="0010309F" w:rsidRPr="00102BAE">
        <w:rPr>
          <w:color w:val="000000"/>
        </w:rPr>
        <w:t xml:space="preserve"> включены все расходы Поставщика, в том числе: производство/приобретение и установка Товара, доставка (перевозка), погрузочно-разгрузочные работы, исполнение гарантийных обязательств, другие обязательные платежи, а также иные затраты, связанные с поставкой (доставкой), производством, приобретением и установкой Поставщиком Товара.</w:t>
      </w:r>
    </w:p>
    <w:p w14:paraId="14D5C2D5" w14:textId="5301745F" w:rsidR="00A457B0" w:rsidRPr="001666E9" w:rsidRDefault="00D15E13" w:rsidP="00A967B4">
      <w:pPr>
        <w:ind w:firstLine="426"/>
        <w:jc w:val="both"/>
        <w:outlineLvl w:val="0"/>
        <w:rPr>
          <w:rFonts w:eastAsia="Calibri"/>
          <w:b/>
        </w:rPr>
      </w:pPr>
      <w:r w:rsidRPr="001666E9">
        <w:rPr>
          <w:rFonts w:eastAsia="Calibri"/>
          <w:b/>
        </w:rPr>
        <w:t>5</w:t>
      </w:r>
      <w:r w:rsidR="00C36EED" w:rsidRPr="001666E9">
        <w:rPr>
          <w:rFonts w:eastAsia="Calibri"/>
          <w:b/>
        </w:rPr>
        <w:t>. Характеристики Товара:</w:t>
      </w:r>
    </w:p>
    <w:p w14:paraId="3B825285" w14:textId="48EC9213" w:rsidR="00A967B4" w:rsidRDefault="00D15E13" w:rsidP="00A967B4">
      <w:pPr>
        <w:ind w:firstLine="426"/>
        <w:jc w:val="both"/>
        <w:outlineLvl w:val="0"/>
        <w:rPr>
          <w:color w:val="000000"/>
        </w:rPr>
      </w:pPr>
      <w:r w:rsidRPr="001666E9">
        <w:rPr>
          <w:color w:val="000000"/>
        </w:rPr>
        <w:t>5</w:t>
      </w:r>
      <w:r w:rsidR="00C36EED" w:rsidRPr="001666E9">
        <w:rPr>
          <w:color w:val="000000"/>
        </w:rPr>
        <w:t>.1. Наименование, количество</w:t>
      </w:r>
      <w:r w:rsidR="002360EB">
        <w:rPr>
          <w:color w:val="000000"/>
        </w:rPr>
        <w:t xml:space="preserve"> и</w:t>
      </w:r>
      <w:r w:rsidR="00C36EED" w:rsidRPr="001666E9">
        <w:rPr>
          <w:color w:val="000000"/>
        </w:rPr>
        <w:t xml:space="preserve"> характеристики Товара указаны в Таблице № 1 настоящего Технического</w:t>
      </w:r>
      <w:r w:rsidR="00341926" w:rsidRPr="001666E9">
        <w:rPr>
          <w:color w:val="000000"/>
        </w:rPr>
        <w:t xml:space="preserve"> </w:t>
      </w:r>
      <w:r w:rsidR="00C36EED" w:rsidRPr="001666E9">
        <w:rPr>
          <w:color w:val="000000"/>
        </w:rPr>
        <w:t>задани</w:t>
      </w:r>
      <w:r w:rsidR="00341926" w:rsidRPr="001666E9">
        <w:rPr>
          <w:color w:val="000000"/>
        </w:rPr>
        <w:t>я.</w:t>
      </w:r>
      <w:r w:rsidR="00FA5A49" w:rsidRPr="001666E9">
        <w:rPr>
          <w:color w:val="000000"/>
        </w:rPr>
        <w:t xml:space="preserve"> </w:t>
      </w:r>
    </w:p>
    <w:p w14:paraId="150B57CB" w14:textId="11A48B91" w:rsidR="006F6220" w:rsidRPr="00844523" w:rsidRDefault="00C36EED" w:rsidP="00844523">
      <w:pPr>
        <w:jc w:val="both"/>
        <w:outlineLvl w:val="0"/>
        <w:rPr>
          <w:rFonts w:eastAsia="Calibri"/>
        </w:rPr>
      </w:pPr>
      <w:r w:rsidRPr="001666E9">
        <w:rPr>
          <w:rFonts w:eastAsia="Calibri"/>
        </w:rPr>
        <w:t>Таблица № 1</w:t>
      </w:r>
    </w:p>
    <w:tbl>
      <w:tblPr>
        <w:tblW w:w="10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118"/>
        <w:gridCol w:w="1135"/>
        <w:gridCol w:w="2552"/>
        <w:gridCol w:w="709"/>
        <w:gridCol w:w="2268"/>
      </w:tblGrid>
      <w:tr w:rsidR="00452BD8" w:rsidRPr="00FF513B" w14:paraId="1706B13D" w14:textId="77777777" w:rsidTr="00452BD8">
        <w:tc>
          <w:tcPr>
            <w:tcW w:w="567" w:type="dxa"/>
            <w:shd w:val="clear" w:color="auto" w:fill="FFFFFF"/>
            <w:vAlign w:val="center"/>
          </w:tcPr>
          <w:p w14:paraId="6F33BA12" w14:textId="77777777" w:rsidR="00452BD8" w:rsidRPr="001666E9" w:rsidRDefault="00452BD8" w:rsidP="002E32FA">
            <w:pPr>
              <w:widowControl w:val="0"/>
              <w:shd w:val="clear" w:color="auto" w:fill="FFFFFF"/>
              <w:tabs>
                <w:tab w:val="left" w:pos="10490"/>
              </w:tabs>
              <w:ind w:right="-1"/>
              <w:jc w:val="center"/>
              <w:rPr>
                <w:bCs/>
              </w:rPr>
            </w:pPr>
            <w:r w:rsidRPr="001666E9">
              <w:rPr>
                <w:bCs/>
              </w:rPr>
              <w:t>№</w:t>
            </w:r>
          </w:p>
          <w:p w14:paraId="2E762EA4" w14:textId="77777777" w:rsidR="00452BD8" w:rsidRPr="001666E9" w:rsidRDefault="00452BD8" w:rsidP="002E32FA">
            <w:pPr>
              <w:widowControl w:val="0"/>
              <w:shd w:val="clear" w:color="auto" w:fill="FFFFFF"/>
              <w:tabs>
                <w:tab w:val="left" w:pos="10490"/>
              </w:tabs>
              <w:ind w:right="-1"/>
              <w:jc w:val="center"/>
              <w:rPr>
                <w:bCs/>
              </w:rPr>
            </w:pPr>
            <w:r w:rsidRPr="001666E9">
              <w:rPr>
                <w:bCs/>
              </w:rPr>
              <w:t>п/п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06E804DA" w14:textId="77777777" w:rsidR="00452BD8" w:rsidRPr="001666E9" w:rsidRDefault="00452BD8" w:rsidP="002E32FA">
            <w:pPr>
              <w:widowControl w:val="0"/>
              <w:shd w:val="clear" w:color="auto" w:fill="FFFFFF"/>
              <w:tabs>
                <w:tab w:val="left" w:pos="10490"/>
              </w:tabs>
              <w:ind w:left="5" w:right="-1" w:hanging="3"/>
              <w:jc w:val="center"/>
              <w:rPr>
                <w:bCs/>
              </w:rPr>
            </w:pPr>
            <w:r w:rsidRPr="001666E9">
              <w:rPr>
                <w:bCs/>
              </w:rPr>
              <w:t>Наименование и количество товара</w:t>
            </w:r>
          </w:p>
        </w:tc>
        <w:tc>
          <w:tcPr>
            <w:tcW w:w="1135" w:type="dxa"/>
            <w:shd w:val="clear" w:color="auto" w:fill="FFFFFF"/>
          </w:tcPr>
          <w:p w14:paraId="7B0612B8" w14:textId="77777777" w:rsidR="00452BD8" w:rsidRDefault="00452BD8" w:rsidP="002E32FA">
            <w:pPr>
              <w:widowControl w:val="0"/>
              <w:shd w:val="clear" w:color="auto" w:fill="FFFFFF"/>
              <w:ind w:left="45" w:firstLine="99"/>
              <w:contextualSpacing/>
              <w:jc w:val="center"/>
              <w:rPr>
                <w:bCs/>
              </w:rPr>
            </w:pPr>
          </w:p>
          <w:p w14:paraId="7FD29E4F" w14:textId="223EB6B5" w:rsidR="00452BD8" w:rsidRPr="001666E9" w:rsidRDefault="00452BD8" w:rsidP="00452BD8">
            <w:pPr>
              <w:widowControl w:val="0"/>
              <w:shd w:val="clear" w:color="auto" w:fill="FFFFFF"/>
              <w:ind w:left="45" w:firstLine="99"/>
              <w:contextualSpacing/>
              <w:rPr>
                <w:bCs/>
              </w:rPr>
            </w:pPr>
            <w:r>
              <w:rPr>
                <w:bCs/>
              </w:rPr>
              <w:t>ОКПД2</w:t>
            </w:r>
            <w:r w:rsidR="00F12644">
              <w:rPr>
                <w:bCs/>
              </w:rPr>
              <w:t>, Нац. режим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0E0EC650" w14:textId="63F66D79" w:rsidR="00452BD8" w:rsidRPr="001666E9" w:rsidRDefault="00452BD8" w:rsidP="002E32FA">
            <w:pPr>
              <w:widowControl w:val="0"/>
              <w:shd w:val="clear" w:color="auto" w:fill="FFFFFF"/>
              <w:ind w:left="45" w:firstLine="99"/>
              <w:contextualSpacing/>
              <w:jc w:val="center"/>
              <w:rPr>
                <w:bCs/>
              </w:rPr>
            </w:pPr>
            <w:r w:rsidRPr="001666E9">
              <w:rPr>
                <w:bCs/>
              </w:rPr>
              <w:t>Характеристика товара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7DA977E" w14:textId="77777777" w:rsidR="00452BD8" w:rsidRPr="001666E9" w:rsidRDefault="00452BD8" w:rsidP="002E32FA">
            <w:pPr>
              <w:widowControl w:val="0"/>
              <w:shd w:val="clear" w:color="auto" w:fill="FFFFFF"/>
              <w:ind w:firstLine="99"/>
              <w:contextualSpacing/>
              <w:jc w:val="center"/>
              <w:rPr>
                <w:bCs/>
              </w:rPr>
            </w:pPr>
            <w:r w:rsidRPr="001666E9">
              <w:rPr>
                <w:bCs/>
              </w:rPr>
              <w:t>Ед. изм.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7F2B1F6" w14:textId="77777777" w:rsidR="00452BD8" w:rsidRPr="001666E9" w:rsidRDefault="00452BD8" w:rsidP="002E32FA">
            <w:pPr>
              <w:ind w:left="45" w:firstLine="99"/>
              <w:jc w:val="center"/>
              <w:rPr>
                <w:bCs/>
              </w:rPr>
            </w:pPr>
            <w:r w:rsidRPr="001666E9">
              <w:rPr>
                <w:bCs/>
              </w:rPr>
              <w:t>Требуемое значение характеристики товара</w:t>
            </w:r>
          </w:p>
          <w:p w14:paraId="44A20781" w14:textId="77777777" w:rsidR="00452BD8" w:rsidRPr="001666E9" w:rsidRDefault="00452BD8" w:rsidP="002E32FA">
            <w:pPr>
              <w:widowControl w:val="0"/>
              <w:shd w:val="clear" w:color="auto" w:fill="FFFFFF"/>
              <w:ind w:left="45" w:firstLine="99"/>
              <w:contextualSpacing/>
              <w:jc w:val="center"/>
              <w:rPr>
                <w:bCs/>
              </w:rPr>
            </w:pPr>
          </w:p>
        </w:tc>
      </w:tr>
      <w:tr w:rsidR="00452BD8" w:rsidRPr="00FF513B" w14:paraId="402771DD" w14:textId="77777777" w:rsidTr="00452BD8">
        <w:trPr>
          <w:trHeight w:val="360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14:paraId="76CA2EAC" w14:textId="77777777" w:rsidR="00452BD8" w:rsidRPr="001666E9" w:rsidRDefault="00452BD8" w:rsidP="002E32FA">
            <w:pPr>
              <w:widowControl w:val="0"/>
              <w:shd w:val="clear" w:color="auto" w:fill="FFFFFF"/>
              <w:contextualSpacing/>
              <w:jc w:val="center"/>
              <w:rPr>
                <w:bCs/>
              </w:rPr>
            </w:pPr>
            <w:r w:rsidRPr="001666E9">
              <w:rPr>
                <w:bCs/>
              </w:rPr>
              <w:t>1.</w:t>
            </w:r>
          </w:p>
        </w:tc>
        <w:tc>
          <w:tcPr>
            <w:tcW w:w="3118" w:type="dxa"/>
            <w:vMerge w:val="restart"/>
            <w:shd w:val="clear" w:color="auto" w:fill="FFFFFF"/>
            <w:vAlign w:val="center"/>
          </w:tcPr>
          <w:p w14:paraId="456D818F" w14:textId="77777777" w:rsidR="00452BD8" w:rsidRDefault="00452BD8" w:rsidP="002E32FA">
            <w:pPr>
              <w:widowControl w:val="0"/>
              <w:shd w:val="clear" w:color="auto" w:fill="FFFFFF"/>
              <w:tabs>
                <w:tab w:val="left" w:pos="10490"/>
              </w:tabs>
              <w:ind w:right="-1"/>
              <w:rPr>
                <w:bCs/>
              </w:rPr>
            </w:pPr>
            <w:r w:rsidRPr="001666E9">
              <w:rPr>
                <w:bCs/>
              </w:rPr>
              <w:t>Ограждение площадки для накопления ТКО с крышей и воротами</w:t>
            </w:r>
          </w:p>
          <w:p w14:paraId="15101535" w14:textId="77777777" w:rsidR="00452BD8" w:rsidRDefault="00452BD8" w:rsidP="002E32FA">
            <w:pPr>
              <w:widowControl w:val="0"/>
              <w:shd w:val="clear" w:color="auto" w:fill="FFFFFF"/>
              <w:tabs>
                <w:tab w:val="left" w:pos="10490"/>
              </w:tabs>
              <w:ind w:right="-1"/>
              <w:rPr>
                <w:bCs/>
              </w:rPr>
            </w:pPr>
          </w:p>
          <w:p w14:paraId="6BEAE6B7" w14:textId="7F64B1B3" w:rsidR="00452BD8" w:rsidRPr="001666E9" w:rsidRDefault="00452BD8" w:rsidP="002E32FA">
            <w:pPr>
              <w:widowControl w:val="0"/>
              <w:shd w:val="clear" w:color="auto" w:fill="FFFFFF"/>
              <w:tabs>
                <w:tab w:val="left" w:pos="10490"/>
              </w:tabs>
              <w:ind w:right="-1"/>
              <w:rPr>
                <w:bCs/>
              </w:rPr>
            </w:pPr>
            <w:r>
              <w:rPr>
                <w:noProof/>
              </w:rPr>
              <w:drawing>
                <wp:inline distT="0" distB="0" distL="0" distR="0" wp14:anchorId="55022B9E" wp14:editId="0000208D">
                  <wp:extent cx="1707117" cy="1276350"/>
                  <wp:effectExtent l="0" t="0" r="7620" b="0"/>
                  <wp:docPr id="3" name="Рисунок 2" descr="Контейнерная площадка К3 3500 х 1700 х 2200 для 3 контейнеров 0.75 м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онтейнерная площадка К3 3500 х 1700 х 2200 для 3 контейнеров 0.75 м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633" cy="1285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E9D571" w14:textId="77777777" w:rsidR="00452BD8" w:rsidRPr="001666E9" w:rsidRDefault="00452BD8" w:rsidP="005030DB">
            <w:pPr>
              <w:widowControl w:val="0"/>
              <w:shd w:val="clear" w:color="auto" w:fill="FFFFFF"/>
              <w:tabs>
                <w:tab w:val="left" w:pos="10490"/>
              </w:tabs>
              <w:ind w:right="-1"/>
              <w:rPr>
                <w:bCs/>
              </w:rPr>
            </w:pPr>
            <w:r>
              <w:rPr>
                <w:bCs/>
              </w:rPr>
              <w:t>(примерное изображение)</w:t>
            </w:r>
          </w:p>
          <w:p w14:paraId="250A45F5" w14:textId="77777777" w:rsidR="00452BD8" w:rsidRPr="001666E9" w:rsidRDefault="00452BD8" w:rsidP="002E32FA">
            <w:pPr>
              <w:widowControl w:val="0"/>
              <w:shd w:val="clear" w:color="auto" w:fill="FFFFFF"/>
              <w:ind w:left="5" w:hanging="3"/>
              <w:contextualSpacing/>
              <w:rPr>
                <w:bCs/>
              </w:rPr>
            </w:pPr>
          </w:p>
          <w:p w14:paraId="162A8838" w14:textId="77777777" w:rsidR="00452BD8" w:rsidRPr="001666E9" w:rsidRDefault="00452BD8" w:rsidP="002E32FA"/>
          <w:p w14:paraId="78B8995E" w14:textId="77777777" w:rsidR="00452BD8" w:rsidRPr="001666E9" w:rsidRDefault="00452BD8" w:rsidP="002E32FA">
            <w:r w:rsidRPr="001666E9">
              <w:rPr>
                <w:noProof/>
              </w:rPr>
              <w:t xml:space="preserve"> 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14:paraId="5F28853C" w14:textId="5CD046B7" w:rsidR="00452BD8" w:rsidRPr="001666E9" w:rsidRDefault="00452BD8" w:rsidP="002E32FA">
            <w:pPr>
              <w:widowControl w:val="0"/>
              <w:ind w:right="80"/>
              <w:rPr>
                <w:bCs/>
              </w:rPr>
            </w:pPr>
            <w:r>
              <w:rPr>
                <w:bCs/>
              </w:rPr>
              <w:t>42.99.19.112</w:t>
            </w:r>
            <w:r w:rsidR="00F12644">
              <w:rPr>
                <w:bCs/>
              </w:rPr>
              <w:t>,</w:t>
            </w:r>
            <w:r>
              <w:rPr>
                <w:bCs/>
              </w:rPr>
              <w:t xml:space="preserve"> Преимущество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5CE0A0DC" w14:textId="4E10375B" w:rsidR="00452BD8" w:rsidRPr="001666E9" w:rsidRDefault="00452BD8" w:rsidP="002E32FA">
            <w:pPr>
              <w:widowControl w:val="0"/>
              <w:ind w:right="80"/>
              <w:rPr>
                <w:bCs/>
              </w:rPr>
            </w:pPr>
            <w:r w:rsidRPr="001666E9">
              <w:rPr>
                <w:bCs/>
              </w:rPr>
              <w:t>Рабочая среда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087FF8D" w14:textId="77777777" w:rsidR="00452BD8" w:rsidRPr="001666E9" w:rsidRDefault="00452BD8" w:rsidP="002E32FA">
            <w:pPr>
              <w:widowControl w:val="0"/>
              <w:ind w:left="45" w:right="186" w:firstLine="99"/>
              <w:jc w:val="center"/>
              <w:rPr>
                <w:bCs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C637FB7" w14:textId="77777777" w:rsidR="00452BD8" w:rsidRPr="001666E9" w:rsidRDefault="00452BD8" w:rsidP="002E32FA">
            <w:pPr>
              <w:widowControl w:val="0"/>
              <w:ind w:left="45" w:right="94" w:hanging="11"/>
              <w:jc w:val="both"/>
              <w:rPr>
                <w:bCs/>
              </w:rPr>
            </w:pPr>
            <w:r w:rsidRPr="001666E9">
              <w:rPr>
                <w:bCs/>
              </w:rPr>
              <w:t xml:space="preserve">Контейнерная площадка </w:t>
            </w:r>
          </w:p>
        </w:tc>
      </w:tr>
      <w:tr w:rsidR="00452BD8" w:rsidRPr="00FF513B" w14:paraId="1C828583" w14:textId="77777777" w:rsidTr="00452BD8">
        <w:trPr>
          <w:trHeight w:val="360"/>
        </w:trPr>
        <w:tc>
          <w:tcPr>
            <w:tcW w:w="567" w:type="dxa"/>
            <w:vMerge/>
            <w:shd w:val="clear" w:color="auto" w:fill="FFFFFF"/>
            <w:vAlign w:val="center"/>
          </w:tcPr>
          <w:p w14:paraId="4447F1CB" w14:textId="77777777" w:rsidR="00452BD8" w:rsidRPr="001666E9" w:rsidRDefault="00452BD8" w:rsidP="002E32FA">
            <w:pPr>
              <w:widowControl w:val="0"/>
              <w:shd w:val="clear" w:color="auto" w:fill="FFFFFF"/>
              <w:contextualSpacing/>
              <w:jc w:val="center"/>
              <w:rPr>
                <w:bCs/>
              </w:rPr>
            </w:pPr>
          </w:p>
        </w:tc>
        <w:tc>
          <w:tcPr>
            <w:tcW w:w="3118" w:type="dxa"/>
            <w:vMerge/>
            <w:shd w:val="clear" w:color="auto" w:fill="FFFFFF"/>
            <w:vAlign w:val="center"/>
          </w:tcPr>
          <w:p w14:paraId="1713CFAA" w14:textId="77777777" w:rsidR="00452BD8" w:rsidRPr="001666E9" w:rsidRDefault="00452BD8" w:rsidP="002E32FA">
            <w:pPr>
              <w:widowControl w:val="0"/>
              <w:shd w:val="clear" w:color="auto" w:fill="FFFFFF"/>
              <w:tabs>
                <w:tab w:val="left" w:pos="10490"/>
              </w:tabs>
              <w:ind w:right="-1"/>
              <w:rPr>
                <w:bCs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14:paraId="0CAF1F00" w14:textId="77777777" w:rsidR="00452BD8" w:rsidRPr="001666E9" w:rsidRDefault="00452BD8" w:rsidP="002E32FA">
            <w:pPr>
              <w:widowControl w:val="0"/>
              <w:ind w:right="80"/>
              <w:rPr>
                <w:bCs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6E127B35" w14:textId="308C2D35" w:rsidR="00452BD8" w:rsidRPr="001666E9" w:rsidRDefault="00452BD8" w:rsidP="002E32FA">
            <w:pPr>
              <w:widowControl w:val="0"/>
              <w:ind w:right="80"/>
              <w:rPr>
                <w:bCs/>
              </w:rPr>
            </w:pPr>
            <w:r w:rsidRPr="001666E9">
              <w:rPr>
                <w:bCs/>
              </w:rPr>
              <w:t>Основание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60D80E9" w14:textId="77777777" w:rsidR="00452BD8" w:rsidRPr="001666E9" w:rsidRDefault="00452BD8" w:rsidP="002E32FA">
            <w:pPr>
              <w:widowControl w:val="0"/>
              <w:ind w:left="45" w:right="186" w:firstLine="99"/>
              <w:jc w:val="center"/>
              <w:rPr>
                <w:bCs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F1750C5" w14:textId="77777777" w:rsidR="00452BD8" w:rsidRPr="001666E9" w:rsidRDefault="00452BD8" w:rsidP="002E32FA">
            <w:pPr>
              <w:widowControl w:val="0"/>
              <w:ind w:left="45" w:right="94" w:hanging="11"/>
              <w:jc w:val="both"/>
              <w:rPr>
                <w:bCs/>
              </w:rPr>
            </w:pPr>
            <w:r w:rsidRPr="001666E9">
              <w:rPr>
                <w:bCs/>
              </w:rPr>
              <w:t>Асфальтированное покрытие</w:t>
            </w:r>
          </w:p>
        </w:tc>
      </w:tr>
      <w:tr w:rsidR="00452BD8" w:rsidRPr="00FF513B" w14:paraId="0505D6F8" w14:textId="77777777" w:rsidTr="00452BD8">
        <w:tc>
          <w:tcPr>
            <w:tcW w:w="567" w:type="dxa"/>
            <w:vMerge/>
            <w:shd w:val="clear" w:color="auto" w:fill="FFFFFF"/>
            <w:vAlign w:val="center"/>
          </w:tcPr>
          <w:p w14:paraId="5648B44D" w14:textId="77777777" w:rsidR="00452BD8" w:rsidRPr="001666E9" w:rsidRDefault="00452BD8" w:rsidP="006F6220">
            <w:pPr>
              <w:widowControl w:val="0"/>
              <w:numPr>
                <w:ilvl w:val="0"/>
                <w:numId w:val="1"/>
              </w:numPr>
              <w:shd w:val="clear" w:color="auto" w:fill="FFFFFF"/>
              <w:contextualSpacing/>
              <w:jc w:val="center"/>
              <w:rPr>
                <w:bCs/>
              </w:rPr>
            </w:pPr>
          </w:p>
        </w:tc>
        <w:tc>
          <w:tcPr>
            <w:tcW w:w="3118" w:type="dxa"/>
            <w:vMerge/>
            <w:shd w:val="clear" w:color="auto" w:fill="FFFFFF"/>
            <w:vAlign w:val="center"/>
          </w:tcPr>
          <w:p w14:paraId="3E39D347" w14:textId="77777777" w:rsidR="00452BD8" w:rsidRPr="001666E9" w:rsidRDefault="00452BD8" w:rsidP="002E32FA">
            <w:pPr>
              <w:widowControl w:val="0"/>
              <w:shd w:val="clear" w:color="auto" w:fill="FFFFFF"/>
              <w:ind w:left="5" w:hanging="3"/>
              <w:contextualSpacing/>
              <w:rPr>
                <w:bCs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14:paraId="34317B27" w14:textId="77777777" w:rsidR="00452BD8" w:rsidRPr="001666E9" w:rsidRDefault="00452BD8" w:rsidP="002E32FA">
            <w:pPr>
              <w:widowControl w:val="0"/>
              <w:ind w:left="45" w:right="80"/>
            </w:pPr>
          </w:p>
        </w:tc>
        <w:tc>
          <w:tcPr>
            <w:tcW w:w="2552" w:type="dxa"/>
            <w:shd w:val="clear" w:color="auto" w:fill="FFFFFF"/>
          </w:tcPr>
          <w:p w14:paraId="4B6B1472" w14:textId="35450730" w:rsidR="00452BD8" w:rsidRPr="001666E9" w:rsidRDefault="00452BD8" w:rsidP="002E32FA">
            <w:pPr>
              <w:widowControl w:val="0"/>
              <w:ind w:left="45" w:right="80"/>
              <w:rPr>
                <w:bCs/>
              </w:rPr>
            </w:pPr>
            <w:r w:rsidRPr="001666E9">
              <w:t>Крепление изделия к основанию</w:t>
            </w:r>
          </w:p>
        </w:tc>
        <w:tc>
          <w:tcPr>
            <w:tcW w:w="709" w:type="dxa"/>
            <w:shd w:val="clear" w:color="auto" w:fill="FFFFFF"/>
          </w:tcPr>
          <w:p w14:paraId="65FC4875" w14:textId="77777777" w:rsidR="00452BD8" w:rsidRPr="001666E9" w:rsidRDefault="00452BD8" w:rsidP="002E32FA">
            <w:pPr>
              <w:widowControl w:val="0"/>
              <w:ind w:left="45" w:right="186"/>
              <w:rPr>
                <w:bCs/>
              </w:rPr>
            </w:pPr>
          </w:p>
        </w:tc>
        <w:tc>
          <w:tcPr>
            <w:tcW w:w="2268" w:type="dxa"/>
            <w:shd w:val="clear" w:color="auto" w:fill="FFFFFF"/>
          </w:tcPr>
          <w:p w14:paraId="1A7491B0" w14:textId="77777777" w:rsidR="00452BD8" w:rsidRPr="001666E9" w:rsidRDefault="00452BD8" w:rsidP="002E32FA">
            <w:pPr>
              <w:widowControl w:val="0"/>
              <w:ind w:right="94"/>
              <w:jc w:val="both"/>
              <w:rPr>
                <w:bCs/>
              </w:rPr>
            </w:pPr>
            <w:r w:rsidRPr="001666E9">
              <w:t xml:space="preserve">Анкера </w:t>
            </w:r>
          </w:p>
        </w:tc>
      </w:tr>
      <w:tr w:rsidR="00452BD8" w:rsidRPr="00FF513B" w14:paraId="7C30E116" w14:textId="77777777" w:rsidTr="00452BD8">
        <w:tc>
          <w:tcPr>
            <w:tcW w:w="567" w:type="dxa"/>
            <w:vMerge/>
            <w:shd w:val="clear" w:color="auto" w:fill="FFFFFF"/>
            <w:vAlign w:val="center"/>
          </w:tcPr>
          <w:p w14:paraId="4C14AD41" w14:textId="77777777" w:rsidR="00452BD8" w:rsidRPr="001666E9" w:rsidRDefault="00452BD8" w:rsidP="006F6220">
            <w:pPr>
              <w:widowControl w:val="0"/>
              <w:numPr>
                <w:ilvl w:val="0"/>
                <w:numId w:val="1"/>
              </w:numPr>
              <w:shd w:val="clear" w:color="auto" w:fill="FFFFFF"/>
              <w:contextualSpacing/>
              <w:jc w:val="center"/>
              <w:rPr>
                <w:bCs/>
              </w:rPr>
            </w:pPr>
          </w:p>
        </w:tc>
        <w:tc>
          <w:tcPr>
            <w:tcW w:w="3118" w:type="dxa"/>
            <w:vMerge/>
            <w:shd w:val="clear" w:color="auto" w:fill="FFFFFF"/>
            <w:vAlign w:val="center"/>
          </w:tcPr>
          <w:p w14:paraId="50476330" w14:textId="77777777" w:rsidR="00452BD8" w:rsidRPr="001666E9" w:rsidRDefault="00452BD8" w:rsidP="002E32FA">
            <w:pPr>
              <w:widowControl w:val="0"/>
              <w:shd w:val="clear" w:color="auto" w:fill="FFFFFF"/>
              <w:ind w:left="5" w:hanging="3"/>
              <w:contextualSpacing/>
              <w:rPr>
                <w:bCs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14:paraId="7F1D3932" w14:textId="77777777" w:rsidR="00452BD8" w:rsidRPr="001666E9" w:rsidRDefault="00452BD8" w:rsidP="002E32FA">
            <w:pPr>
              <w:widowControl w:val="0"/>
              <w:ind w:right="80"/>
            </w:pPr>
          </w:p>
        </w:tc>
        <w:tc>
          <w:tcPr>
            <w:tcW w:w="2552" w:type="dxa"/>
            <w:shd w:val="clear" w:color="auto" w:fill="FFFFFF"/>
          </w:tcPr>
          <w:p w14:paraId="5DB51AB4" w14:textId="694E6247" w:rsidR="00452BD8" w:rsidRPr="001666E9" w:rsidRDefault="00452BD8" w:rsidP="002E32FA">
            <w:pPr>
              <w:widowControl w:val="0"/>
              <w:ind w:right="80"/>
            </w:pPr>
            <w:r w:rsidRPr="001666E9">
              <w:t>Ограничение хода</w:t>
            </w:r>
          </w:p>
        </w:tc>
        <w:tc>
          <w:tcPr>
            <w:tcW w:w="709" w:type="dxa"/>
            <w:shd w:val="clear" w:color="auto" w:fill="FFFFFF"/>
          </w:tcPr>
          <w:p w14:paraId="07CE454F" w14:textId="77777777" w:rsidR="00452BD8" w:rsidRPr="001666E9" w:rsidRDefault="00452BD8" w:rsidP="002E32FA">
            <w:pPr>
              <w:widowControl w:val="0"/>
              <w:ind w:left="45" w:right="186"/>
              <w:rPr>
                <w:bCs/>
              </w:rPr>
            </w:pPr>
          </w:p>
        </w:tc>
        <w:tc>
          <w:tcPr>
            <w:tcW w:w="2268" w:type="dxa"/>
            <w:shd w:val="clear" w:color="auto" w:fill="FFFFFF"/>
          </w:tcPr>
          <w:p w14:paraId="0F4599FB" w14:textId="77777777" w:rsidR="00452BD8" w:rsidRPr="001666E9" w:rsidRDefault="00452BD8" w:rsidP="002E32FA">
            <w:pPr>
              <w:widowControl w:val="0"/>
              <w:ind w:left="45" w:right="94"/>
              <w:jc w:val="both"/>
            </w:pPr>
            <w:r w:rsidRPr="001666E9">
              <w:t>Внутри площадки вдоль стен</w:t>
            </w:r>
          </w:p>
        </w:tc>
      </w:tr>
      <w:tr w:rsidR="00452BD8" w:rsidRPr="00FF513B" w14:paraId="39FB23FA" w14:textId="77777777" w:rsidTr="00452BD8">
        <w:trPr>
          <w:trHeight w:val="1381"/>
        </w:trPr>
        <w:tc>
          <w:tcPr>
            <w:tcW w:w="567" w:type="dxa"/>
            <w:vMerge/>
            <w:shd w:val="clear" w:color="auto" w:fill="FFFFFF"/>
            <w:vAlign w:val="center"/>
          </w:tcPr>
          <w:p w14:paraId="7A37FDF4" w14:textId="77777777" w:rsidR="00452BD8" w:rsidRPr="001666E9" w:rsidRDefault="00452BD8" w:rsidP="006F6220">
            <w:pPr>
              <w:widowControl w:val="0"/>
              <w:numPr>
                <w:ilvl w:val="0"/>
                <w:numId w:val="1"/>
              </w:numPr>
              <w:shd w:val="clear" w:color="auto" w:fill="FFFFFF"/>
              <w:contextualSpacing/>
              <w:jc w:val="center"/>
              <w:rPr>
                <w:bCs/>
              </w:rPr>
            </w:pPr>
          </w:p>
        </w:tc>
        <w:tc>
          <w:tcPr>
            <w:tcW w:w="3118" w:type="dxa"/>
            <w:vMerge/>
            <w:shd w:val="clear" w:color="auto" w:fill="FFFFFF"/>
            <w:vAlign w:val="center"/>
          </w:tcPr>
          <w:p w14:paraId="5116684F" w14:textId="77777777" w:rsidR="00452BD8" w:rsidRPr="001666E9" w:rsidRDefault="00452BD8" w:rsidP="002E32FA">
            <w:pPr>
              <w:widowControl w:val="0"/>
              <w:shd w:val="clear" w:color="auto" w:fill="FFFFFF"/>
              <w:ind w:left="5" w:hanging="3"/>
              <w:contextualSpacing/>
              <w:rPr>
                <w:bCs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14:paraId="6536043C" w14:textId="77777777" w:rsidR="00452BD8" w:rsidRPr="001666E9" w:rsidRDefault="00452BD8" w:rsidP="002E32FA">
            <w:pPr>
              <w:widowControl w:val="0"/>
              <w:ind w:left="45" w:right="80"/>
              <w:rPr>
                <w:bCs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63AC837A" w14:textId="1F283996" w:rsidR="00452BD8" w:rsidRPr="001666E9" w:rsidRDefault="00452BD8" w:rsidP="002E32FA">
            <w:pPr>
              <w:widowControl w:val="0"/>
              <w:ind w:left="45" w:right="80"/>
              <w:rPr>
                <w:bCs/>
              </w:rPr>
            </w:pPr>
            <w:r w:rsidRPr="001666E9">
              <w:rPr>
                <w:bCs/>
              </w:rPr>
              <w:t>Количество хранящихся одновременно контейнеров ТКО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C3CC4EC" w14:textId="5FA6714D" w:rsidR="00452BD8" w:rsidRPr="001666E9" w:rsidRDefault="00452BD8" w:rsidP="002E32FA">
            <w:pPr>
              <w:widowControl w:val="0"/>
              <w:ind w:left="45" w:right="186"/>
              <w:rPr>
                <w:bCs/>
              </w:rPr>
            </w:pPr>
            <w:r w:rsidRPr="001666E9">
              <w:rPr>
                <w:bCs/>
              </w:rPr>
              <w:t>шт.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25B7742" w14:textId="77777777" w:rsidR="00452BD8" w:rsidRPr="001666E9" w:rsidRDefault="00452BD8" w:rsidP="002E32FA">
            <w:pPr>
              <w:widowControl w:val="0"/>
              <w:ind w:left="45" w:right="94" w:firstLine="99"/>
              <w:jc w:val="both"/>
              <w:rPr>
                <w:bCs/>
              </w:rPr>
            </w:pPr>
            <w:r w:rsidRPr="001666E9">
              <w:rPr>
                <w:bCs/>
              </w:rPr>
              <w:t>3</w:t>
            </w:r>
          </w:p>
        </w:tc>
      </w:tr>
      <w:tr w:rsidR="00452BD8" w:rsidRPr="00FF513B" w14:paraId="0689814E" w14:textId="77777777" w:rsidTr="00452BD8">
        <w:tc>
          <w:tcPr>
            <w:tcW w:w="567" w:type="dxa"/>
            <w:vMerge/>
            <w:shd w:val="clear" w:color="auto" w:fill="FFFFFF"/>
            <w:vAlign w:val="center"/>
          </w:tcPr>
          <w:p w14:paraId="729FF12E" w14:textId="77777777" w:rsidR="00452BD8" w:rsidRPr="001666E9" w:rsidRDefault="00452BD8" w:rsidP="006F6220">
            <w:pPr>
              <w:widowControl w:val="0"/>
              <w:numPr>
                <w:ilvl w:val="0"/>
                <w:numId w:val="1"/>
              </w:numPr>
              <w:shd w:val="clear" w:color="auto" w:fill="FFFFFF"/>
              <w:contextualSpacing/>
              <w:jc w:val="center"/>
              <w:rPr>
                <w:bCs/>
              </w:rPr>
            </w:pPr>
          </w:p>
        </w:tc>
        <w:tc>
          <w:tcPr>
            <w:tcW w:w="3118" w:type="dxa"/>
            <w:vMerge/>
            <w:shd w:val="clear" w:color="auto" w:fill="FFFFFF"/>
            <w:vAlign w:val="center"/>
          </w:tcPr>
          <w:p w14:paraId="7CF456DC" w14:textId="77777777" w:rsidR="00452BD8" w:rsidRPr="001666E9" w:rsidRDefault="00452BD8" w:rsidP="002E32FA">
            <w:pPr>
              <w:widowControl w:val="0"/>
              <w:shd w:val="clear" w:color="auto" w:fill="FFFFFF"/>
              <w:ind w:left="5" w:hanging="3"/>
              <w:contextualSpacing/>
              <w:rPr>
                <w:bCs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14:paraId="06DC810D" w14:textId="77777777" w:rsidR="00452BD8" w:rsidRPr="001666E9" w:rsidRDefault="00452BD8" w:rsidP="002E32FA">
            <w:pPr>
              <w:widowControl w:val="0"/>
              <w:ind w:right="85"/>
              <w:rPr>
                <w:bCs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44B53E84" w14:textId="644D5C58" w:rsidR="00452BD8" w:rsidRPr="001666E9" w:rsidRDefault="00452BD8" w:rsidP="002E32FA">
            <w:pPr>
              <w:widowControl w:val="0"/>
              <w:ind w:right="85"/>
              <w:rPr>
                <w:bCs/>
              </w:rPr>
            </w:pPr>
            <w:r w:rsidRPr="001666E9">
              <w:rPr>
                <w:bCs/>
              </w:rPr>
              <w:t>Габаритные размеры ограждения (В х Д х Г)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82C2CE2" w14:textId="77777777" w:rsidR="00452BD8" w:rsidRPr="001666E9" w:rsidRDefault="00452BD8" w:rsidP="002E32FA">
            <w:pPr>
              <w:widowControl w:val="0"/>
              <w:ind w:left="45" w:firstLine="99"/>
              <w:rPr>
                <w:bCs/>
              </w:rPr>
            </w:pPr>
            <w:r w:rsidRPr="001666E9">
              <w:rPr>
                <w:bCs/>
              </w:rPr>
              <w:t>мм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1C2DF9F" w14:textId="77777777" w:rsidR="00452BD8" w:rsidRPr="001666E9" w:rsidRDefault="00452BD8" w:rsidP="002E32FA">
            <w:pPr>
              <w:widowControl w:val="0"/>
              <w:ind w:left="45" w:right="94"/>
              <w:jc w:val="both"/>
              <w:rPr>
                <w:bCs/>
              </w:rPr>
            </w:pPr>
            <w:r w:rsidRPr="001666E9">
              <w:rPr>
                <w:bCs/>
              </w:rPr>
              <w:t>Высота не менее 2000 и не более 2200</w:t>
            </w:r>
          </w:p>
          <w:p w14:paraId="3C09CAFA" w14:textId="77777777" w:rsidR="00452BD8" w:rsidRPr="001666E9" w:rsidRDefault="00452BD8" w:rsidP="002E32FA">
            <w:pPr>
              <w:widowControl w:val="0"/>
              <w:ind w:left="45" w:right="94"/>
              <w:jc w:val="both"/>
              <w:rPr>
                <w:bCs/>
              </w:rPr>
            </w:pPr>
            <w:r w:rsidRPr="001666E9">
              <w:rPr>
                <w:bCs/>
              </w:rPr>
              <w:t>Длина - 4500</w:t>
            </w:r>
          </w:p>
          <w:p w14:paraId="5EBCA818" w14:textId="77777777" w:rsidR="00452BD8" w:rsidRPr="001666E9" w:rsidRDefault="00452BD8" w:rsidP="002E32FA">
            <w:pPr>
              <w:widowControl w:val="0"/>
              <w:ind w:left="45" w:right="94"/>
              <w:jc w:val="both"/>
              <w:rPr>
                <w:bCs/>
              </w:rPr>
            </w:pPr>
            <w:r w:rsidRPr="001666E9">
              <w:rPr>
                <w:bCs/>
              </w:rPr>
              <w:t>Ширина (глубина) не менее 1750</w:t>
            </w:r>
          </w:p>
        </w:tc>
      </w:tr>
      <w:tr w:rsidR="00452BD8" w:rsidRPr="00FF513B" w14:paraId="44F791E5" w14:textId="77777777" w:rsidTr="00452BD8">
        <w:tc>
          <w:tcPr>
            <w:tcW w:w="567" w:type="dxa"/>
            <w:vMerge/>
            <w:shd w:val="clear" w:color="auto" w:fill="FFFFFF"/>
            <w:vAlign w:val="center"/>
          </w:tcPr>
          <w:p w14:paraId="643245FB" w14:textId="77777777" w:rsidR="00452BD8" w:rsidRPr="001666E9" w:rsidRDefault="00452BD8" w:rsidP="006F6220">
            <w:pPr>
              <w:widowControl w:val="0"/>
              <w:numPr>
                <w:ilvl w:val="0"/>
                <w:numId w:val="1"/>
              </w:numPr>
              <w:shd w:val="clear" w:color="auto" w:fill="FFFFFF"/>
              <w:contextualSpacing/>
              <w:jc w:val="center"/>
              <w:rPr>
                <w:bCs/>
              </w:rPr>
            </w:pPr>
          </w:p>
        </w:tc>
        <w:tc>
          <w:tcPr>
            <w:tcW w:w="3118" w:type="dxa"/>
            <w:vMerge/>
            <w:shd w:val="clear" w:color="auto" w:fill="FFFFFF"/>
            <w:vAlign w:val="center"/>
          </w:tcPr>
          <w:p w14:paraId="77B3944F" w14:textId="77777777" w:rsidR="00452BD8" w:rsidRPr="001666E9" w:rsidRDefault="00452BD8" w:rsidP="002E32FA">
            <w:pPr>
              <w:widowControl w:val="0"/>
              <w:shd w:val="clear" w:color="auto" w:fill="FFFFFF"/>
              <w:ind w:left="5" w:hanging="3"/>
              <w:contextualSpacing/>
              <w:rPr>
                <w:bCs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14:paraId="0999EB01" w14:textId="77777777" w:rsidR="00452BD8" w:rsidRPr="001666E9" w:rsidRDefault="00452BD8" w:rsidP="002E32FA">
            <w:pPr>
              <w:widowControl w:val="0"/>
              <w:ind w:right="84"/>
              <w:rPr>
                <w:bCs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3F4D8AA4" w14:textId="544F8479" w:rsidR="00452BD8" w:rsidRPr="001666E9" w:rsidRDefault="00452BD8" w:rsidP="002E32FA">
            <w:pPr>
              <w:widowControl w:val="0"/>
              <w:ind w:right="84"/>
              <w:rPr>
                <w:bCs/>
              </w:rPr>
            </w:pPr>
            <w:r w:rsidRPr="001666E9">
              <w:rPr>
                <w:bCs/>
              </w:rPr>
              <w:t>Материал каркаса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CCC9DCE" w14:textId="77777777" w:rsidR="00452BD8" w:rsidRPr="001666E9" w:rsidRDefault="00452BD8" w:rsidP="002E32FA">
            <w:pPr>
              <w:widowControl w:val="0"/>
              <w:ind w:left="45" w:firstLine="99"/>
              <w:rPr>
                <w:bCs/>
              </w:rPr>
            </w:pPr>
            <w:r w:rsidRPr="001666E9">
              <w:rPr>
                <w:bCs/>
              </w:rPr>
              <w:t>мм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0CEB4B6" w14:textId="1CF55A7A" w:rsidR="00452BD8" w:rsidRPr="001666E9" w:rsidRDefault="00452BD8" w:rsidP="002E32FA">
            <w:pPr>
              <w:widowControl w:val="0"/>
              <w:ind w:left="45" w:right="94"/>
              <w:jc w:val="both"/>
              <w:rPr>
                <w:bCs/>
              </w:rPr>
            </w:pPr>
            <w:r w:rsidRPr="001666E9">
              <w:rPr>
                <w:bCs/>
              </w:rPr>
              <w:t xml:space="preserve">Профилированной труба с толщиной стенки от 1,5 до 2,0 </w:t>
            </w:r>
          </w:p>
        </w:tc>
      </w:tr>
      <w:tr w:rsidR="00452BD8" w:rsidRPr="00FF513B" w14:paraId="02F8DAD0" w14:textId="77777777" w:rsidTr="00452BD8">
        <w:tc>
          <w:tcPr>
            <w:tcW w:w="567" w:type="dxa"/>
            <w:vMerge/>
            <w:shd w:val="clear" w:color="auto" w:fill="FFFFFF"/>
            <w:vAlign w:val="center"/>
          </w:tcPr>
          <w:p w14:paraId="68A4C7B2" w14:textId="77777777" w:rsidR="00452BD8" w:rsidRPr="001666E9" w:rsidRDefault="00452BD8" w:rsidP="006F6220">
            <w:pPr>
              <w:widowControl w:val="0"/>
              <w:numPr>
                <w:ilvl w:val="0"/>
                <w:numId w:val="1"/>
              </w:numPr>
              <w:shd w:val="clear" w:color="auto" w:fill="FFFFFF"/>
              <w:contextualSpacing/>
              <w:jc w:val="center"/>
              <w:rPr>
                <w:bCs/>
              </w:rPr>
            </w:pPr>
          </w:p>
        </w:tc>
        <w:tc>
          <w:tcPr>
            <w:tcW w:w="3118" w:type="dxa"/>
            <w:vMerge/>
            <w:shd w:val="clear" w:color="auto" w:fill="FFFFFF"/>
            <w:vAlign w:val="center"/>
          </w:tcPr>
          <w:p w14:paraId="148DD8C6" w14:textId="77777777" w:rsidR="00452BD8" w:rsidRPr="001666E9" w:rsidRDefault="00452BD8" w:rsidP="002E32FA">
            <w:pPr>
              <w:widowControl w:val="0"/>
              <w:shd w:val="clear" w:color="auto" w:fill="FFFFFF"/>
              <w:ind w:left="5" w:hanging="3"/>
              <w:contextualSpacing/>
              <w:rPr>
                <w:bCs/>
              </w:rPr>
            </w:pPr>
          </w:p>
        </w:tc>
        <w:tc>
          <w:tcPr>
            <w:tcW w:w="1135" w:type="dxa"/>
            <w:vMerge/>
          </w:tcPr>
          <w:p w14:paraId="5954F70B" w14:textId="77777777" w:rsidR="00452BD8" w:rsidRPr="001666E9" w:rsidRDefault="00452BD8" w:rsidP="002E32FA">
            <w:pPr>
              <w:widowControl w:val="0"/>
              <w:ind w:right="282"/>
              <w:rPr>
                <w:bCs/>
              </w:rPr>
            </w:pPr>
          </w:p>
        </w:tc>
        <w:tc>
          <w:tcPr>
            <w:tcW w:w="2552" w:type="dxa"/>
            <w:vAlign w:val="center"/>
          </w:tcPr>
          <w:p w14:paraId="20C1E6FE" w14:textId="70D93F0E" w:rsidR="00452BD8" w:rsidRPr="001666E9" w:rsidRDefault="00452BD8" w:rsidP="002E32FA">
            <w:pPr>
              <w:widowControl w:val="0"/>
              <w:ind w:right="282"/>
              <w:rPr>
                <w:bCs/>
              </w:rPr>
            </w:pPr>
            <w:r w:rsidRPr="001666E9">
              <w:rPr>
                <w:bCs/>
              </w:rPr>
              <w:t xml:space="preserve">Материал стен </w:t>
            </w:r>
          </w:p>
        </w:tc>
        <w:tc>
          <w:tcPr>
            <w:tcW w:w="709" w:type="dxa"/>
            <w:vAlign w:val="center"/>
          </w:tcPr>
          <w:p w14:paraId="49C7678E" w14:textId="77777777" w:rsidR="00452BD8" w:rsidRPr="001666E9" w:rsidRDefault="00452BD8" w:rsidP="002E32FA">
            <w:pPr>
              <w:widowControl w:val="0"/>
              <w:ind w:left="45" w:firstLine="99"/>
              <w:rPr>
                <w:bCs/>
              </w:rPr>
            </w:pPr>
            <w:r w:rsidRPr="001666E9">
              <w:rPr>
                <w:bCs/>
              </w:rPr>
              <w:t>мм</w:t>
            </w:r>
          </w:p>
        </w:tc>
        <w:tc>
          <w:tcPr>
            <w:tcW w:w="2268" w:type="dxa"/>
            <w:vAlign w:val="center"/>
          </w:tcPr>
          <w:p w14:paraId="01DC7ECB" w14:textId="77777777" w:rsidR="00452BD8" w:rsidRPr="001666E9" w:rsidRDefault="00452BD8" w:rsidP="002E32FA">
            <w:pPr>
              <w:widowControl w:val="0"/>
              <w:ind w:left="45" w:right="94"/>
              <w:jc w:val="both"/>
              <w:rPr>
                <w:bCs/>
              </w:rPr>
            </w:pPr>
            <w:r w:rsidRPr="001666E9">
              <w:rPr>
                <w:bCs/>
              </w:rPr>
              <w:t>Профилированный лист толщиной не менее 0,4 и не более 0,5</w:t>
            </w:r>
          </w:p>
        </w:tc>
      </w:tr>
      <w:tr w:rsidR="00452BD8" w:rsidRPr="00FF513B" w14:paraId="68924F20" w14:textId="77777777" w:rsidTr="00452BD8">
        <w:tc>
          <w:tcPr>
            <w:tcW w:w="567" w:type="dxa"/>
            <w:vMerge/>
            <w:shd w:val="clear" w:color="auto" w:fill="FFFFFF"/>
            <w:vAlign w:val="center"/>
          </w:tcPr>
          <w:p w14:paraId="1FEEFF5C" w14:textId="77777777" w:rsidR="00452BD8" w:rsidRPr="001666E9" w:rsidRDefault="00452BD8" w:rsidP="006F6220">
            <w:pPr>
              <w:widowControl w:val="0"/>
              <w:numPr>
                <w:ilvl w:val="0"/>
                <w:numId w:val="1"/>
              </w:numPr>
              <w:shd w:val="clear" w:color="auto" w:fill="FFFFFF"/>
              <w:contextualSpacing/>
              <w:jc w:val="center"/>
              <w:rPr>
                <w:bCs/>
              </w:rPr>
            </w:pPr>
          </w:p>
        </w:tc>
        <w:tc>
          <w:tcPr>
            <w:tcW w:w="3118" w:type="dxa"/>
            <w:vMerge/>
            <w:shd w:val="clear" w:color="auto" w:fill="FFFFFF"/>
            <w:vAlign w:val="center"/>
          </w:tcPr>
          <w:p w14:paraId="2EC733D3" w14:textId="77777777" w:rsidR="00452BD8" w:rsidRPr="001666E9" w:rsidRDefault="00452BD8" w:rsidP="002E32FA">
            <w:pPr>
              <w:widowControl w:val="0"/>
              <w:shd w:val="clear" w:color="auto" w:fill="FFFFFF"/>
              <w:ind w:left="5" w:hanging="3"/>
              <w:contextualSpacing/>
              <w:rPr>
                <w:bCs/>
              </w:rPr>
            </w:pPr>
          </w:p>
        </w:tc>
        <w:tc>
          <w:tcPr>
            <w:tcW w:w="1135" w:type="dxa"/>
            <w:vMerge/>
          </w:tcPr>
          <w:p w14:paraId="3DC93080" w14:textId="77777777" w:rsidR="00452BD8" w:rsidRPr="001666E9" w:rsidRDefault="00452BD8" w:rsidP="002E32FA">
            <w:pPr>
              <w:widowControl w:val="0"/>
              <w:ind w:right="282"/>
              <w:rPr>
                <w:bCs/>
              </w:rPr>
            </w:pPr>
          </w:p>
        </w:tc>
        <w:tc>
          <w:tcPr>
            <w:tcW w:w="2552" w:type="dxa"/>
            <w:vAlign w:val="center"/>
          </w:tcPr>
          <w:p w14:paraId="2B1BFBD2" w14:textId="2B963DAF" w:rsidR="00452BD8" w:rsidRPr="001666E9" w:rsidRDefault="00452BD8" w:rsidP="002E32FA">
            <w:pPr>
              <w:widowControl w:val="0"/>
              <w:ind w:right="282"/>
              <w:rPr>
                <w:bCs/>
              </w:rPr>
            </w:pPr>
            <w:r w:rsidRPr="001666E9">
              <w:rPr>
                <w:bCs/>
              </w:rPr>
              <w:t xml:space="preserve">Материал навеса </w:t>
            </w:r>
          </w:p>
        </w:tc>
        <w:tc>
          <w:tcPr>
            <w:tcW w:w="709" w:type="dxa"/>
            <w:vAlign w:val="center"/>
          </w:tcPr>
          <w:p w14:paraId="6B987CC8" w14:textId="77777777" w:rsidR="00452BD8" w:rsidRPr="001666E9" w:rsidRDefault="00452BD8" w:rsidP="002E32FA">
            <w:pPr>
              <w:widowControl w:val="0"/>
              <w:ind w:left="45" w:firstLine="99"/>
              <w:rPr>
                <w:bCs/>
              </w:rPr>
            </w:pPr>
            <w:r w:rsidRPr="001666E9">
              <w:rPr>
                <w:bCs/>
              </w:rPr>
              <w:t>мм</w:t>
            </w:r>
          </w:p>
        </w:tc>
        <w:tc>
          <w:tcPr>
            <w:tcW w:w="2268" w:type="dxa"/>
            <w:vAlign w:val="center"/>
          </w:tcPr>
          <w:p w14:paraId="53F7E829" w14:textId="77777777" w:rsidR="00452BD8" w:rsidRPr="001666E9" w:rsidRDefault="00452BD8" w:rsidP="002E32FA">
            <w:pPr>
              <w:widowControl w:val="0"/>
              <w:ind w:left="45" w:right="94"/>
              <w:jc w:val="both"/>
              <w:rPr>
                <w:bCs/>
              </w:rPr>
            </w:pPr>
            <w:r w:rsidRPr="001666E9">
              <w:rPr>
                <w:bCs/>
              </w:rPr>
              <w:t>Профилированный лист толщиной не менее 0,4 и не более 0,5</w:t>
            </w:r>
          </w:p>
        </w:tc>
      </w:tr>
      <w:tr w:rsidR="00452BD8" w:rsidRPr="00FF513B" w14:paraId="2454C1E8" w14:textId="77777777" w:rsidTr="00452BD8">
        <w:tc>
          <w:tcPr>
            <w:tcW w:w="567" w:type="dxa"/>
            <w:vMerge/>
            <w:shd w:val="clear" w:color="auto" w:fill="FFFFFF"/>
            <w:vAlign w:val="center"/>
          </w:tcPr>
          <w:p w14:paraId="4FF25D7C" w14:textId="77777777" w:rsidR="00452BD8" w:rsidRPr="001666E9" w:rsidRDefault="00452BD8" w:rsidP="006F6220">
            <w:pPr>
              <w:widowControl w:val="0"/>
              <w:numPr>
                <w:ilvl w:val="0"/>
                <w:numId w:val="1"/>
              </w:numPr>
              <w:shd w:val="clear" w:color="auto" w:fill="FFFFFF"/>
              <w:contextualSpacing/>
              <w:jc w:val="center"/>
              <w:rPr>
                <w:bCs/>
              </w:rPr>
            </w:pPr>
          </w:p>
        </w:tc>
        <w:tc>
          <w:tcPr>
            <w:tcW w:w="3118" w:type="dxa"/>
            <w:vMerge/>
            <w:shd w:val="clear" w:color="auto" w:fill="FFFFFF"/>
            <w:vAlign w:val="center"/>
          </w:tcPr>
          <w:p w14:paraId="1FF9363D" w14:textId="77777777" w:rsidR="00452BD8" w:rsidRPr="001666E9" w:rsidRDefault="00452BD8" w:rsidP="002E32FA">
            <w:pPr>
              <w:widowControl w:val="0"/>
              <w:shd w:val="clear" w:color="auto" w:fill="FFFFFF"/>
              <w:ind w:left="5" w:hanging="3"/>
              <w:contextualSpacing/>
              <w:rPr>
                <w:bCs/>
              </w:rPr>
            </w:pPr>
          </w:p>
        </w:tc>
        <w:tc>
          <w:tcPr>
            <w:tcW w:w="1135" w:type="dxa"/>
            <w:vMerge/>
          </w:tcPr>
          <w:p w14:paraId="11C9797D" w14:textId="77777777" w:rsidR="00452BD8" w:rsidRPr="001666E9" w:rsidRDefault="00452BD8" w:rsidP="002E32FA">
            <w:pPr>
              <w:widowControl w:val="0"/>
              <w:ind w:right="85"/>
              <w:rPr>
                <w:bCs/>
              </w:rPr>
            </w:pPr>
          </w:p>
        </w:tc>
        <w:tc>
          <w:tcPr>
            <w:tcW w:w="2552" w:type="dxa"/>
            <w:vAlign w:val="center"/>
          </w:tcPr>
          <w:p w14:paraId="36A293FC" w14:textId="6A5674BD" w:rsidR="00452BD8" w:rsidRPr="001666E9" w:rsidRDefault="00452BD8" w:rsidP="002E32FA">
            <w:pPr>
              <w:widowControl w:val="0"/>
              <w:ind w:right="85"/>
              <w:rPr>
                <w:bCs/>
              </w:rPr>
            </w:pPr>
            <w:r w:rsidRPr="001666E9">
              <w:rPr>
                <w:bCs/>
              </w:rPr>
              <w:t xml:space="preserve">Цвет каркаса, стен, навеса </w:t>
            </w:r>
          </w:p>
        </w:tc>
        <w:tc>
          <w:tcPr>
            <w:tcW w:w="709" w:type="dxa"/>
            <w:vAlign w:val="center"/>
          </w:tcPr>
          <w:p w14:paraId="1613EB83" w14:textId="77777777" w:rsidR="00452BD8" w:rsidRPr="001666E9" w:rsidRDefault="00452BD8" w:rsidP="002E32FA">
            <w:pPr>
              <w:widowControl w:val="0"/>
              <w:ind w:left="45" w:firstLine="99"/>
              <w:rPr>
                <w:bCs/>
              </w:rPr>
            </w:pPr>
          </w:p>
        </w:tc>
        <w:tc>
          <w:tcPr>
            <w:tcW w:w="2268" w:type="dxa"/>
            <w:vAlign w:val="center"/>
          </w:tcPr>
          <w:p w14:paraId="153EC693" w14:textId="77777777" w:rsidR="00452BD8" w:rsidRPr="001666E9" w:rsidRDefault="00452BD8" w:rsidP="002E32FA">
            <w:pPr>
              <w:widowControl w:val="0"/>
              <w:ind w:left="45" w:right="93"/>
              <w:jc w:val="both"/>
              <w:rPr>
                <w:bCs/>
              </w:rPr>
            </w:pPr>
            <w:r w:rsidRPr="001666E9">
              <w:t>Синий</w:t>
            </w:r>
          </w:p>
        </w:tc>
      </w:tr>
      <w:tr w:rsidR="00452BD8" w:rsidRPr="00FF513B" w14:paraId="7433A266" w14:textId="77777777" w:rsidTr="00452BD8">
        <w:tc>
          <w:tcPr>
            <w:tcW w:w="567" w:type="dxa"/>
            <w:vMerge/>
            <w:shd w:val="clear" w:color="auto" w:fill="FFFFFF"/>
            <w:vAlign w:val="center"/>
          </w:tcPr>
          <w:p w14:paraId="629FA637" w14:textId="77777777" w:rsidR="00452BD8" w:rsidRPr="001666E9" w:rsidRDefault="00452BD8" w:rsidP="006F6220">
            <w:pPr>
              <w:widowControl w:val="0"/>
              <w:numPr>
                <w:ilvl w:val="0"/>
                <w:numId w:val="1"/>
              </w:numPr>
              <w:shd w:val="clear" w:color="auto" w:fill="FFFFFF"/>
              <w:contextualSpacing/>
              <w:jc w:val="center"/>
              <w:rPr>
                <w:bCs/>
              </w:rPr>
            </w:pPr>
          </w:p>
        </w:tc>
        <w:tc>
          <w:tcPr>
            <w:tcW w:w="3118" w:type="dxa"/>
            <w:vMerge/>
            <w:shd w:val="clear" w:color="auto" w:fill="FFFFFF"/>
            <w:vAlign w:val="center"/>
          </w:tcPr>
          <w:p w14:paraId="21B86A05" w14:textId="77777777" w:rsidR="00452BD8" w:rsidRPr="001666E9" w:rsidRDefault="00452BD8" w:rsidP="002E32FA">
            <w:pPr>
              <w:widowControl w:val="0"/>
              <w:shd w:val="clear" w:color="auto" w:fill="FFFFFF"/>
              <w:ind w:left="5" w:hanging="3"/>
              <w:contextualSpacing/>
              <w:rPr>
                <w:bCs/>
              </w:rPr>
            </w:pPr>
          </w:p>
        </w:tc>
        <w:tc>
          <w:tcPr>
            <w:tcW w:w="1135" w:type="dxa"/>
            <w:vMerge/>
          </w:tcPr>
          <w:p w14:paraId="1D478392" w14:textId="77777777" w:rsidR="00452BD8" w:rsidRPr="001666E9" w:rsidRDefault="00452BD8" w:rsidP="002E32FA">
            <w:pPr>
              <w:widowControl w:val="0"/>
              <w:ind w:right="85"/>
              <w:rPr>
                <w:bCs/>
              </w:rPr>
            </w:pPr>
          </w:p>
        </w:tc>
        <w:tc>
          <w:tcPr>
            <w:tcW w:w="2552" w:type="dxa"/>
            <w:vAlign w:val="center"/>
          </w:tcPr>
          <w:p w14:paraId="3AC7F3B8" w14:textId="7946696D" w:rsidR="00452BD8" w:rsidRPr="001666E9" w:rsidRDefault="00452BD8" w:rsidP="002E32FA">
            <w:pPr>
              <w:widowControl w:val="0"/>
              <w:ind w:right="85"/>
              <w:rPr>
                <w:bCs/>
              </w:rPr>
            </w:pPr>
            <w:r w:rsidRPr="001666E9">
              <w:rPr>
                <w:bCs/>
              </w:rPr>
              <w:t>Ворота</w:t>
            </w:r>
          </w:p>
        </w:tc>
        <w:tc>
          <w:tcPr>
            <w:tcW w:w="709" w:type="dxa"/>
            <w:vAlign w:val="center"/>
          </w:tcPr>
          <w:p w14:paraId="23DDB2A3" w14:textId="77777777" w:rsidR="00452BD8" w:rsidRPr="001666E9" w:rsidRDefault="00452BD8" w:rsidP="002E32FA">
            <w:pPr>
              <w:widowControl w:val="0"/>
              <w:ind w:left="45" w:firstLine="99"/>
              <w:rPr>
                <w:bCs/>
              </w:rPr>
            </w:pPr>
            <w:r w:rsidRPr="001666E9">
              <w:rPr>
                <w:bCs/>
              </w:rPr>
              <w:t>м</w:t>
            </w:r>
          </w:p>
        </w:tc>
        <w:tc>
          <w:tcPr>
            <w:tcW w:w="2268" w:type="dxa"/>
            <w:vAlign w:val="center"/>
          </w:tcPr>
          <w:p w14:paraId="0B1AD40F" w14:textId="77777777" w:rsidR="00452BD8" w:rsidRPr="001666E9" w:rsidRDefault="00452BD8" w:rsidP="002E32FA">
            <w:pPr>
              <w:widowControl w:val="0"/>
              <w:ind w:left="45" w:right="93"/>
            </w:pPr>
            <w:r w:rsidRPr="001666E9">
              <w:t xml:space="preserve">Распашные на 3 </w:t>
            </w:r>
            <w:proofErr w:type="spellStart"/>
            <w:r w:rsidRPr="001666E9">
              <w:t>воротины</w:t>
            </w:r>
            <w:proofErr w:type="spellEnd"/>
            <w:r w:rsidRPr="001666E9">
              <w:t xml:space="preserve"> Ширина 1,43</w:t>
            </w:r>
          </w:p>
          <w:p w14:paraId="1F4609CF" w14:textId="77777777" w:rsidR="00452BD8" w:rsidRPr="001666E9" w:rsidRDefault="00452BD8" w:rsidP="002E32FA">
            <w:pPr>
              <w:widowControl w:val="0"/>
              <w:ind w:left="45" w:right="93"/>
              <w:jc w:val="both"/>
            </w:pPr>
            <w:r w:rsidRPr="001666E9">
              <w:t xml:space="preserve">Высота 1,30 </w:t>
            </w:r>
          </w:p>
          <w:p w14:paraId="5CF3132E" w14:textId="77777777" w:rsidR="00452BD8" w:rsidRPr="001666E9" w:rsidRDefault="00452BD8" w:rsidP="002E32FA">
            <w:pPr>
              <w:widowControl w:val="0"/>
              <w:ind w:left="45" w:right="93"/>
              <w:jc w:val="both"/>
            </w:pPr>
            <w:r w:rsidRPr="001666E9">
              <w:t>Способ крепления к основанию - сварные.</w:t>
            </w:r>
          </w:p>
        </w:tc>
      </w:tr>
      <w:tr w:rsidR="00452BD8" w:rsidRPr="00FF513B" w14:paraId="2B8C4C79" w14:textId="77777777" w:rsidTr="00452BD8">
        <w:trPr>
          <w:trHeight w:val="1204"/>
        </w:trPr>
        <w:tc>
          <w:tcPr>
            <w:tcW w:w="567" w:type="dxa"/>
            <w:vMerge/>
            <w:shd w:val="clear" w:color="auto" w:fill="FFFFFF"/>
            <w:vAlign w:val="center"/>
          </w:tcPr>
          <w:p w14:paraId="7BEA2953" w14:textId="77777777" w:rsidR="00452BD8" w:rsidRPr="001666E9" w:rsidRDefault="00452BD8" w:rsidP="006F6220">
            <w:pPr>
              <w:widowControl w:val="0"/>
              <w:numPr>
                <w:ilvl w:val="0"/>
                <w:numId w:val="1"/>
              </w:numPr>
              <w:shd w:val="clear" w:color="auto" w:fill="FFFFFF"/>
              <w:contextualSpacing/>
              <w:jc w:val="center"/>
              <w:rPr>
                <w:bCs/>
              </w:rPr>
            </w:pPr>
          </w:p>
        </w:tc>
        <w:tc>
          <w:tcPr>
            <w:tcW w:w="3118" w:type="dxa"/>
            <w:vMerge/>
            <w:shd w:val="clear" w:color="auto" w:fill="FFFFFF"/>
            <w:vAlign w:val="center"/>
          </w:tcPr>
          <w:p w14:paraId="6140422C" w14:textId="77777777" w:rsidR="00452BD8" w:rsidRPr="001666E9" w:rsidRDefault="00452BD8" w:rsidP="002E32FA">
            <w:pPr>
              <w:widowControl w:val="0"/>
              <w:shd w:val="clear" w:color="auto" w:fill="FFFFFF"/>
              <w:ind w:left="5" w:hanging="3"/>
              <w:contextualSpacing/>
              <w:rPr>
                <w:bCs/>
              </w:rPr>
            </w:pPr>
          </w:p>
        </w:tc>
        <w:tc>
          <w:tcPr>
            <w:tcW w:w="1135" w:type="dxa"/>
            <w:vMerge/>
          </w:tcPr>
          <w:p w14:paraId="1EBEB60A" w14:textId="77777777" w:rsidR="00452BD8" w:rsidRPr="001666E9" w:rsidRDefault="00452BD8" w:rsidP="002E32FA">
            <w:pPr>
              <w:widowControl w:val="0"/>
              <w:ind w:left="45" w:right="236"/>
              <w:rPr>
                <w:bCs/>
              </w:rPr>
            </w:pPr>
          </w:p>
        </w:tc>
        <w:tc>
          <w:tcPr>
            <w:tcW w:w="2552" w:type="dxa"/>
            <w:vAlign w:val="center"/>
          </w:tcPr>
          <w:p w14:paraId="793776E9" w14:textId="5B8F2D03" w:rsidR="00452BD8" w:rsidRPr="001666E9" w:rsidRDefault="00452BD8" w:rsidP="002E32FA">
            <w:pPr>
              <w:widowControl w:val="0"/>
              <w:ind w:left="45" w:right="236"/>
              <w:rPr>
                <w:bCs/>
              </w:rPr>
            </w:pPr>
            <w:r w:rsidRPr="001666E9">
              <w:rPr>
                <w:bCs/>
              </w:rPr>
              <w:t>Эксплуатационный ресурс изделия без замены узлов, элементов крепления и механизмов</w:t>
            </w:r>
          </w:p>
        </w:tc>
        <w:tc>
          <w:tcPr>
            <w:tcW w:w="709" w:type="dxa"/>
            <w:vAlign w:val="center"/>
          </w:tcPr>
          <w:p w14:paraId="5FD9BC2F" w14:textId="77777777" w:rsidR="00452BD8" w:rsidRPr="001666E9" w:rsidRDefault="00452BD8" w:rsidP="002E32FA">
            <w:pPr>
              <w:widowControl w:val="0"/>
              <w:ind w:left="45"/>
              <w:rPr>
                <w:bCs/>
              </w:rPr>
            </w:pPr>
            <w:r w:rsidRPr="001666E9">
              <w:rPr>
                <w:bCs/>
              </w:rPr>
              <w:t>мес.</w:t>
            </w:r>
          </w:p>
        </w:tc>
        <w:tc>
          <w:tcPr>
            <w:tcW w:w="2268" w:type="dxa"/>
            <w:vAlign w:val="center"/>
          </w:tcPr>
          <w:p w14:paraId="3F153483" w14:textId="77777777" w:rsidR="00452BD8" w:rsidRPr="001666E9" w:rsidRDefault="00452BD8" w:rsidP="002E32FA">
            <w:pPr>
              <w:widowControl w:val="0"/>
              <w:ind w:left="45" w:right="94" w:firstLine="99"/>
              <w:jc w:val="both"/>
              <w:rPr>
                <w:bCs/>
              </w:rPr>
            </w:pPr>
            <w:r w:rsidRPr="001666E9">
              <w:rPr>
                <w:bCs/>
              </w:rPr>
              <w:t>не менее 12</w:t>
            </w:r>
          </w:p>
        </w:tc>
      </w:tr>
      <w:tr w:rsidR="00452BD8" w:rsidRPr="00FF513B" w14:paraId="46EB3ABD" w14:textId="77777777" w:rsidTr="00452BD8">
        <w:trPr>
          <w:trHeight w:val="1204"/>
        </w:trPr>
        <w:tc>
          <w:tcPr>
            <w:tcW w:w="567" w:type="dxa"/>
            <w:vMerge/>
            <w:shd w:val="clear" w:color="auto" w:fill="FFFFFF"/>
            <w:vAlign w:val="center"/>
          </w:tcPr>
          <w:p w14:paraId="56E46922" w14:textId="77777777" w:rsidR="00452BD8" w:rsidRPr="001666E9" w:rsidRDefault="00452BD8" w:rsidP="00D574EE">
            <w:pPr>
              <w:widowControl w:val="0"/>
              <w:shd w:val="clear" w:color="auto" w:fill="FFFFFF"/>
              <w:ind w:left="720"/>
              <w:contextualSpacing/>
              <w:rPr>
                <w:bCs/>
              </w:rPr>
            </w:pPr>
          </w:p>
        </w:tc>
        <w:tc>
          <w:tcPr>
            <w:tcW w:w="3118" w:type="dxa"/>
            <w:vMerge/>
            <w:shd w:val="clear" w:color="auto" w:fill="FFFFFF"/>
            <w:vAlign w:val="center"/>
          </w:tcPr>
          <w:p w14:paraId="13A2297A" w14:textId="77777777" w:rsidR="00452BD8" w:rsidRPr="001666E9" w:rsidRDefault="00452BD8" w:rsidP="002E32FA">
            <w:pPr>
              <w:widowControl w:val="0"/>
              <w:shd w:val="clear" w:color="auto" w:fill="FFFFFF"/>
              <w:ind w:left="5" w:hanging="3"/>
              <w:contextualSpacing/>
              <w:rPr>
                <w:bCs/>
              </w:rPr>
            </w:pPr>
          </w:p>
        </w:tc>
        <w:tc>
          <w:tcPr>
            <w:tcW w:w="1135" w:type="dxa"/>
            <w:vMerge/>
          </w:tcPr>
          <w:p w14:paraId="49BA793C" w14:textId="77777777" w:rsidR="00452BD8" w:rsidRPr="00102BAE" w:rsidRDefault="00452BD8" w:rsidP="002E32FA">
            <w:pPr>
              <w:widowControl w:val="0"/>
              <w:ind w:left="45" w:right="236"/>
              <w:rPr>
                <w:bCs/>
              </w:rPr>
            </w:pPr>
          </w:p>
        </w:tc>
        <w:tc>
          <w:tcPr>
            <w:tcW w:w="2552" w:type="dxa"/>
            <w:vAlign w:val="center"/>
          </w:tcPr>
          <w:p w14:paraId="4F1DE4EB" w14:textId="155A7155" w:rsidR="00452BD8" w:rsidRPr="00102BAE" w:rsidRDefault="00452BD8" w:rsidP="002E32FA">
            <w:pPr>
              <w:widowControl w:val="0"/>
              <w:ind w:left="45" w:right="236"/>
              <w:rPr>
                <w:bCs/>
              </w:rPr>
            </w:pPr>
            <w:r w:rsidRPr="00102BAE">
              <w:rPr>
                <w:bCs/>
              </w:rPr>
              <w:t xml:space="preserve">Количество </w:t>
            </w:r>
          </w:p>
        </w:tc>
        <w:tc>
          <w:tcPr>
            <w:tcW w:w="709" w:type="dxa"/>
            <w:vAlign w:val="center"/>
          </w:tcPr>
          <w:p w14:paraId="48E3DCAB" w14:textId="5419B951" w:rsidR="00452BD8" w:rsidRPr="00102BAE" w:rsidRDefault="00452BD8" w:rsidP="002E32FA">
            <w:pPr>
              <w:widowControl w:val="0"/>
              <w:ind w:left="45"/>
              <w:rPr>
                <w:bCs/>
              </w:rPr>
            </w:pPr>
            <w:proofErr w:type="spellStart"/>
            <w:r w:rsidRPr="00102BAE">
              <w:rPr>
                <w:bCs/>
              </w:rPr>
              <w:t>компл</w:t>
            </w:r>
            <w:proofErr w:type="spellEnd"/>
            <w:r w:rsidRPr="00102BAE">
              <w:rPr>
                <w:bCs/>
              </w:rPr>
              <w:t>.</w:t>
            </w:r>
          </w:p>
        </w:tc>
        <w:tc>
          <w:tcPr>
            <w:tcW w:w="2268" w:type="dxa"/>
            <w:vAlign w:val="center"/>
          </w:tcPr>
          <w:p w14:paraId="68956908" w14:textId="11FC1836" w:rsidR="00452BD8" w:rsidRPr="00102BAE" w:rsidRDefault="00452BD8" w:rsidP="002E32FA">
            <w:pPr>
              <w:widowControl w:val="0"/>
              <w:ind w:left="45" w:right="94" w:firstLine="99"/>
              <w:jc w:val="both"/>
              <w:rPr>
                <w:bCs/>
              </w:rPr>
            </w:pPr>
            <w:r w:rsidRPr="00102BAE">
              <w:rPr>
                <w:bCs/>
              </w:rPr>
              <w:t>1</w:t>
            </w:r>
          </w:p>
        </w:tc>
      </w:tr>
      <w:tr w:rsidR="00452BD8" w:rsidRPr="00FF513B" w14:paraId="2D4694C2" w14:textId="77777777" w:rsidTr="00452BD8">
        <w:trPr>
          <w:trHeight w:val="872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05E915A" w14:textId="77777777" w:rsidR="00452BD8" w:rsidRPr="001666E9" w:rsidRDefault="00452BD8" w:rsidP="002E32FA">
            <w:pPr>
              <w:widowControl w:val="0"/>
              <w:shd w:val="clear" w:color="auto" w:fill="FFFFFF"/>
              <w:contextualSpacing/>
              <w:jc w:val="center"/>
              <w:rPr>
                <w:bCs/>
              </w:rPr>
            </w:pPr>
            <w:r w:rsidRPr="001666E9">
              <w:rPr>
                <w:bCs/>
              </w:rPr>
              <w:t>2.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6FB09E8" w14:textId="2E56993B" w:rsidR="00452BD8" w:rsidRPr="001666E9" w:rsidRDefault="00452BD8" w:rsidP="002E32FA">
            <w:pPr>
              <w:widowControl w:val="0"/>
              <w:shd w:val="clear" w:color="auto" w:fill="FFFFFF"/>
              <w:ind w:left="5" w:hanging="3"/>
              <w:contextualSpacing/>
              <w:rPr>
                <w:bCs/>
              </w:rPr>
            </w:pPr>
            <w:r>
              <w:rPr>
                <w:bCs/>
              </w:rPr>
              <w:t xml:space="preserve">Платформа </w:t>
            </w:r>
            <w:r w:rsidRPr="001666E9">
              <w:rPr>
                <w:bCs/>
              </w:rPr>
              <w:t xml:space="preserve"> </w:t>
            </w:r>
          </w:p>
        </w:tc>
        <w:tc>
          <w:tcPr>
            <w:tcW w:w="1135" w:type="dxa"/>
            <w:vMerge w:val="restart"/>
          </w:tcPr>
          <w:p w14:paraId="04916857" w14:textId="518151E2" w:rsidR="00452BD8" w:rsidRPr="001666E9" w:rsidRDefault="00452BD8" w:rsidP="002E32FA">
            <w:pPr>
              <w:widowControl w:val="0"/>
              <w:ind w:left="45" w:right="85"/>
              <w:rPr>
                <w:bCs/>
              </w:rPr>
            </w:pPr>
            <w:r>
              <w:rPr>
                <w:bCs/>
              </w:rPr>
              <w:t>28.22.19.190</w:t>
            </w:r>
            <w:r w:rsidR="00F12644">
              <w:rPr>
                <w:bCs/>
              </w:rPr>
              <w:t>,</w:t>
            </w:r>
            <w:r>
              <w:rPr>
                <w:bCs/>
              </w:rPr>
              <w:t xml:space="preserve"> Преимущество</w:t>
            </w:r>
          </w:p>
        </w:tc>
        <w:tc>
          <w:tcPr>
            <w:tcW w:w="2552" w:type="dxa"/>
            <w:vAlign w:val="center"/>
          </w:tcPr>
          <w:p w14:paraId="67B7C572" w14:textId="11C9C4D9" w:rsidR="00452BD8" w:rsidRPr="001666E9" w:rsidRDefault="00452BD8" w:rsidP="002E32FA">
            <w:pPr>
              <w:widowControl w:val="0"/>
              <w:ind w:left="45" w:right="85"/>
              <w:rPr>
                <w:bCs/>
              </w:rPr>
            </w:pPr>
            <w:r w:rsidRPr="001666E9">
              <w:rPr>
                <w:bCs/>
              </w:rPr>
              <w:t xml:space="preserve">Под контейнер ТКО   </w:t>
            </w:r>
            <w:r>
              <w:rPr>
                <w:bCs/>
              </w:rPr>
              <w:t>с колесной опорой</w:t>
            </w:r>
            <w:r w:rsidRPr="001666E9">
              <w:rPr>
                <w:bCs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01EA126" w14:textId="2FD8FC21" w:rsidR="00452BD8" w:rsidRPr="001666E9" w:rsidRDefault="00452BD8" w:rsidP="002E32FA">
            <w:pPr>
              <w:widowControl w:val="0"/>
              <w:rPr>
                <w:bCs/>
              </w:rPr>
            </w:pPr>
          </w:p>
        </w:tc>
        <w:tc>
          <w:tcPr>
            <w:tcW w:w="2268" w:type="dxa"/>
            <w:vAlign w:val="center"/>
          </w:tcPr>
          <w:p w14:paraId="1ECCCA67" w14:textId="77777777" w:rsidR="00452BD8" w:rsidRDefault="00452BD8" w:rsidP="002E32FA">
            <w:pPr>
              <w:widowControl w:val="0"/>
              <w:ind w:left="45" w:right="94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1666E9">
              <w:rPr>
                <w:bCs/>
              </w:rPr>
              <w:t xml:space="preserve">снования </w:t>
            </w:r>
            <w:r>
              <w:rPr>
                <w:bCs/>
              </w:rPr>
              <w:t xml:space="preserve">платформы </w:t>
            </w:r>
            <w:r w:rsidRPr="001666E9">
              <w:rPr>
                <w:bCs/>
              </w:rPr>
              <w:t>-уголок</w:t>
            </w:r>
            <w:r>
              <w:rPr>
                <w:bCs/>
              </w:rPr>
              <w:t xml:space="preserve"> 40*40*0,3 </w:t>
            </w:r>
            <w:r w:rsidRPr="001666E9">
              <w:rPr>
                <w:bCs/>
              </w:rPr>
              <w:t>мм,</w:t>
            </w:r>
            <w:r>
              <w:rPr>
                <w:bCs/>
              </w:rPr>
              <w:t xml:space="preserve"> 4 </w:t>
            </w:r>
            <w:r w:rsidRPr="001666E9">
              <w:rPr>
                <w:bCs/>
              </w:rPr>
              <w:t>колеса</w:t>
            </w:r>
            <w:r>
              <w:rPr>
                <w:bCs/>
              </w:rPr>
              <w:t xml:space="preserve"> промышленные, поворотные без тормозов. </w:t>
            </w:r>
            <w:r w:rsidRPr="001666E9">
              <w:rPr>
                <w:bCs/>
              </w:rPr>
              <w:t>Диаметр 1</w:t>
            </w:r>
            <w:r>
              <w:rPr>
                <w:bCs/>
              </w:rPr>
              <w:t>6</w:t>
            </w:r>
            <w:r w:rsidRPr="001666E9">
              <w:rPr>
                <w:bCs/>
              </w:rPr>
              <w:t xml:space="preserve">0 мм. </w:t>
            </w:r>
          </w:p>
          <w:p w14:paraId="64690DE2" w14:textId="317D96A7" w:rsidR="00452BD8" w:rsidRPr="001666E9" w:rsidRDefault="00452BD8" w:rsidP="00D574EE">
            <w:pPr>
              <w:widowControl w:val="0"/>
              <w:ind w:left="45" w:right="94"/>
              <w:jc w:val="both"/>
              <w:rPr>
                <w:bCs/>
              </w:rPr>
            </w:pPr>
            <w:r w:rsidRPr="001666E9">
              <w:rPr>
                <w:bCs/>
              </w:rPr>
              <w:t>Цвет -серый.</w:t>
            </w:r>
          </w:p>
        </w:tc>
      </w:tr>
      <w:tr w:rsidR="00452BD8" w:rsidRPr="00FF513B" w14:paraId="7358B5C2" w14:textId="77777777" w:rsidTr="00452BD8">
        <w:trPr>
          <w:trHeight w:val="872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0665D08" w14:textId="77777777" w:rsidR="00452BD8" w:rsidRPr="001666E9" w:rsidRDefault="00452BD8" w:rsidP="002E32FA">
            <w:pPr>
              <w:widowControl w:val="0"/>
              <w:shd w:val="clear" w:color="auto" w:fill="FFFFFF"/>
              <w:contextualSpacing/>
              <w:jc w:val="center"/>
              <w:rPr>
                <w:bCs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20BFC1C" w14:textId="77777777" w:rsidR="00452BD8" w:rsidRDefault="00452BD8" w:rsidP="002E32FA">
            <w:pPr>
              <w:widowControl w:val="0"/>
              <w:shd w:val="clear" w:color="auto" w:fill="FFFFFF"/>
              <w:ind w:left="5" w:hanging="3"/>
              <w:contextualSpacing/>
              <w:rPr>
                <w:bCs/>
              </w:rPr>
            </w:pPr>
          </w:p>
        </w:tc>
        <w:tc>
          <w:tcPr>
            <w:tcW w:w="1135" w:type="dxa"/>
            <w:vMerge/>
          </w:tcPr>
          <w:p w14:paraId="4E55FDB2" w14:textId="77777777" w:rsidR="00452BD8" w:rsidRPr="00102BAE" w:rsidRDefault="00452BD8" w:rsidP="002E32FA">
            <w:pPr>
              <w:widowControl w:val="0"/>
              <w:ind w:left="45" w:right="85"/>
              <w:rPr>
                <w:bCs/>
              </w:rPr>
            </w:pPr>
          </w:p>
        </w:tc>
        <w:tc>
          <w:tcPr>
            <w:tcW w:w="2552" w:type="dxa"/>
            <w:vAlign w:val="center"/>
          </w:tcPr>
          <w:p w14:paraId="40D38FEB" w14:textId="595C8B39" w:rsidR="00452BD8" w:rsidRPr="00102BAE" w:rsidRDefault="00452BD8" w:rsidP="002E32FA">
            <w:pPr>
              <w:widowControl w:val="0"/>
              <w:ind w:left="45" w:right="85"/>
              <w:rPr>
                <w:bCs/>
              </w:rPr>
            </w:pPr>
            <w:r w:rsidRPr="00102BAE">
              <w:rPr>
                <w:bCs/>
              </w:rPr>
              <w:t xml:space="preserve">Количество </w:t>
            </w:r>
          </w:p>
        </w:tc>
        <w:tc>
          <w:tcPr>
            <w:tcW w:w="709" w:type="dxa"/>
            <w:vAlign w:val="center"/>
          </w:tcPr>
          <w:p w14:paraId="0F450ABB" w14:textId="47173732" w:rsidR="00452BD8" w:rsidRPr="00102BAE" w:rsidRDefault="00452BD8" w:rsidP="002E32FA">
            <w:pPr>
              <w:widowControl w:val="0"/>
              <w:rPr>
                <w:bCs/>
              </w:rPr>
            </w:pPr>
            <w:r w:rsidRPr="00102BAE">
              <w:rPr>
                <w:bCs/>
              </w:rPr>
              <w:t>шт.</w:t>
            </w:r>
          </w:p>
        </w:tc>
        <w:tc>
          <w:tcPr>
            <w:tcW w:w="2268" w:type="dxa"/>
            <w:vAlign w:val="center"/>
          </w:tcPr>
          <w:p w14:paraId="66B97209" w14:textId="3FC84C75" w:rsidR="00452BD8" w:rsidRPr="00102BAE" w:rsidRDefault="00452BD8" w:rsidP="002E32FA">
            <w:pPr>
              <w:widowControl w:val="0"/>
              <w:ind w:left="45" w:right="94"/>
              <w:jc w:val="both"/>
              <w:rPr>
                <w:bCs/>
              </w:rPr>
            </w:pPr>
            <w:r w:rsidRPr="00102BAE">
              <w:rPr>
                <w:bCs/>
              </w:rPr>
              <w:t>3</w:t>
            </w:r>
          </w:p>
        </w:tc>
      </w:tr>
      <w:tr w:rsidR="00452BD8" w:rsidRPr="00FF513B" w14:paraId="0656B16C" w14:textId="77777777" w:rsidTr="00452BD8">
        <w:trPr>
          <w:trHeight w:val="872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7C5A169" w14:textId="77777777" w:rsidR="00452BD8" w:rsidRPr="001666E9" w:rsidRDefault="00452BD8" w:rsidP="002E32FA">
            <w:pPr>
              <w:widowControl w:val="0"/>
              <w:shd w:val="clear" w:color="auto" w:fill="FFFFFF"/>
              <w:contextualSpacing/>
              <w:jc w:val="center"/>
              <w:rPr>
                <w:bCs/>
              </w:rPr>
            </w:pPr>
            <w:r w:rsidRPr="001666E9">
              <w:rPr>
                <w:bCs/>
              </w:rPr>
              <w:t>3.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3CDDED5" w14:textId="77777777" w:rsidR="00452BD8" w:rsidRPr="001666E9" w:rsidRDefault="00452BD8" w:rsidP="002E32FA">
            <w:pPr>
              <w:widowControl w:val="0"/>
              <w:shd w:val="clear" w:color="auto" w:fill="FFFFFF"/>
              <w:ind w:left="5" w:hanging="3"/>
              <w:contextualSpacing/>
              <w:rPr>
                <w:bCs/>
              </w:rPr>
            </w:pPr>
            <w:r w:rsidRPr="001666E9">
              <w:rPr>
                <w:bCs/>
              </w:rPr>
              <w:t xml:space="preserve">Контейнер  </w:t>
            </w:r>
          </w:p>
        </w:tc>
        <w:tc>
          <w:tcPr>
            <w:tcW w:w="1135" w:type="dxa"/>
            <w:vMerge w:val="restart"/>
          </w:tcPr>
          <w:p w14:paraId="17B4EDA4" w14:textId="4FF1D963" w:rsidR="00452BD8" w:rsidRPr="001666E9" w:rsidRDefault="00452BD8" w:rsidP="002E32FA">
            <w:pPr>
              <w:widowControl w:val="0"/>
              <w:ind w:right="85"/>
              <w:rPr>
                <w:bCs/>
              </w:rPr>
            </w:pPr>
            <w:r>
              <w:rPr>
                <w:bCs/>
              </w:rPr>
              <w:t>29.20.21.129</w:t>
            </w:r>
            <w:r w:rsidR="00F12644">
              <w:rPr>
                <w:bCs/>
              </w:rPr>
              <w:t xml:space="preserve">, </w:t>
            </w:r>
            <w:r w:rsidRPr="00452BD8">
              <w:rPr>
                <w:bCs/>
              </w:rPr>
              <w:t>Запрет не применяется на основан</w:t>
            </w:r>
            <w:r w:rsidRPr="00452BD8">
              <w:rPr>
                <w:bCs/>
              </w:rPr>
              <w:lastRenderedPageBreak/>
              <w:t xml:space="preserve">ии подп. "и" п. 5 </w:t>
            </w:r>
            <w:r>
              <w:rPr>
                <w:bCs/>
              </w:rPr>
              <w:t>ПП РФ</w:t>
            </w:r>
            <w:r w:rsidRPr="00452BD8">
              <w:rPr>
                <w:bCs/>
              </w:rPr>
              <w:t xml:space="preserve"> от 23 декабря 2024 г. N 1875</w:t>
            </w:r>
          </w:p>
        </w:tc>
        <w:tc>
          <w:tcPr>
            <w:tcW w:w="2552" w:type="dxa"/>
            <w:vAlign w:val="center"/>
          </w:tcPr>
          <w:p w14:paraId="4BEA793B" w14:textId="53F27665" w:rsidR="00452BD8" w:rsidRPr="001666E9" w:rsidRDefault="00452BD8" w:rsidP="002E32FA">
            <w:pPr>
              <w:widowControl w:val="0"/>
              <w:ind w:right="85"/>
              <w:rPr>
                <w:bCs/>
              </w:rPr>
            </w:pPr>
            <w:r w:rsidRPr="001666E9">
              <w:rPr>
                <w:bCs/>
              </w:rPr>
              <w:lastRenderedPageBreak/>
              <w:t xml:space="preserve">Металлический  </w:t>
            </w:r>
          </w:p>
        </w:tc>
        <w:tc>
          <w:tcPr>
            <w:tcW w:w="709" w:type="dxa"/>
            <w:vAlign w:val="center"/>
          </w:tcPr>
          <w:p w14:paraId="7D399CD4" w14:textId="77777777" w:rsidR="00452BD8" w:rsidRPr="001666E9" w:rsidRDefault="00452BD8" w:rsidP="002E32FA">
            <w:pPr>
              <w:widowControl w:val="0"/>
              <w:ind w:left="45" w:firstLine="99"/>
              <w:rPr>
                <w:bCs/>
              </w:rPr>
            </w:pPr>
            <w:r w:rsidRPr="001666E9">
              <w:rPr>
                <w:bCs/>
              </w:rPr>
              <w:t>мм</w:t>
            </w:r>
          </w:p>
        </w:tc>
        <w:tc>
          <w:tcPr>
            <w:tcW w:w="2268" w:type="dxa"/>
            <w:vAlign w:val="center"/>
          </w:tcPr>
          <w:p w14:paraId="26426D66" w14:textId="77777777" w:rsidR="00452BD8" w:rsidRPr="001666E9" w:rsidRDefault="00452BD8" w:rsidP="002E32FA">
            <w:pPr>
              <w:widowControl w:val="0"/>
              <w:ind w:left="45" w:right="94"/>
              <w:rPr>
                <w:bCs/>
              </w:rPr>
            </w:pPr>
            <w:r w:rsidRPr="001666E9">
              <w:rPr>
                <w:bCs/>
              </w:rPr>
              <w:t xml:space="preserve">Размер 1000*900*700 </w:t>
            </w:r>
          </w:p>
          <w:p w14:paraId="5D6BA99C" w14:textId="77777777" w:rsidR="00452BD8" w:rsidRPr="001666E9" w:rsidRDefault="00452BD8" w:rsidP="002E32FA">
            <w:pPr>
              <w:widowControl w:val="0"/>
              <w:ind w:left="45" w:right="94"/>
              <w:rPr>
                <w:bCs/>
              </w:rPr>
            </w:pPr>
            <w:r w:rsidRPr="001666E9">
              <w:rPr>
                <w:bCs/>
              </w:rPr>
              <w:t>Толщина металла 2 мм с усиленными ребрами из уголка.</w:t>
            </w:r>
          </w:p>
        </w:tc>
      </w:tr>
      <w:tr w:rsidR="00452BD8" w:rsidRPr="00FF513B" w14:paraId="575170F4" w14:textId="77777777" w:rsidTr="00452BD8">
        <w:trPr>
          <w:trHeight w:val="872"/>
        </w:trPr>
        <w:tc>
          <w:tcPr>
            <w:tcW w:w="567" w:type="dxa"/>
            <w:vMerge/>
            <w:shd w:val="clear" w:color="auto" w:fill="FFFFFF"/>
            <w:vAlign w:val="center"/>
          </w:tcPr>
          <w:p w14:paraId="46E1375A" w14:textId="0229F4C2" w:rsidR="00452BD8" w:rsidRPr="001666E9" w:rsidRDefault="00452BD8" w:rsidP="002E32FA">
            <w:pPr>
              <w:widowControl w:val="0"/>
              <w:shd w:val="clear" w:color="auto" w:fill="FFFFFF"/>
              <w:contextualSpacing/>
              <w:jc w:val="center"/>
              <w:rPr>
                <w:bCs/>
              </w:rPr>
            </w:pPr>
          </w:p>
        </w:tc>
        <w:tc>
          <w:tcPr>
            <w:tcW w:w="3118" w:type="dxa"/>
            <w:vMerge/>
            <w:shd w:val="clear" w:color="auto" w:fill="FFFFFF"/>
            <w:vAlign w:val="center"/>
          </w:tcPr>
          <w:p w14:paraId="49155D99" w14:textId="77777777" w:rsidR="00452BD8" w:rsidRPr="001666E9" w:rsidRDefault="00452BD8" w:rsidP="002E32FA">
            <w:pPr>
              <w:widowControl w:val="0"/>
              <w:shd w:val="clear" w:color="auto" w:fill="FFFFFF"/>
              <w:ind w:left="5" w:hanging="3"/>
              <w:contextualSpacing/>
              <w:rPr>
                <w:bCs/>
              </w:rPr>
            </w:pPr>
          </w:p>
        </w:tc>
        <w:tc>
          <w:tcPr>
            <w:tcW w:w="1135" w:type="dxa"/>
            <w:vMerge/>
          </w:tcPr>
          <w:p w14:paraId="03C603C7" w14:textId="77777777" w:rsidR="00452BD8" w:rsidRPr="001666E9" w:rsidRDefault="00452BD8" w:rsidP="002E32FA">
            <w:pPr>
              <w:widowControl w:val="0"/>
              <w:ind w:right="85"/>
              <w:rPr>
                <w:bCs/>
              </w:rPr>
            </w:pPr>
          </w:p>
        </w:tc>
        <w:tc>
          <w:tcPr>
            <w:tcW w:w="2552" w:type="dxa"/>
            <w:vAlign w:val="center"/>
          </w:tcPr>
          <w:p w14:paraId="53B4919E" w14:textId="130D641A" w:rsidR="00452BD8" w:rsidRPr="001666E9" w:rsidRDefault="00452BD8" w:rsidP="002E32FA">
            <w:pPr>
              <w:widowControl w:val="0"/>
              <w:ind w:right="85"/>
              <w:rPr>
                <w:bCs/>
              </w:rPr>
            </w:pPr>
            <w:r w:rsidRPr="001666E9">
              <w:rPr>
                <w:bCs/>
              </w:rPr>
              <w:t>Тип контейнера</w:t>
            </w:r>
          </w:p>
        </w:tc>
        <w:tc>
          <w:tcPr>
            <w:tcW w:w="709" w:type="dxa"/>
            <w:vAlign w:val="center"/>
          </w:tcPr>
          <w:p w14:paraId="51434ED6" w14:textId="77777777" w:rsidR="00452BD8" w:rsidRPr="001666E9" w:rsidRDefault="00452BD8" w:rsidP="002E32FA">
            <w:pPr>
              <w:widowControl w:val="0"/>
              <w:ind w:left="45" w:firstLine="99"/>
              <w:rPr>
                <w:bCs/>
              </w:rPr>
            </w:pPr>
          </w:p>
        </w:tc>
        <w:tc>
          <w:tcPr>
            <w:tcW w:w="2268" w:type="dxa"/>
            <w:vAlign w:val="center"/>
          </w:tcPr>
          <w:p w14:paraId="1E344BEC" w14:textId="77777777" w:rsidR="00452BD8" w:rsidRPr="001666E9" w:rsidRDefault="00452BD8" w:rsidP="002E32FA">
            <w:pPr>
              <w:widowControl w:val="0"/>
              <w:ind w:left="45" w:right="94"/>
              <w:rPr>
                <w:bCs/>
              </w:rPr>
            </w:pPr>
            <w:r w:rsidRPr="001666E9">
              <w:rPr>
                <w:bCs/>
              </w:rPr>
              <w:t xml:space="preserve">Для сбора ТКО, без крышки, грузоподъемностью до 250 кг. </w:t>
            </w:r>
          </w:p>
        </w:tc>
      </w:tr>
      <w:tr w:rsidR="00452BD8" w:rsidRPr="00FF513B" w14:paraId="1269C105" w14:textId="77777777" w:rsidTr="00452BD8">
        <w:trPr>
          <w:trHeight w:val="868"/>
        </w:trPr>
        <w:tc>
          <w:tcPr>
            <w:tcW w:w="567" w:type="dxa"/>
            <w:vMerge/>
            <w:shd w:val="clear" w:color="auto" w:fill="FFFFFF"/>
            <w:vAlign w:val="center"/>
          </w:tcPr>
          <w:p w14:paraId="6A6720C5" w14:textId="1E9F5832" w:rsidR="00452BD8" w:rsidRPr="001666E9" w:rsidRDefault="00452BD8" w:rsidP="002E32FA">
            <w:pPr>
              <w:widowControl w:val="0"/>
              <w:shd w:val="clear" w:color="auto" w:fill="FFFFFF"/>
              <w:ind w:left="5" w:hanging="3"/>
              <w:contextualSpacing/>
              <w:rPr>
                <w:bCs/>
              </w:rPr>
            </w:pPr>
          </w:p>
        </w:tc>
        <w:tc>
          <w:tcPr>
            <w:tcW w:w="3118" w:type="dxa"/>
            <w:vMerge/>
            <w:shd w:val="clear" w:color="auto" w:fill="FFFFFF"/>
            <w:vAlign w:val="center"/>
          </w:tcPr>
          <w:p w14:paraId="1161277F" w14:textId="77777777" w:rsidR="00452BD8" w:rsidRPr="001666E9" w:rsidRDefault="00452BD8" w:rsidP="002E32FA">
            <w:pPr>
              <w:widowControl w:val="0"/>
              <w:shd w:val="clear" w:color="auto" w:fill="FFFFFF"/>
              <w:ind w:left="5" w:hanging="3"/>
              <w:contextualSpacing/>
              <w:rPr>
                <w:bCs/>
              </w:rPr>
            </w:pPr>
          </w:p>
        </w:tc>
        <w:tc>
          <w:tcPr>
            <w:tcW w:w="1135" w:type="dxa"/>
            <w:vMerge/>
          </w:tcPr>
          <w:p w14:paraId="2E1DF6D3" w14:textId="77777777" w:rsidR="00452BD8" w:rsidRPr="001666E9" w:rsidRDefault="00452BD8" w:rsidP="002E32FA">
            <w:pPr>
              <w:widowControl w:val="0"/>
              <w:ind w:right="85"/>
              <w:rPr>
                <w:bCs/>
              </w:rPr>
            </w:pPr>
          </w:p>
        </w:tc>
        <w:tc>
          <w:tcPr>
            <w:tcW w:w="2552" w:type="dxa"/>
            <w:vAlign w:val="center"/>
          </w:tcPr>
          <w:p w14:paraId="5734E543" w14:textId="5E8BA3F6" w:rsidR="00452BD8" w:rsidRPr="001666E9" w:rsidRDefault="00452BD8" w:rsidP="002E32FA">
            <w:pPr>
              <w:widowControl w:val="0"/>
              <w:ind w:right="85"/>
              <w:rPr>
                <w:bCs/>
              </w:rPr>
            </w:pPr>
            <w:r w:rsidRPr="001666E9">
              <w:rPr>
                <w:bCs/>
              </w:rPr>
              <w:t xml:space="preserve">Цвет контейнера </w:t>
            </w:r>
          </w:p>
        </w:tc>
        <w:tc>
          <w:tcPr>
            <w:tcW w:w="709" w:type="dxa"/>
            <w:vAlign w:val="center"/>
          </w:tcPr>
          <w:p w14:paraId="234C2909" w14:textId="77777777" w:rsidR="00452BD8" w:rsidRPr="001666E9" w:rsidRDefault="00452BD8" w:rsidP="002E32FA">
            <w:pPr>
              <w:widowControl w:val="0"/>
              <w:ind w:left="45" w:firstLine="99"/>
              <w:rPr>
                <w:bCs/>
              </w:rPr>
            </w:pPr>
          </w:p>
        </w:tc>
        <w:tc>
          <w:tcPr>
            <w:tcW w:w="2268" w:type="dxa"/>
            <w:vAlign w:val="center"/>
          </w:tcPr>
          <w:p w14:paraId="3BCF151D" w14:textId="77777777" w:rsidR="00452BD8" w:rsidRPr="001666E9" w:rsidRDefault="00452BD8" w:rsidP="002E32FA">
            <w:pPr>
              <w:widowControl w:val="0"/>
              <w:ind w:left="45" w:right="94"/>
              <w:rPr>
                <w:bCs/>
              </w:rPr>
            </w:pPr>
            <w:r w:rsidRPr="001666E9">
              <w:rPr>
                <w:bCs/>
              </w:rPr>
              <w:t>Серый</w:t>
            </w:r>
          </w:p>
        </w:tc>
      </w:tr>
      <w:tr w:rsidR="00452BD8" w:rsidRPr="00FF513B" w14:paraId="5EECF6DB" w14:textId="77777777" w:rsidTr="00452BD8">
        <w:trPr>
          <w:trHeight w:val="868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9A6856C" w14:textId="620745F7" w:rsidR="00452BD8" w:rsidRPr="001550A6" w:rsidRDefault="00452BD8" w:rsidP="002E32FA">
            <w:pPr>
              <w:widowControl w:val="0"/>
              <w:shd w:val="clear" w:color="auto" w:fill="FFFFFF"/>
              <w:ind w:left="5" w:hanging="3"/>
              <w:contextualSpacing/>
              <w:rPr>
                <w:bCs/>
                <w:highlight w:val="yellow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595520" w14:textId="77777777" w:rsidR="00452BD8" w:rsidRPr="001550A6" w:rsidRDefault="00452BD8" w:rsidP="002E32FA">
            <w:pPr>
              <w:widowControl w:val="0"/>
              <w:shd w:val="clear" w:color="auto" w:fill="FFFFFF"/>
              <w:ind w:left="5" w:hanging="3"/>
              <w:contextualSpacing/>
              <w:rPr>
                <w:bCs/>
                <w:highlight w:val="yellow"/>
              </w:rPr>
            </w:pPr>
          </w:p>
        </w:tc>
        <w:tc>
          <w:tcPr>
            <w:tcW w:w="1135" w:type="dxa"/>
            <w:vMerge/>
          </w:tcPr>
          <w:p w14:paraId="705E46E9" w14:textId="77777777" w:rsidR="00452BD8" w:rsidRPr="00102BAE" w:rsidRDefault="00452BD8" w:rsidP="002E32FA">
            <w:pPr>
              <w:widowControl w:val="0"/>
              <w:ind w:right="85"/>
              <w:rPr>
                <w:bCs/>
              </w:rPr>
            </w:pPr>
          </w:p>
        </w:tc>
        <w:tc>
          <w:tcPr>
            <w:tcW w:w="2552" w:type="dxa"/>
            <w:vAlign w:val="center"/>
          </w:tcPr>
          <w:p w14:paraId="5223A51C" w14:textId="4E92CA0D" w:rsidR="00452BD8" w:rsidRPr="00102BAE" w:rsidRDefault="00452BD8" w:rsidP="002E32FA">
            <w:pPr>
              <w:widowControl w:val="0"/>
              <w:ind w:right="85"/>
              <w:rPr>
                <w:bCs/>
              </w:rPr>
            </w:pPr>
            <w:r w:rsidRPr="00102BAE">
              <w:rPr>
                <w:bCs/>
              </w:rPr>
              <w:t>Количество</w:t>
            </w:r>
          </w:p>
        </w:tc>
        <w:tc>
          <w:tcPr>
            <w:tcW w:w="709" w:type="dxa"/>
            <w:vAlign w:val="center"/>
          </w:tcPr>
          <w:p w14:paraId="3C820002" w14:textId="473EA863" w:rsidR="00452BD8" w:rsidRPr="00102BAE" w:rsidRDefault="00452BD8" w:rsidP="001550A6">
            <w:pPr>
              <w:widowControl w:val="0"/>
              <w:ind w:left="45"/>
              <w:rPr>
                <w:bCs/>
              </w:rPr>
            </w:pPr>
            <w:r w:rsidRPr="00102BAE">
              <w:rPr>
                <w:bCs/>
              </w:rPr>
              <w:t>шт.</w:t>
            </w:r>
          </w:p>
        </w:tc>
        <w:tc>
          <w:tcPr>
            <w:tcW w:w="2268" w:type="dxa"/>
            <w:vAlign w:val="center"/>
          </w:tcPr>
          <w:p w14:paraId="62472896" w14:textId="49CEBA5A" w:rsidR="00452BD8" w:rsidRPr="00102BAE" w:rsidRDefault="00452BD8" w:rsidP="002E32FA">
            <w:pPr>
              <w:widowControl w:val="0"/>
              <w:ind w:left="45" w:right="94"/>
              <w:rPr>
                <w:bCs/>
              </w:rPr>
            </w:pPr>
            <w:r w:rsidRPr="00102BAE">
              <w:rPr>
                <w:bCs/>
              </w:rPr>
              <w:t>3</w:t>
            </w:r>
          </w:p>
        </w:tc>
      </w:tr>
    </w:tbl>
    <w:p w14:paraId="1E850B53" w14:textId="77777777" w:rsidR="001666E9" w:rsidRDefault="001666E9" w:rsidP="00A967B4">
      <w:pPr>
        <w:tabs>
          <w:tab w:val="left" w:pos="0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14:paraId="6F789ACB" w14:textId="0216C585" w:rsidR="006F6220" w:rsidRPr="001666E9" w:rsidRDefault="001666E9" w:rsidP="00A967B4">
      <w:pPr>
        <w:tabs>
          <w:tab w:val="left" w:pos="0"/>
        </w:tabs>
        <w:ind w:firstLine="426"/>
        <w:jc w:val="both"/>
      </w:pPr>
      <w:r w:rsidRPr="001666E9">
        <w:t>5</w:t>
      </w:r>
      <w:r w:rsidR="006F6220" w:rsidRPr="001666E9">
        <w:t>.2. Контейнерная площадка ТКО должна соответствовать требованиям:</w:t>
      </w:r>
    </w:p>
    <w:p w14:paraId="00D762BF" w14:textId="53F7A2C9" w:rsidR="006F6220" w:rsidRPr="001666E9" w:rsidRDefault="006F6220" w:rsidP="00A967B4">
      <w:pPr>
        <w:tabs>
          <w:tab w:val="left" w:pos="0"/>
        </w:tabs>
        <w:ind w:firstLine="426"/>
        <w:jc w:val="both"/>
      </w:pPr>
      <w:r w:rsidRPr="001666E9">
        <w:t xml:space="preserve"> </w:t>
      </w:r>
      <w:r w:rsidR="001666E9">
        <w:t xml:space="preserve">- </w:t>
      </w:r>
      <w:r w:rsidRPr="001666E9">
        <w:t>СанПиН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услуг»;</w:t>
      </w:r>
    </w:p>
    <w:p w14:paraId="61F3FCBF" w14:textId="7AE3D999" w:rsidR="006F6220" w:rsidRPr="001666E9" w:rsidRDefault="001666E9" w:rsidP="00A967B4">
      <w:pPr>
        <w:tabs>
          <w:tab w:val="left" w:pos="0"/>
        </w:tabs>
        <w:ind w:firstLine="426"/>
        <w:jc w:val="both"/>
      </w:pPr>
      <w:r>
        <w:t xml:space="preserve">- </w:t>
      </w:r>
      <w:r w:rsidR="006F6220" w:rsidRPr="001666E9">
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 (постановление Главного государственного санитарного врача РФ от 28.01.2021 г. № 3);</w:t>
      </w:r>
    </w:p>
    <w:p w14:paraId="6834108A" w14:textId="640832CD" w:rsidR="006F6220" w:rsidRPr="001666E9" w:rsidRDefault="001666E9" w:rsidP="00A967B4">
      <w:pPr>
        <w:tabs>
          <w:tab w:val="left" w:pos="0"/>
        </w:tabs>
        <w:ind w:firstLine="426"/>
        <w:jc w:val="both"/>
      </w:pPr>
      <w:r>
        <w:t xml:space="preserve">- </w:t>
      </w:r>
      <w:r w:rsidR="006F6220" w:rsidRPr="001666E9">
        <w:t>СанПиН 1.2.3685-21 «Гигиенические нормативы и требования к обеспечению безопасности и (или) безвредности для человека факторов среды обитания» (постановление Главного государственного санитарного врача РФ от 28.01.2021 г. № 2).</w:t>
      </w:r>
    </w:p>
    <w:p w14:paraId="306B6BAE" w14:textId="603D9C8D" w:rsidR="006F6220" w:rsidRPr="001666E9" w:rsidRDefault="001666E9" w:rsidP="00A967B4">
      <w:pPr>
        <w:tabs>
          <w:tab w:val="left" w:pos="0"/>
        </w:tabs>
        <w:ind w:firstLine="426"/>
        <w:jc w:val="both"/>
      </w:pPr>
      <w:r>
        <w:t>5</w:t>
      </w:r>
      <w:r w:rsidR="006F6220" w:rsidRPr="001666E9">
        <w:t>.3. Контейнерная площадка ТКО должна иметь твердый вид покрытия основания, удобный для выкатывания контейнеров к мусоровозам, а также для удобства подъезда к контейнерам маломобильных групп населения. При этом основание контейнерной площадки должно примыкать к твердому покрытию подъездного пути или разворотной площадки.</w:t>
      </w:r>
    </w:p>
    <w:p w14:paraId="240EBB1E" w14:textId="3A0BA3DE" w:rsidR="006F6220" w:rsidRPr="001666E9" w:rsidRDefault="001666E9" w:rsidP="00A967B4">
      <w:pPr>
        <w:tabs>
          <w:tab w:val="left" w:pos="0"/>
        </w:tabs>
        <w:ind w:firstLine="426"/>
        <w:jc w:val="both"/>
      </w:pPr>
      <w:r>
        <w:t>5</w:t>
      </w:r>
      <w:r w:rsidR="006F6220" w:rsidRPr="001666E9">
        <w:t>.4. Контейнерная площадка ТКО не должна иметь механических повреждений, заусенцев, искривлений, окалин и ржавчины. Швы должны быть проварены, по окончанию сварки очищены от шлака, брызг и натеков металл. Металлические конструкции имеют жесткое крепление. Контейнерная площадка должна иметь сплошные стены с трех сторон, чтобы закрыть мусорные баки.</w:t>
      </w:r>
    </w:p>
    <w:p w14:paraId="63D6FAF1" w14:textId="0EA59795" w:rsidR="006E37E5" w:rsidRPr="006E37E5" w:rsidRDefault="006E37E5" w:rsidP="00A967B4">
      <w:pPr>
        <w:tabs>
          <w:tab w:val="left" w:pos="0"/>
        </w:tabs>
        <w:ind w:firstLine="426"/>
        <w:rPr>
          <w:b/>
        </w:rPr>
      </w:pPr>
      <w:r w:rsidRPr="006E37E5">
        <w:rPr>
          <w:b/>
        </w:rPr>
        <w:t xml:space="preserve">6.Требования к качеству и безопасности </w:t>
      </w:r>
    </w:p>
    <w:p w14:paraId="46D4370A" w14:textId="7E792A4B" w:rsidR="007261CC" w:rsidRPr="007261CC" w:rsidRDefault="007261CC" w:rsidP="007261CC">
      <w:pPr>
        <w:ind w:firstLine="426"/>
        <w:jc w:val="both"/>
      </w:pPr>
      <w:r w:rsidRPr="007261CC">
        <w:t xml:space="preserve">6.1. </w:t>
      </w:r>
      <w:r>
        <w:t>Поставщик</w:t>
      </w:r>
      <w:r w:rsidRPr="007261CC">
        <w:t xml:space="preserve"> несет ответственность за качество используемых материалов и их соответствие существующим требованиям. Применяемые материалы должны соответствовать государственным стандартам, иметь сертификаты, паспорта и (или) другие документы, удостоверяющие качество материалов.</w:t>
      </w:r>
    </w:p>
    <w:p w14:paraId="56505BAA" w14:textId="5955B3BC" w:rsidR="007261CC" w:rsidRPr="007261CC" w:rsidRDefault="007261CC" w:rsidP="007261CC">
      <w:pPr>
        <w:ind w:firstLine="426"/>
        <w:jc w:val="both"/>
      </w:pPr>
      <w:r w:rsidRPr="007261CC">
        <w:t xml:space="preserve">6.2. </w:t>
      </w:r>
      <w:r w:rsidR="00B330FC">
        <w:t>Все п</w:t>
      </w:r>
      <w:r>
        <w:t>рименяемые</w:t>
      </w:r>
      <w:r w:rsidRPr="007261CC">
        <w:t xml:space="preserve"> материалы и изделия должны быть новыми, не бывшими в употреблении.</w:t>
      </w:r>
    </w:p>
    <w:p w14:paraId="3207C4FB" w14:textId="082E6AC8" w:rsidR="006E37E5" w:rsidRPr="006E37E5" w:rsidRDefault="006E37E5" w:rsidP="00A967B4">
      <w:pPr>
        <w:ind w:firstLine="426"/>
        <w:jc w:val="both"/>
      </w:pPr>
      <w:r w:rsidRPr="006E37E5">
        <w:t xml:space="preserve">6.3. </w:t>
      </w:r>
      <w:r w:rsidR="007261CC">
        <w:t>Поставщик</w:t>
      </w:r>
      <w:r w:rsidR="00B27202">
        <w:t xml:space="preserve"> выполняет</w:t>
      </w:r>
      <w:r w:rsidR="007261CC">
        <w:t xml:space="preserve"> работ</w:t>
      </w:r>
      <w:r w:rsidR="00B27202">
        <w:t>ы</w:t>
      </w:r>
      <w:r w:rsidR="007261CC">
        <w:t xml:space="preserve"> </w:t>
      </w:r>
      <w:r w:rsidR="00B27202">
        <w:t xml:space="preserve">по установке Товара </w:t>
      </w:r>
      <w:r w:rsidRPr="006E37E5">
        <w:t xml:space="preserve">в полном соответствии с настоящим техническим заданием, с соблюдением технологии и качества выполняемых работ, используемых материалов и оборудования в соответствии со следующими актами законодательства Российской Федерации и нормативными документами: </w:t>
      </w:r>
    </w:p>
    <w:p w14:paraId="6F1C9118" w14:textId="77777777" w:rsidR="006E37E5" w:rsidRPr="006E37E5" w:rsidRDefault="006E37E5" w:rsidP="00A967B4">
      <w:pPr>
        <w:ind w:firstLine="426"/>
        <w:jc w:val="both"/>
      </w:pPr>
      <w:r w:rsidRPr="006E37E5">
        <w:t>- Гражданским кодексом РФ;</w:t>
      </w:r>
    </w:p>
    <w:p w14:paraId="35F74399" w14:textId="77777777" w:rsidR="006E37E5" w:rsidRPr="006E37E5" w:rsidRDefault="006E37E5" w:rsidP="00A967B4">
      <w:pPr>
        <w:ind w:firstLine="426"/>
        <w:jc w:val="both"/>
      </w:pPr>
      <w:r w:rsidRPr="006E37E5">
        <w:t>- Градостроительным кодексом РФ;</w:t>
      </w:r>
    </w:p>
    <w:p w14:paraId="69E9246A" w14:textId="0F468E9D" w:rsidR="006E37E5" w:rsidRPr="006E37E5" w:rsidRDefault="006E37E5" w:rsidP="00A967B4">
      <w:pPr>
        <w:ind w:firstLine="426"/>
        <w:jc w:val="both"/>
      </w:pPr>
      <w:r w:rsidRPr="006E37E5">
        <w:t>-</w:t>
      </w:r>
      <w:r w:rsidR="00DE45E0">
        <w:t xml:space="preserve"> </w:t>
      </w:r>
      <w:r w:rsidRPr="006E37E5">
        <w:t>Федеральным законом от 30.03.1999 № 52-ФЗ «О санитарно</w:t>
      </w:r>
      <w:r w:rsidR="00913A6E">
        <w:t>-</w:t>
      </w:r>
      <w:r w:rsidRPr="006E37E5">
        <w:t xml:space="preserve">эпидемиологическом благополучии населения»; </w:t>
      </w:r>
    </w:p>
    <w:p w14:paraId="3026DC90" w14:textId="77777777" w:rsidR="006E37E5" w:rsidRPr="006E37E5" w:rsidRDefault="006E37E5" w:rsidP="00A967B4">
      <w:pPr>
        <w:ind w:firstLine="426"/>
        <w:jc w:val="both"/>
      </w:pPr>
      <w:r w:rsidRPr="006E37E5">
        <w:t>- Федеральным законом от 30.12.2009 №384-ФЗ «Технический регламент о безопасности зданий и сооружений»;</w:t>
      </w:r>
    </w:p>
    <w:p w14:paraId="5DE842EC" w14:textId="77777777" w:rsidR="006E37E5" w:rsidRPr="0048422D" w:rsidRDefault="006E37E5" w:rsidP="00A967B4">
      <w:pPr>
        <w:ind w:firstLine="426"/>
        <w:jc w:val="both"/>
      </w:pPr>
      <w:r w:rsidRPr="0048422D">
        <w:t xml:space="preserve">- </w:t>
      </w:r>
      <w:hyperlink r:id="rId8" w:history="1">
        <w:r w:rsidRPr="0048422D">
          <w:rPr>
            <w:rStyle w:val="a5"/>
            <w:bCs/>
            <w:color w:val="auto"/>
            <w:u w:val="none"/>
            <w:shd w:val="clear" w:color="auto" w:fill="FFFFFF"/>
          </w:rPr>
          <w:t>Федеральный закон от 24.06.1998 № 89-ФЗ "Об отходах производства и потребления"</w:t>
        </w:r>
      </w:hyperlink>
    </w:p>
    <w:p w14:paraId="325C43EF" w14:textId="77777777" w:rsidR="006E37E5" w:rsidRPr="006E37E5" w:rsidRDefault="006E37E5" w:rsidP="00A967B4">
      <w:pPr>
        <w:ind w:firstLine="426"/>
        <w:jc w:val="both"/>
      </w:pPr>
      <w:r w:rsidRPr="006E37E5">
        <w:lastRenderedPageBreak/>
        <w:t>- Постановление Правительства РФ от 31.08.2018 № 1039 "Об утверждении Правил обустройства мест (площадок) накопления твердых коммунальных отходов и ведения их реестра";</w:t>
      </w:r>
    </w:p>
    <w:p w14:paraId="7C1686B1" w14:textId="2B3ED931" w:rsidR="00A967B4" w:rsidRDefault="006E37E5" w:rsidP="00A967B4">
      <w:pPr>
        <w:ind w:firstLine="426"/>
        <w:jc w:val="both"/>
      </w:pPr>
      <w:r w:rsidRPr="006E37E5">
        <w:t>-</w:t>
      </w:r>
      <w:r w:rsidR="00DE45E0">
        <w:t xml:space="preserve"> </w:t>
      </w:r>
      <w:r w:rsidRPr="006E37E5">
        <w:t xml:space="preserve">СП 49.13330.2010 «О принятии строительных норм и правил Российской Федерации "Безопасность труда в строительстве. Часть I. Общие требования» Актуализированная редакция. </w:t>
      </w:r>
      <w:r w:rsidR="00A967B4">
        <w:t xml:space="preserve"> </w:t>
      </w:r>
    </w:p>
    <w:p w14:paraId="09B40837" w14:textId="6432E34B" w:rsidR="00A967B4" w:rsidRPr="00A967B4" w:rsidRDefault="00A967B4" w:rsidP="00A967B4">
      <w:pPr>
        <w:ind w:firstLine="426"/>
        <w:jc w:val="both"/>
      </w:pPr>
      <w:r>
        <w:t>-</w:t>
      </w:r>
      <w:r w:rsidR="00DE45E0">
        <w:t xml:space="preserve"> </w:t>
      </w:r>
      <w:r w:rsidRPr="006E37E5">
        <w:rPr>
          <w:spacing w:val="2"/>
        </w:rPr>
        <w:t xml:space="preserve">СП 262.1325800.2016 Контейнерные площадки и терминальные устройства на предприятиях промышленности и транспорта. Правила проектирования и строительства. </w:t>
      </w:r>
    </w:p>
    <w:p w14:paraId="5AABDB1A" w14:textId="77777777" w:rsidR="00A967B4" w:rsidRPr="006E37E5" w:rsidRDefault="00A967B4" w:rsidP="00A967B4">
      <w:pPr>
        <w:ind w:firstLine="426"/>
        <w:jc w:val="both"/>
      </w:pPr>
      <w:r w:rsidRPr="006E37E5">
        <w:t xml:space="preserve">6.4. Требования к безопасности выполняемых работ устанавливаются в соответствии с требованиями законодательства Российской Федерации. </w:t>
      </w:r>
    </w:p>
    <w:p w14:paraId="0E016C55" w14:textId="77777777" w:rsidR="00A967B4" w:rsidRPr="006E37E5" w:rsidRDefault="00A967B4" w:rsidP="00A967B4">
      <w:pPr>
        <w:ind w:firstLine="426"/>
        <w:jc w:val="both"/>
      </w:pPr>
      <w:r w:rsidRPr="006E37E5">
        <w:t>6.5. Выполняемые работы, а также их результат должны соответствовать нормативным требованиям по технике безопасности и охране труда.</w:t>
      </w:r>
    </w:p>
    <w:p w14:paraId="67A5C454" w14:textId="77777777" w:rsidR="00A967B4" w:rsidRPr="007F21BD" w:rsidRDefault="00A967B4" w:rsidP="00A967B4">
      <w:pPr>
        <w:ind w:firstLine="426"/>
        <w:jc w:val="both"/>
      </w:pPr>
      <w:r w:rsidRPr="006E37E5">
        <w:t>6.6. В ходе работ должны быть обеспечены необходимые мероприятия по технике безопасности, охране окружающей среды, по пожарной безопасности. Ответственность за соблюдение своими сотрудниками правил пожарной безопасности, техники безопасности, охраны труда и санитарно-гигиенического режима при строительстве возлагается на Подрядчика.</w:t>
      </w:r>
    </w:p>
    <w:p w14:paraId="5D69C758" w14:textId="77777777" w:rsidR="00A967B4" w:rsidRPr="006E37E5" w:rsidRDefault="00A967B4" w:rsidP="00A967B4">
      <w:pPr>
        <w:ind w:firstLine="426"/>
        <w:rPr>
          <w:b/>
        </w:rPr>
      </w:pPr>
      <w:r>
        <w:rPr>
          <w:b/>
        </w:rPr>
        <w:t>7</w:t>
      </w:r>
      <w:r w:rsidRPr="006E37E5">
        <w:rPr>
          <w:b/>
        </w:rPr>
        <w:t>.Требования к техническим характеристикам используемых материалов и оборудованию.</w:t>
      </w:r>
    </w:p>
    <w:p w14:paraId="3E116C56" w14:textId="0308207B" w:rsidR="00A967B4" w:rsidRPr="006E37E5" w:rsidRDefault="00A967B4" w:rsidP="00A967B4">
      <w:pPr>
        <w:ind w:firstLine="426"/>
        <w:jc w:val="both"/>
      </w:pPr>
      <w:r>
        <w:t>7</w:t>
      </w:r>
      <w:r w:rsidRPr="006E37E5">
        <w:t xml:space="preserve">.1. </w:t>
      </w:r>
      <w:r w:rsidR="007261CC">
        <w:t>Поставщик</w:t>
      </w:r>
      <w:r w:rsidRPr="006E37E5">
        <w:t xml:space="preserve"> обеспечивает выполнение работ из своих материалов, своими силами и средствами. </w:t>
      </w:r>
    </w:p>
    <w:p w14:paraId="3D75F243" w14:textId="14659CD4" w:rsidR="00A967B4" w:rsidRPr="006E37E5" w:rsidRDefault="00A967B4" w:rsidP="00A967B4">
      <w:pPr>
        <w:ind w:firstLine="426"/>
        <w:jc w:val="both"/>
      </w:pPr>
      <w:r>
        <w:t>7</w:t>
      </w:r>
      <w:r w:rsidRPr="006E37E5">
        <w:t>.2. Все применяемые материалы, изделия и устанавливаемое оборудование должны соответствовать документации, иметь соответствующие действующие сертификаты соответствия, сертификаты качества, гигиенические сертификаты, сертификаты пожарной безопасности, технические паспорта и протоколы испытаний и разрешены для использования на территории РФ, быть новыми, ранее не используемыми и не восстановленными. Строительные конструкции должны соответствовать требованиям норм пожарной безопасности;</w:t>
      </w:r>
    </w:p>
    <w:p w14:paraId="70DBD811" w14:textId="5DEA0F8E" w:rsidR="00A967B4" w:rsidRPr="006E37E5" w:rsidRDefault="00A967B4" w:rsidP="00A967B4">
      <w:pPr>
        <w:ind w:firstLine="426"/>
        <w:jc w:val="both"/>
      </w:pPr>
      <w:r>
        <w:t>7</w:t>
      </w:r>
      <w:r w:rsidRPr="006E37E5">
        <w:t xml:space="preserve">.3. </w:t>
      </w:r>
      <w:r w:rsidR="00DE45E0">
        <w:t>Поставщик</w:t>
      </w:r>
      <w:r w:rsidRPr="006E37E5">
        <w:t xml:space="preserve"> при выполнении работ обязан предоставить, по требованию Заказчика, исполнительную документацию, сертификаты, санитарно-эпидемиологические заключения и паспорта завода-изготовителя на конкретный материал при производстве работ;</w:t>
      </w:r>
    </w:p>
    <w:p w14:paraId="3CFCFB50" w14:textId="66004A58" w:rsidR="00A967B4" w:rsidRPr="00D67F75" w:rsidRDefault="00A967B4" w:rsidP="00A967B4">
      <w:pPr>
        <w:ind w:firstLine="426"/>
        <w:jc w:val="both"/>
      </w:pPr>
      <w:r w:rsidRPr="0010309F">
        <w:t xml:space="preserve">7.4. После заключения </w:t>
      </w:r>
      <w:r w:rsidR="00DE45E0" w:rsidRPr="0010309F">
        <w:t>договора</w:t>
      </w:r>
      <w:r w:rsidRPr="0010309F">
        <w:t xml:space="preserve"> замена используемых материалов и элементов конструкций не допустима без согласования с Заказчиком.</w:t>
      </w:r>
    </w:p>
    <w:p w14:paraId="5041FEB5" w14:textId="77777777" w:rsidR="00A967B4" w:rsidRPr="006E37E5" w:rsidRDefault="00A967B4" w:rsidP="00A967B4">
      <w:pPr>
        <w:ind w:firstLine="426"/>
        <w:rPr>
          <w:b/>
        </w:rPr>
      </w:pPr>
      <w:r>
        <w:rPr>
          <w:b/>
        </w:rPr>
        <w:t>8</w:t>
      </w:r>
      <w:r w:rsidRPr="006E37E5">
        <w:rPr>
          <w:b/>
        </w:rPr>
        <w:t>. Условия выполнения работ.</w:t>
      </w:r>
    </w:p>
    <w:p w14:paraId="27F804BE" w14:textId="3C11C697" w:rsidR="00A967B4" w:rsidRPr="006E37E5" w:rsidRDefault="00A967B4" w:rsidP="00A967B4">
      <w:pPr>
        <w:ind w:firstLine="426"/>
        <w:jc w:val="both"/>
      </w:pPr>
      <w:r>
        <w:t>8</w:t>
      </w:r>
      <w:r w:rsidRPr="006E37E5">
        <w:t>.</w:t>
      </w:r>
      <w:r w:rsidR="00DE45E0">
        <w:t>1</w:t>
      </w:r>
      <w:r w:rsidRPr="006E37E5">
        <w:t xml:space="preserve">. Перед </w:t>
      </w:r>
      <w:r w:rsidRPr="0010309F">
        <w:t>началом выполнения работ</w:t>
      </w:r>
      <w:r w:rsidRPr="006E37E5">
        <w:t xml:space="preserve"> должны быть предъявлены и письменно согласованы с Заказчиком виды применяемого (используемого) материала.</w:t>
      </w:r>
    </w:p>
    <w:p w14:paraId="70DABDA5" w14:textId="38C22FBB" w:rsidR="00A967B4" w:rsidRPr="006E37E5" w:rsidRDefault="00A967B4" w:rsidP="00A967B4">
      <w:pPr>
        <w:ind w:firstLine="426"/>
        <w:jc w:val="both"/>
      </w:pPr>
      <w:r>
        <w:t>8</w:t>
      </w:r>
      <w:r w:rsidRPr="006E37E5">
        <w:t>.</w:t>
      </w:r>
      <w:r w:rsidR="00DE45E0">
        <w:t>2</w:t>
      </w:r>
      <w:r w:rsidRPr="006E37E5">
        <w:t xml:space="preserve">. </w:t>
      </w:r>
      <w:r w:rsidR="00DE45E0">
        <w:t>Поставщик</w:t>
      </w:r>
      <w:r w:rsidRPr="006E37E5">
        <w:t xml:space="preserve"> в ходе </w:t>
      </w:r>
      <w:r w:rsidR="00DE45E0">
        <w:t>выполнения</w:t>
      </w:r>
      <w:r w:rsidRPr="006E37E5">
        <w:t xml:space="preserve"> работ обязан не допускать захламление площадки выполнения работ, а также прилегающей территории.</w:t>
      </w:r>
    </w:p>
    <w:p w14:paraId="12AA4DDE" w14:textId="7D9DD69A" w:rsidR="00A967B4" w:rsidRPr="006E37E5" w:rsidRDefault="00A967B4" w:rsidP="00A967B4">
      <w:pPr>
        <w:ind w:firstLine="426"/>
        <w:jc w:val="both"/>
      </w:pPr>
      <w:r>
        <w:t>8.</w:t>
      </w:r>
      <w:r w:rsidR="00DE45E0">
        <w:t>3</w:t>
      </w:r>
      <w:r w:rsidRPr="006E37E5">
        <w:t xml:space="preserve">. </w:t>
      </w:r>
      <w:r w:rsidR="00DE45E0">
        <w:t>Поставщик</w:t>
      </w:r>
      <w:r w:rsidRPr="006E37E5">
        <w:t xml:space="preserve"> обязан немедленно предупредить Заказчика обо всех не зависящих от </w:t>
      </w:r>
      <w:r w:rsidR="00DE45E0">
        <w:t>Поставщика</w:t>
      </w:r>
      <w:r w:rsidRPr="006E37E5">
        <w:t xml:space="preserve"> обстоятельствах, которые грозят качеству результата выполняемых работ, либо создают невозможность завершения работ в </w:t>
      </w:r>
      <w:r>
        <w:t>с</w:t>
      </w:r>
      <w:r w:rsidRPr="006E37E5">
        <w:t>рок</w:t>
      </w:r>
      <w:r>
        <w:t xml:space="preserve">и </w:t>
      </w:r>
      <w:r w:rsidRPr="006E37E5">
        <w:t>установленный договором.</w:t>
      </w:r>
    </w:p>
    <w:p w14:paraId="2A79F8EB" w14:textId="30E14725" w:rsidR="00A967B4" w:rsidRPr="00D67F75" w:rsidRDefault="00A967B4" w:rsidP="00A967B4">
      <w:pPr>
        <w:ind w:firstLine="426"/>
        <w:jc w:val="both"/>
        <w:rPr>
          <w:color w:val="00000A"/>
        </w:rPr>
      </w:pPr>
      <w:r>
        <w:rPr>
          <w:b/>
        </w:rPr>
        <w:t>9</w:t>
      </w:r>
      <w:r w:rsidRPr="006E37E5">
        <w:rPr>
          <w:b/>
        </w:rPr>
        <w:t>.</w:t>
      </w:r>
      <w:r w:rsidRPr="006E37E5">
        <w:t xml:space="preserve"> </w:t>
      </w:r>
      <w:r w:rsidR="00102BAE">
        <w:rPr>
          <w:b/>
          <w:color w:val="00000A"/>
        </w:rPr>
        <w:t xml:space="preserve">Гарантийный срок на выполненные </w:t>
      </w:r>
      <w:r w:rsidRPr="00102BAE">
        <w:rPr>
          <w:b/>
          <w:color w:val="00000A"/>
        </w:rPr>
        <w:t>работ</w:t>
      </w:r>
      <w:r w:rsidR="00102BAE" w:rsidRPr="00102BAE">
        <w:rPr>
          <w:b/>
          <w:color w:val="00000A"/>
        </w:rPr>
        <w:t>ы</w:t>
      </w:r>
      <w:r w:rsidRPr="00102BAE">
        <w:rPr>
          <w:b/>
          <w:color w:val="00000A"/>
        </w:rPr>
        <w:t>:</w:t>
      </w:r>
      <w:r w:rsidRPr="006E37E5">
        <w:rPr>
          <w:b/>
        </w:rPr>
        <w:t xml:space="preserve"> </w:t>
      </w:r>
      <w:r w:rsidRPr="006E37E5">
        <w:rPr>
          <w:color w:val="00000A"/>
        </w:rPr>
        <w:t>составляет 12 (двенадцать) месяц</w:t>
      </w:r>
      <w:r w:rsidR="00102BAE">
        <w:rPr>
          <w:color w:val="00000A"/>
        </w:rPr>
        <w:t>ев</w:t>
      </w:r>
      <w:r w:rsidRPr="006E37E5">
        <w:rPr>
          <w:color w:val="00000A"/>
        </w:rPr>
        <w:t xml:space="preserve"> со дня сдачи - приемки работ (без претензий).</w:t>
      </w:r>
      <w:r>
        <w:rPr>
          <w:color w:val="00000A"/>
        </w:rPr>
        <w:t xml:space="preserve"> </w:t>
      </w:r>
      <w:r w:rsidRPr="006E37E5">
        <w:rPr>
          <w:color w:val="00000A"/>
        </w:rPr>
        <w:t xml:space="preserve">Во время гарантийного срока все обнаруженные дефекты должны устраняться </w:t>
      </w:r>
      <w:r w:rsidR="00102BAE">
        <w:rPr>
          <w:color w:val="00000A"/>
        </w:rPr>
        <w:t>Поставщиком</w:t>
      </w:r>
      <w:r w:rsidRPr="006E37E5">
        <w:rPr>
          <w:color w:val="00000A"/>
        </w:rPr>
        <w:t xml:space="preserve"> в согласованный сторонами срок, но не более чем в течении 10 календарных дней с момента получения требования о безвозмездном устранении недостатков работ.</w:t>
      </w:r>
      <w:r>
        <w:rPr>
          <w:color w:val="00000A"/>
        </w:rPr>
        <w:t xml:space="preserve"> </w:t>
      </w:r>
      <w:r w:rsidRPr="006E37E5">
        <w:rPr>
          <w:color w:val="00000A"/>
        </w:rPr>
        <w:t xml:space="preserve">Течение гарантийного срока прерывается на все время, на протяжении которого </w:t>
      </w:r>
      <w:r w:rsidR="00102BAE">
        <w:rPr>
          <w:color w:val="00000A"/>
        </w:rPr>
        <w:t>Товар</w:t>
      </w:r>
      <w:r w:rsidRPr="006E37E5">
        <w:rPr>
          <w:color w:val="00000A"/>
        </w:rPr>
        <w:t xml:space="preserve"> не мог надлежащим образом эксплуатироваться вследствие недостатков (с момента выявления недостатков до полного их устранения), за которые отвечает </w:t>
      </w:r>
      <w:r w:rsidR="00102BAE">
        <w:rPr>
          <w:color w:val="00000A"/>
        </w:rPr>
        <w:t>Поставщик</w:t>
      </w:r>
      <w:r w:rsidRPr="006E37E5">
        <w:rPr>
          <w:color w:val="00000A"/>
        </w:rPr>
        <w:t>.</w:t>
      </w:r>
    </w:p>
    <w:p w14:paraId="244F1CD9" w14:textId="77777777" w:rsidR="00A967B4" w:rsidRDefault="00A967B4" w:rsidP="00A967B4">
      <w:pPr>
        <w:tabs>
          <w:tab w:val="left" w:pos="851"/>
        </w:tabs>
        <w:ind w:firstLine="426"/>
        <w:jc w:val="both"/>
      </w:pPr>
    </w:p>
    <w:p w14:paraId="45FCAE35" w14:textId="77777777" w:rsidR="00A967B4" w:rsidRPr="006E37E5" w:rsidRDefault="00A967B4" w:rsidP="00A967B4">
      <w:pPr>
        <w:ind w:firstLine="426"/>
        <w:jc w:val="both"/>
      </w:pPr>
    </w:p>
    <w:sectPr w:rsidR="00A967B4" w:rsidRPr="006E37E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E8E81" w14:textId="77777777" w:rsidR="0065693E" w:rsidRDefault="0065693E">
      <w:r>
        <w:separator/>
      </w:r>
    </w:p>
  </w:endnote>
  <w:endnote w:type="continuationSeparator" w:id="0">
    <w:p w14:paraId="39860545" w14:textId="77777777" w:rsidR="0065693E" w:rsidRDefault="00656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5C7A7" w14:textId="77777777" w:rsidR="0065693E" w:rsidRDefault="0065693E">
      <w:r>
        <w:separator/>
      </w:r>
    </w:p>
  </w:footnote>
  <w:footnote w:type="continuationSeparator" w:id="0">
    <w:p w14:paraId="09015185" w14:textId="77777777" w:rsidR="0065693E" w:rsidRDefault="00656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67FA9"/>
    <w:multiLevelType w:val="hybridMultilevel"/>
    <w:tmpl w:val="A9EA0894"/>
    <w:lvl w:ilvl="0" w:tplc="E682CC3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7066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60"/>
    <w:rsid w:val="00024585"/>
    <w:rsid w:val="000A0B83"/>
    <w:rsid w:val="000A52F2"/>
    <w:rsid w:val="000B4DDA"/>
    <w:rsid w:val="000C63C6"/>
    <w:rsid w:val="00102BAE"/>
    <w:rsid w:val="0010309F"/>
    <w:rsid w:val="00111E35"/>
    <w:rsid w:val="0013060F"/>
    <w:rsid w:val="001342B1"/>
    <w:rsid w:val="00150CAD"/>
    <w:rsid w:val="00153186"/>
    <w:rsid w:val="001550A6"/>
    <w:rsid w:val="001666E9"/>
    <w:rsid w:val="0019524F"/>
    <w:rsid w:val="001E7780"/>
    <w:rsid w:val="0020796C"/>
    <w:rsid w:val="00210297"/>
    <w:rsid w:val="00210F3C"/>
    <w:rsid w:val="002360EB"/>
    <w:rsid w:val="00275B62"/>
    <w:rsid w:val="002822BF"/>
    <w:rsid w:val="002A47A7"/>
    <w:rsid w:val="002E3810"/>
    <w:rsid w:val="002E4FF1"/>
    <w:rsid w:val="002E6BB1"/>
    <w:rsid w:val="002F681E"/>
    <w:rsid w:val="003238C9"/>
    <w:rsid w:val="0032575D"/>
    <w:rsid w:val="00341181"/>
    <w:rsid w:val="00341926"/>
    <w:rsid w:val="00350E75"/>
    <w:rsid w:val="00370DDC"/>
    <w:rsid w:val="003815B1"/>
    <w:rsid w:val="0040474D"/>
    <w:rsid w:val="004071F6"/>
    <w:rsid w:val="004130E9"/>
    <w:rsid w:val="00416437"/>
    <w:rsid w:val="0043118F"/>
    <w:rsid w:val="0043394E"/>
    <w:rsid w:val="004451DE"/>
    <w:rsid w:val="00452BD8"/>
    <w:rsid w:val="00462670"/>
    <w:rsid w:val="00466AAC"/>
    <w:rsid w:val="00467AF0"/>
    <w:rsid w:val="0048422D"/>
    <w:rsid w:val="0049452F"/>
    <w:rsid w:val="00495FC1"/>
    <w:rsid w:val="004B0C5C"/>
    <w:rsid w:val="004C29BB"/>
    <w:rsid w:val="004C5E02"/>
    <w:rsid w:val="004E33A7"/>
    <w:rsid w:val="004F0526"/>
    <w:rsid w:val="004F6874"/>
    <w:rsid w:val="005030DB"/>
    <w:rsid w:val="005411BC"/>
    <w:rsid w:val="00562D3D"/>
    <w:rsid w:val="00573026"/>
    <w:rsid w:val="005E58F6"/>
    <w:rsid w:val="005E63AA"/>
    <w:rsid w:val="00614189"/>
    <w:rsid w:val="0065693E"/>
    <w:rsid w:val="006C19FE"/>
    <w:rsid w:val="006C7CC0"/>
    <w:rsid w:val="006E37E5"/>
    <w:rsid w:val="006E6CD4"/>
    <w:rsid w:val="006F6220"/>
    <w:rsid w:val="00711E27"/>
    <w:rsid w:val="00722289"/>
    <w:rsid w:val="007261CC"/>
    <w:rsid w:val="00754D18"/>
    <w:rsid w:val="00770271"/>
    <w:rsid w:val="007E1702"/>
    <w:rsid w:val="007F21BD"/>
    <w:rsid w:val="007F2550"/>
    <w:rsid w:val="007F359B"/>
    <w:rsid w:val="008006C4"/>
    <w:rsid w:val="008259B2"/>
    <w:rsid w:val="008420ED"/>
    <w:rsid w:val="00844523"/>
    <w:rsid w:val="00867460"/>
    <w:rsid w:val="00867DB1"/>
    <w:rsid w:val="00872C1B"/>
    <w:rsid w:val="008C511D"/>
    <w:rsid w:val="008D147A"/>
    <w:rsid w:val="008D312B"/>
    <w:rsid w:val="008E476B"/>
    <w:rsid w:val="008E4A1C"/>
    <w:rsid w:val="008E6716"/>
    <w:rsid w:val="00907E73"/>
    <w:rsid w:val="00913A6E"/>
    <w:rsid w:val="009328CB"/>
    <w:rsid w:val="009603F8"/>
    <w:rsid w:val="00965262"/>
    <w:rsid w:val="00994004"/>
    <w:rsid w:val="009A7DD9"/>
    <w:rsid w:val="009B498E"/>
    <w:rsid w:val="009E2260"/>
    <w:rsid w:val="009E4C19"/>
    <w:rsid w:val="009F06E2"/>
    <w:rsid w:val="009F2868"/>
    <w:rsid w:val="00A3152B"/>
    <w:rsid w:val="00A34C49"/>
    <w:rsid w:val="00A457B0"/>
    <w:rsid w:val="00A51120"/>
    <w:rsid w:val="00A521F7"/>
    <w:rsid w:val="00A67328"/>
    <w:rsid w:val="00A858F8"/>
    <w:rsid w:val="00A9557C"/>
    <w:rsid w:val="00A962DF"/>
    <w:rsid w:val="00A967B4"/>
    <w:rsid w:val="00AA0389"/>
    <w:rsid w:val="00AB1FB5"/>
    <w:rsid w:val="00AC2168"/>
    <w:rsid w:val="00AC55B0"/>
    <w:rsid w:val="00AD491B"/>
    <w:rsid w:val="00AF00E0"/>
    <w:rsid w:val="00AF4FB3"/>
    <w:rsid w:val="00B02C62"/>
    <w:rsid w:val="00B06702"/>
    <w:rsid w:val="00B07C31"/>
    <w:rsid w:val="00B108AD"/>
    <w:rsid w:val="00B27202"/>
    <w:rsid w:val="00B330FC"/>
    <w:rsid w:val="00B649F6"/>
    <w:rsid w:val="00B86DAB"/>
    <w:rsid w:val="00BA7247"/>
    <w:rsid w:val="00BC61E7"/>
    <w:rsid w:val="00C17E59"/>
    <w:rsid w:val="00C20AF1"/>
    <w:rsid w:val="00C237AF"/>
    <w:rsid w:val="00C258B4"/>
    <w:rsid w:val="00C3612C"/>
    <w:rsid w:val="00C36EED"/>
    <w:rsid w:val="00C37B09"/>
    <w:rsid w:val="00C613F5"/>
    <w:rsid w:val="00C648DA"/>
    <w:rsid w:val="00C8297A"/>
    <w:rsid w:val="00C847F5"/>
    <w:rsid w:val="00C86933"/>
    <w:rsid w:val="00C97F71"/>
    <w:rsid w:val="00CA253F"/>
    <w:rsid w:val="00CE1C0F"/>
    <w:rsid w:val="00D00FAB"/>
    <w:rsid w:val="00D15E13"/>
    <w:rsid w:val="00D25F4C"/>
    <w:rsid w:val="00D574EE"/>
    <w:rsid w:val="00D67F75"/>
    <w:rsid w:val="00D70AE8"/>
    <w:rsid w:val="00D96AE9"/>
    <w:rsid w:val="00DA5742"/>
    <w:rsid w:val="00DD3E65"/>
    <w:rsid w:val="00DE45E0"/>
    <w:rsid w:val="00DE76B2"/>
    <w:rsid w:val="00E05062"/>
    <w:rsid w:val="00ED37FE"/>
    <w:rsid w:val="00EE09D0"/>
    <w:rsid w:val="00EF5F94"/>
    <w:rsid w:val="00F02974"/>
    <w:rsid w:val="00F10221"/>
    <w:rsid w:val="00F12644"/>
    <w:rsid w:val="00F45960"/>
    <w:rsid w:val="00F50717"/>
    <w:rsid w:val="00F970E8"/>
    <w:rsid w:val="00FA5A49"/>
    <w:rsid w:val="00FD221D"/>
    <w:rsid w:val="6E7B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A3293"/>
  <w15:docId w15:val="{3F5B1327-E68C-4C17-9F1E-3E428F98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432"/>
      </w:tabs>
      <w:ind w:left="432" w:hanging="432"/>
      <w:jc w:val="center"/>
      <w:outlineLvl w:val="0"/>
    </w:pPr>
    <w:rPr>
      <w:sz w:val="20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unhideWhenUsed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">
    <w:name w:val="table of figures"/>
    <w:basedOn w:val="a"/>
    <w:next w:val="a"/>
    <w:uiPriority w:val="99"/>
    <w:unhideWhenUsed/>
    <w:qFormat/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0">
    <w:name w:val="Title"/>
    <w:basedOn w:val="a"/>
    <w:next w:val="a"/>
    <w:link w:val="af1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2">
    <w:name w:val="footer"/>
    <w:basedOn w:val="a"/>
    <w:link w:val="af3"/>
    <w:uiPriority w:val="99"/>
    <w:unhideWhenUsed/>
    <w:qFormat/>
    <w:pPr>
      <w:tabs>
        <w:tab w:val="center" w:pos="7143"/>
        <w:tab w:val="right" w:pos="14287"/>
      </w:tabs>
    </w:pPr>
  </w:style>
  <w:style w:type="paragraph" w:styleId="af4">
    <w:name w:val="Normal (Web)"/>
    <w:uiPriority w:val="1"/>
    <w:unhideWhenUsed/>
    <w:qFormat/>
    <w:rPr>
      <w:rFonts w:ascii="Calibri" w:eastAsia="Calibri" w:hAnsi="Calibri" w:cs="Times New Roman"/>
      <w:sz w:val="22"/>
      <w:szCs w:val="22"/>
      <w:lang w:eastAsia="en-US"/>
    </w:rPr>
  </w:style>
  <w:style w:type="paragraph" w:styleId="af5">
    <w:name w:val="Subtitle"/>
    <w:basedOn w:val="a"/>
    <w:next w:val="a"/>
    <w:link w:val="af6"/>
    <w:uiPriority w:val="11"/>
    <w:qFormat/>
    <w:pPr>
      <w:spacing w:before="200" w:after="200"/>
    </w:pPr>
  </w:style>
  <w:style w:type="table" w:styleId="af7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No Spacing"/>
    <w:uiPriority w:val="1"/>
    <w:qFormat/>
    <w:rPr>
      <w:sz w:val="22"/>
      <w:szCs w:val="22"/>
      <w:lang w:eastAsia="en-US"/>
    </w:rPr>
  </w:style>
  <w:style w:type="character" w:customStyle="1" w:styleId="af1">
    <w:name w:val="Заголовок Знак"/>
    <w:basedOn w:val="a0"/>
    <w:link w:val="af0"/>
    <w:uiPriority w:val="10"/>
    <w:qFormat/>
    <w:rPr>
      <w:sz w:val="48"/>
      <w:szCs w:val="48"/>
    </w:rPr>
  </w:style>
  <w:style w:type="character" w:customStyle="1" w:styleId="af6">
    <w:name w:val="Подзаголовок Знак"/>
    <w:basedOn w:val="a0"/>
    <w:link w:val="af5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qFormat/>
    <w:rPr>
      <w:i/>
    </w:rPr>
  </w:style>
  <w:style w:type="character" w:customStyle="1" w:styleId="ae">
    <w:name w:val="Верхний колонтитул Знак"/>
    <w:basedOn w:val="a0"/>
    <w:link w:val="ad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3">
    <w:name w:val="Нижний колонтитул Знак"/>
    <w:link w:val="af2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customStyle="1" w:styleId="a9">
    <w:name w:val="Текст концевой сноски Знак"/>
    <w:link w:val="a8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  <w:pPr>
      <w:spacing w:after="200" w:line="276" w:lineRule="auto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0"/>
      <w:szCs w:val="24"/>
      <w:lang w:val="en-US" w:eastAsia="ru-RU"/>
    </w:rPr>
  </w:style>
  <w:style w:type="paragraph" w:customStyle="1" w:styleId="13">
    <w:name w:val="Обычный1"/>
    <w:uiPriority w:val="99"/>
    <w:qFormat/>
    <w:rPr>
      <w:rFonts w:ascii="Times New Roman" w:eastAsia="Times New Roman" w:hAnsi="Times New Roman" w:cs="Times New Roman"/>
      <w:lang w:val="en-A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4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9109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Антон</dc:creator>
  <cp:lastModifiedBy>User</cp:lastModifiedBy>
  <cp:revision>21</cp:revision>
  <cp:lastPrinted>2026-03-10T00:45:00Z</cp:lastPrinted>
  <dcterms:created xsi:type="dcterms:W3CDTF">2026-06-15T06:38:00Z</dcterms:created>
  <dcterms:modified xsi:type="dcterms:W3CDTF">2026-07-03T06:34:00Z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11BB1F6C32F844AD83F6263A2D0C1651_12</vt:lpwstr>
  </property>
</Properties>
</file>