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rPr>
          <w:b w:val="0"/>
          <w:color w:val="000000" w:themeColor="text1"/>
          <w:highlight w:val="white"/>
        </w:rPr>
      </w:pPr>
      <w:r>
        <w:rPr>
          <w:b w:val="0"/>
          <w:color w:val="000000" w:themeColor="text1"/>
          <w:highlight w:val="white"/>
        </w:rPr>
        <w:t xml:space="preserve">ДОГОВОР № </w:t>
      </w:r>
      <w:bookmarkStart w:id="0" w:name="НомерДоговора"/>
      <w:r/>
      <w:bookmarkEnd w:id="0"/>
      <w:r>
        <w:rPr>
          <w:b w:val="0"/>
          <w:color w:val="000000" w:themeColor="text1"/>
          <w:highlight w:val="white"/>
        </w:rPr>
      </w:r>
      <w:r>
        <w:rPr>
          <w:b w:val="0"/>
          <w:color w:val="000000" w:themeColor="text1"/>
          <w:highlight w:val="white"/>
        </w:rPr>
      </w:r>
    </w:p>
    <w:p>
      <w:pPr>
        <w:pStyle w:val="904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ПОСТАВКИ, АДАПТАЦИИ И СОПРОВОЖДЕНИЯ ЭКЗЕМПЛЯРОВ СИСТЕМ 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38"/>
        <w:jc w:val="center"/>
        <w:rPr>
          <w:color w:val="000000" w:themeColor="text1"/>
          <w:highlight w:val="white"/>
        </w:rPr>
      </w:pPr>
      <w:r>
        <w:rPr>
          <w:bCs/>
        </w:rPr>
        <w:t xml:space="preserve">(в том числе специальной копией Системы </w:t>
      </w:r>
      <w:r>
        <w:rPr>
          <w:bCs/>
        </w:rPr>
        <w:t xml:space="preserve">Консульт⁠﻿‌‍‌⁠﻿⁠​‍﻿﻿‍‌‍‌⁠﻿‌​​﻿‌‍‌‌⁠‌‌⁠​⁠‍‌‍﻿⁠​‌⁠​﻿‍‌антПлюс</w:t>
      </w:r>
      <w:r>
        <w:rPr>
          <w:bCs/>
        </w:rPr>
        <w:t xml:space="preserve">)</w:t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fldChar w:fldCharType="begin"/>
      </w:r>
      <w:r>
        <w:rPr>
          <w:rFonts w:ascii="Times New Roman" w:hAnsi="Times New Roman" w:cs="Times New Roman"/>
          <w:color w:val="000000" w:themeColor="text1"/>
          <w:highlight w:val="white"/>
        </w:rPr>
        <w:instrText xml:space="preserve"> DOCVARIABLE ВИДПЕРЕДАЧИ_ЕСТЬЭДО_УДАЛИТЬ[НАЧАЛО] </w:instrText>
      </w:r>
      <w:r>
        <w:rPr>
          <w:rFonts w:ascii="Times New Roman" w:hAnsi="Times New Roman" w:cs="Times New Roman"/>
          <w:color w:val="000000" w:themeColor="text1"/>
          <w:highlight w:val="white"/>
        </w:rPr>
        <w:fldChar w:fldCharType="separate"/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highlight w:val="white"/>
        </w:rPr>
        <w:fldChar w:fldCharType="end"/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г. __________________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  «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___» _________ 202__ г.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35"/>
        <w:rPr>
          <w:color w:val="000000" w:themeColor="text1"/>
          <w:sz w:val="20"/>
          <w:szCs w:val="20"/>
          <w:highlight w:val="white"/>
          <w:lang w:val="ru-RU"/>
        </w:rPr>
      </w:pPr>
      <w:r>
        <w:rPr>
          <w:color w:val="000000" w:themeColor="text1"/>
          <w:sz w:val="20"/>
          <w:szCs w:val="20"/>
          <w:highlight w:val="white"/>
          <w:lang w:val="ru-RU"/>
        </w:rPr>
        <w:t xml:space="preserve">____________________________________________________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именуемое в дальнейшем Исполнитель, в лице 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________________________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действующего на основании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 _____________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с одной стороны, и</w:t>
      </w:r>
      <w:r>
        <w:rPr>
          <w:b/>
          <w:color w:val="000000" w:themeColor="text1"/>
          <w:sz w:val="20"/>
          <w:szCs w:val="20"/>
          <w:highlight w:val="white"/>
          <w:lang w:val="ru-RU"/>
        </w:rPr>
        <w:t xml:space="preserve"> _____</w:t>
      </w:r>
      <w:r>
        <w:rPr>
          <w:b/>
          <w:color w:val="000000" w:themeColor="text1"/>
          <w:sz w:val="20"/>
          <w:szCs w:val="20"/>
          <w:highlight w:val="white"/>
          <w:lang w:val="ru-RU"/>
        </w:rPr>
        <w:t xml:space="preserve">____________</w:t>
      </w:r>
      <w:r>
        <w:rPr>
          <w:b/>
          <w:color w:val="000000" w:themeColor="text1"/>
          <w:sz w:val="20"/>
          <w:szCs w:val="20"/>
          <w:highlight w:val="white"/>
          <w:lang w:val="ru-RU"/>
        </w:rPr>
        <w:t xml:space="preserve">_______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именуемый (-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ая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-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ое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) в дальнейшем Заказчик, в лице 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________________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_________________, действующего на основании 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__________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с другой стороны, вместе именуемые Стороны,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 по результатам проведения ценового запроса в электронном виде в соответствии  с Федеральным  законом от 18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 июля 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2011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 года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 №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 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223-ФЗ «О закупках товаров, работ, услуг отдельными видами юридических лиц», Положением о закупке товаров, работ, услуг для нужд 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___________________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, </w:t>
      </w:r>
      <w:r>
        <w:rPr>
          <w:color w:val="000000" w:themeColor="text1"/>
          <w:sz w:val="20"/>
          <w:szCs w:val="20"/>
          <w:highlight w:val="white"/>
          <w:lang w:val="ru-RU"/>
        </w:rPr>
        <w:t xml:space="preserve">заключили настоящий Договор о нижеследующем.</w:t>
      </w:r>
      <w:r>
        <w:rPr>
          <w:color w:val="000000" w:themeColor="text1"/>
          <w:sz w:val="20"/>
          <w:szCs w:val="20"/>
          <w:highlight w:val="white"/>
          <w:lang w:val="ru-RU"/>
        </w:rPr>
      </w:r>
      <w:r>
        <w:rPr>
          <w:color w:val="000000" w:themeColor="text1"/>
          <w:sz w:val="20"/>
          <w:szCs w:val="20"/>
          <w:highlight w:val="white"/>
          <w:lang w:val="ru-RU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1" w:name="раздел_1"/>
      <w:r/>
      <w:bookmarkEnd w:id="1"/>
      <w:r>
        <w:rPr>
          <w:rFonts w:ascii="Times New Roman" w:hAnsi="Times New Roman" w:cs="Times New Roman"/>
          <w:color w:val="000000" w:themeColor="text1"/>
          <w:highlight w:val="white"/>
        </w:rPr>
        <w:t xml:space="preserve">ОСНОВНЫЕ ПОНЯТИЯ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2" w:name="ДатаДоговора2"/>
      <w:r/>
      <w:bookmarkEnd w:id="2"/>
      <w:r>
        <w:rPr>
          <w:rFonts w:ascii="Times New Roman" w:hAnsi="Times New Roman" w:cs="Times New Roman"/>
          <w:color w:val="000000" w:themeColor="text1"/>
          <w:highlight w:val="white"/>
        </w:rPr>
        <w:t xml:space="preserve">Справочная Правовая Система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(далее - Система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или Система) - совокупность многофункциональной программы для ЭВМ и набора текстовой информац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ии (программное средство, информационный продукт вычислительной техники).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Экземпляр Системы - копия Системы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на материальном носителе, позволяющая Заказчику получать необходимую информацию. Экземпляр Системы не позволяет изменять и передавать полученную информацию.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Порядок использования Систем - совокупность техни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ческих параметров, разрешенных способов и условий использования комплекта Систем.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Уникальный пользователь - физическое лицо, состоящее в трудовых отношениях с Заказчиком (Работник), являющееся пользователем Системы.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Регистрация - процедура, при которой зап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оминаются параметры конкретного электронного устройства и в экземпляр Системы вносятся определенные изменения (адаптация Системы), после чего становится возможным использование экземпляра Системы. По выбору Заказчика экземпляр Системы может быть зарегистри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рован на ЭВМ Заказчика, на ЭВМ Исполнителя, на ЭВМ Разработчика Систем. Особенности регистрации определяются настоящим Договором.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КЦ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- организация, на основании договора с которой Дистрибьютор осуществляет поставку и оказание услуг по адапт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ации и сопровождению экземпляров Систем.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Правомерный приобретатель экземпляра Системы (Заказчик) - физическое/юридическое лицо, приобретшее экземпляр Системы у официального Представителя Сети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или получившее на законных основаниях от физичес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кого/юридического лица экземпляр Системы, ранее приобретенный у официального Представителя Сети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(от правомерного приобретателя экземпляра Системы).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Разработчик (правообладатель) Систем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– ЗАО «Консультант Плюс».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567" w:right="1134" w:bottom="567" w:left="1134" w:header="0" w:footer="0" w:gutter="0"/>
          <w:cols w:num="1" w:sep="0" w:space="708" w:equalWidth="1"/>
          <w:docGrid w:linePitch="360"/>
        </w:sectPr>
      </w:pPr>
      <w:r/>
      <w:bookmarkStart w:id="3" w:name="раздел_2"/>
      <w:r/>
      <w:bookmarkEnd w:id="3"/>
      <w:r>
        <w:rPr>
          <w:rFonts w:ascii="Times New Roman" w:hAnsi="Times New Roman" w:cs="Times New Roman"/>
          <w:color w:val="000000" w:themeColor="text1"/>
          <w:highlight w:val="white"/>
        </w:rPr>
        <w:t xml:space="preserve">ПРЕДМЕТ ДОГОВОРА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По настоящему Договору Стороны принимают на себя исполнение следующих обязательств: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2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обязуется передавать Заказчику и адаптировать (устанавливать, регистрировать, тестировать, формировать в комплекты и вносить другие изменения, необходимые для работоспособности на оборудовании Заказчика), а Заказчик обязуется принимать и оплачи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вать экземпляры Систем, иного программного обеспечения, если это предусмотрено условиями настоящего Договора.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2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4" w:name="п_2_1_2"/>
      <w:r/>
      <w:bookmarkEnd w:id="4"/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обязуется оказывать Заказчику платные услуги по адаптации и сопровождению экземпляров Систем, иного программного обеспечения в течение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срока действия настоящего Договора в соответствии с условиями раздела 3 настоящего Договора. Порядок использования экземпляров Систем определяется настоящим Договором.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2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обязуется оказывать Заказчику иные платные услуги, предусмотренные настоящи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м Договором.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5" w:name="Раздел_3"/>
      <w:r/>
      <w:bookmarkStart w:id="6" w:name="п_3_1"/>
      <w:r/>
      <w:bookmarkStart w:id="7" w:name="п_3_3"/>
      <w:r/>
      <w:bookmarkEnd w:id="5"/>
      <w:r/>
      <w:bookmarkEnd w:id="6"/>
      <w:r/>
      <w:bookmarkEnd w:id="7"/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  <w:sectPr>
          <w:footnotePr/>
          <w:endnotePr/>
          <w:type w:val="continuous"/>
          <w:pgSz w:w="11906" w:h="16838" w:orient="portrait"/>
          <w:pgMar w:top="567" w:right="1134" w:bottom="567" w:left="1134" w:header="0" w:footer="1" w:gutter="0"/>
          <w:cols w:num="1" w:sep="0" w:space="708" w:equalWidth="1"/>
          <w:docGrid w:linePitch="360"/>
        </w:sectPr>
      </w:pPr>
      <w:r/>
      <w:bookmarkStart w:id="8" w:name="раздел_4"/>
      <w:r/>
      <w:bookmarkEnd w:id="8"/>
      <w:r>
        <w:rPr>
          <w:rFonts w:ascii="Times New Roman" w:hAnsi="Times New Roman" w:cs="Times New Roman"/>
          <w:color w:val="000000" w:themeColor="text1"/>
          <w:highlight w:val="white"/>
        </w:rPr>
        <w:t xml:space="preserve">ПОРЯДОК ПОСТАВКИ ЭКЗЕМПЛЯРА СИСТЕМЫ И ОКАЗАНИЯ УСЛУГ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По факту передачи экземпляра Системы составляется товарная накладная (двусторонний Акт приемки-передачи, УПД).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9" w:name="п_4_3"/>
      <w:r/>
      <w:bookmarkStart w:id="10" w:name="п_4_4"/>
      <w:r/>
      <w:bookmarkStart w:id="11" w:name="п_4_6"/>
      <w:r/>
      <w:bookmarkStart w:id="12" w:name="п_4_7"/>
      <w:r/>
      <w:bookmarkStart w:id="13" w:name="раздел_5"/>
      <w:r/>
      <w:bookmarkEnd w:id="9"/>
      <w:r/>
      <w:bookmarkEnd w:id="10"/>
      <w:r/>
      <w:bookmarkEnd w:id="11"/>
      <w:r/>
      <w:bookmarkEnd w:id="12"/>
      <w:r/>
      <w:bookmarkEnd w:id="13"/>
      <w:r>
        <w:rPr>
          <w:rFonts w:ascii="Times New Roman" w:hAnsi="Times New Roman" w:cs="Times New Roman"/>
          <w:color w:val="000000" w:themeColor="text1"/>
          <w:highlight w:val="white"/>
        </w:rPr>
        <w:t xml:space="preserve">Оказание услуг предусматривает: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2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 Адаптацию (установку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, тестирование, регистрацию, формирование в комплекты, внесение других изменений необходимых для работоспособности на оборудовании Заказчика) экземпляров Систем;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2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Сопровождение адаптированных Исполнителем экземпляров Систем, в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т.ч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.: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Передачу Заказчику актуальной информации (актуальных наборов текстовой информации, адаптированных к имеющимся у Заказчика экземплярам Систем);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Техническую профилактику работоспособности Систем и восстановление работоспособности Систем в случае сбоев компью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терного оборудования после их устранения Заказчиком (тестирование, переустановка);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Предоставление дополнительной информации и возможностей, состав которых определяется Исполнителем;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Мониторинг данных об использовании Систем с целью предотвращения их против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оправного и контрафактного использования, а также замедления работы;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Консультирование по работе с Системами, в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т.ч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. обучение Заказчика работе с Системами по методикам Сети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с возможностью получения специального сертификата об обучении;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доставление возможности получения Заказчиком консультаций по работе Систем по телефону, по электронной почте, </w:t>
      </w:r>
      <w:bookmarkStart w:id="14" w:name="_Hlk52049394"/>
      <w:r>
        <w:rPr>
          <w:rFonts w:ascii="Times New Roman" w:hAnsi="Times New Roman" w:cs="Times New Roman"/>
          <w:color w:val="000000" w:themeColor="text1"/>
          <w:highlight w:val="white"/>
        </w:rPr>
        <w:t xml:space="preserve">через специальные сервисы </w:t>
      </w:r>
      <w:bookmarkEnd w:id="14"/>
      <w:r>
        <w:rPr>
          <w:rFonts w:ascii="Times New Roman" w:hAnsi="Times New Roman" w:cs="Times New Roman"/>
          <w:color w:val="000000" w:themeColor="text1"/>
          <w:highlight w:val="white"/>
        </w:rPr>
        <w:t xml:space="preserve">и базы данных либо в офисе Исполнителя;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Предоставление другой информации и материалов;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3"/>
          <w:numId w:val="5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Предоставление иных услуг по со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провождению адаптированных Исполнителем экземпляров Систем.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Оказание Заказчику текущих услуг с использованием экземпляров Систем осуществляется без выбора документов.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15" w:name="раздел_6"/>
      <w:r/>
      <w:bookmarkEnd w:id="15"/>
      <w:r>
        <w:rPr>
          <w:rFonts w:ascii="Times New Roman" w:hAnsi="Times New Roman" w:cs="Times New Roman"/>
          <w:color w:val="000000" w:themeColor="text1"/>
          <w:highlight w:val="white"/>
        </w:rPr>
        <w:t xml:space="preserve">СТОИМОСТЬ ПОСТАВКИ И УСЛУГ. ПОРЯДОК РАСЧЕТОВ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rPr>
          <w:color w:val="000000" w:themeColor="text1"/>
          <w:sz w:val="16"/>
          <w:szCs w:val="16"/>
          <w:highlight w:val="white"/>
        </w:rPr>
      </w:pPr>
      <w:r>
        <w:rPr>
          <w:b/>
          <w:color w:val="000000" w:themeColor="text1"/>
          <w:sz w:val="20"/>
          <w:szCs w:val="20"/>
          <w:highlight w:val="white"/>
        </w:rPr>
        <w:t xml:space="preserve">4.1.</w:t>
      </w:r>
      <w:r>
        <w:rPr>
          <w:color w:val="000000" w:themeColor="text1"/>
          <w:sz w:val="20"/>
          <w:szCs w:val="20"/>
          <w:highlight w:val="white"/>
        </w:rPr>
        <w:t xml:space="preserve"> Стоимость Услуг</w:t>
      </w:r>
      <w:r>
        <w:rPr>
          <w:color w:val="000000" w:themeColor="text1"/>
          <w:sz w:val="20"/>
          <w:szCs w:val="20"/>
          <w:highlight w:val="white"/>
        </w:rPr>
        <w:t xml:space="preserve"> по настоящему договору в месяц </w:t>
      </w:r>
      <w:r>
        <w:rPr>
          <w:color w:val="000000" w:themeColor="text1"/>
          <w:sz w:val="20"/>
          <w:szCs w:val="20"/>
          <w:highlight w:val="white"/>
        </w:rPr>
        <w:t xml:space="preserve">составляет </w:t>
      </w:r>
      <w:r>
        <w:rPr>
          <w:b/>
          <w:color w:val="000000" w:themeColor="text1"/>
          <w:sz w:val="20"/>
          <w:szCs w:val="20"/>
          <w:highlight w:val="white"/>
          <w:u w:val="single"/>
        </w:rPr>
        <w:t xml:space="preserve">___________</w:t>
      </w:r>
      <w:r>
        <w:rPr>
          <w:color w:val="000000" w:themeColor="text1"/>
          <w:sz w:val="20"/>
          <w:szCs w:val="20"/>
          <w:highlight w:val="white"/>
        </w:rPr>
        <w:t xml:space="preserve">. В </w:t>
      </w:r>
      <w:r>
        <w:rPr>
          <w:color w:val="000000" w:themeColor="text1"/>
          <w:sz w:val="20"/>
          <w:szCs w:val="20"/>
          <w:highlight w:val="white"/>
        </w:rPr>
        <w:t xml:space="preserve">т.ч</w:t>
      </w:r>
      <w:r>
        <w:rPr>
          <w:color w:val="000000" w:themeColor="text1"/>
          <w:sz w:val="20"/>
          <w:szCs w:val="20"/>
          <w:highlight w:val="white"/>
        </w:rPr>
        <w:t xml:space="preserve">. НДС___</w:t>
      </w:r>
      <w:r>
        <w:rPr>
          <w:color w:val="000000" w:themeColor="text1"/>
          <w:sz w:val="20"/>
          <w:szCs w:val="20"/>
          <w:highlight w:val="white"/>
        </w:rPr>
        <w:t xml:space="preserve">руб</w:t>
      </w:r>
      <w:r>
        <w:rPr>
          <w:color w:val="000000" w:themeColor="text1"/>
          <w:sz w:val="20"/>
          <w:szCs w:val="20"/>
          <w:highlight w:val="white"/>
        </w:rPr>
        <w:t xml:space="preserve">./ Цена включает все налоги.</w:t>
      </w:r>
      <w:r>
        <w:rPr>
          <w:color w:val="000000" w:themeColor="text1"/>
          <w:sz w:val="16"/>
          <w:szCs w:val="16"/>
          <w:highlight w:val="white"/>
        </w:rPr>
      </w:r>
      <w:r>
        <w:rPr>
          <w:color w:val="000000" w:themeColor="text1"/>
          <w:sz w:val="16"/>
          <w:szCs w:val="16"/>
          <w:highlight w:val="white"/>
        </w:rPr>
      </w:r>
    </w:p>
    <w:p>
      <w:pPr>
        <w:pStyle w:val="936"/>
        <w:ind w:right="0" w:firstLine="0"/>
        <w:jc w:val="both"/>
        <w:widowControl/>
        <w:rPr>
          <w:rFonts w:ascii="Times New Roman" w:hAnsi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color w:val="000000" w:themeColor="text1"/>
          <w:highlight w:val="white"/>
        </w:rPr>
        <w:t xml:space="preserve">Общая стоимость Услуг по настоящему договору составляет </w:t>
      </w:r>
      <w:r>
        <w:rPr>
          <w:rFonts w:ascii="Times New Roman" w:hAnsi="Times New Roman"/>
          <w:b/>
          <w:color w:val="000000" w:themeColor="text1"/>
          <w:highlight w:val="white"/>
          <w:u w:val="single"/>
        </w:rPr>
        <w:t xml:space="preserve">_____________</w:t>
      </w:r>
      <w:r>
        <w:rPr>
          <w:rFonts w:ascii="Times New Roman" w:hAnsi="Times New Roman"/>
          <w:color w:val="000000" w:themeColor="text1"/>
          <w:highlight w:val="white"/>
        </w:rPr>
        <w:t xml:space="preserve">. В </w:t>
      </w:r>
      <w:r>
        <w:rPr>
          <w:rFonts w:ascii="Times New Roman" w:hAnsi="Times New Roman"/>
          <w:color w:val="000000" w:themeColor="text1"/>
          <w:highlight w:val="white"/>
        </w:rPr>
        <w:t xml:space="preserve">т.ч</w:t>
      </w:r>
      <w:r>
        <w:rPr>
          <w:rFonts w:ascii="Times New Roman" w:hAnsi="Times New Roman"/>
          <w:color w:val="000000" w:themeColor="text1"/>
          <w:highlight w:val="white"/>
        </w:rPr>
        <w:t xml:space="preserve">. НДС___</w:t>
      </w:r>
      <w:r>
        <w:rPr>
          <w:rFonts w:ascii="Times New Roman" w:hAnsi="Times New Roman"/>
          <w:color w:val="000000" w:themeColor="text1"/>
          <w:highlight w:val="white"/>
        </w:rPr>
        <w:t xml:space="preserve">руб</w:t>
      </w:r>
      <w:r>
        <w:rPr>
          <w:rFonts w:ascii="Times New Roman" w:hAnsi="Times New Roman"/>
          <w:color w:val="000000" w:themeColor="text1"/>
          <w:highlight w:val="white"/>
        </w:rPr>
        <w:t xml:space="preserve">./ Цена включает все налоги.</w:t>
      </w:r>
      <w:r>
        <w:rPr>
          <w:rFonts w:ascii="Times New Roman" w:hAnsi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/>
          <w:color w:val="000000" w:themeColor="text1"/>
          <w:sz w:val="16"/>
          <w:szCs w:val="16"/>
          <w:highlight w:val="white"/>
        </w:rPr>
      </w:r>
    </w:p>
    <w:p>
      <w:pPr>
        <w:pStyle w:val="936"/>
        <w:ind w:right="0" w:firstLine="0"/>
        <w:jc w:val="both"/>
        <w:widowControl/>
        <w:rPr>
          <w:rFonts w:ascii="Times New Roman" w:hAnsi="Times New Roman"/>
          <w:color w:val="000000" w:themeColor="text1"/>
          <w:highlight w:val="white"/>
        </w:rPr>
      </w:pPr>
      <w:r>
        <w:rPr>
          <w:rFonts w:ascii="Times New Roman" w:hAnsi="Times New Roman"/>
          <w:color w:val="000000" w:themeColor="text1"/>
          <w:highlight w:val="white"/>
        </w:rPr>
      </w:r>
      <w:r>
        <w:rPr>
          <w:rFonts w:ascii="Times New Roman" w:hAnsi="Times New Roman"/>
          <w:color w:val="000000" w:themeColor="text1"/>
          <w:highlight w:val="white"/>
        </w:rPr>
      </w:r>
      <w:r>
        <w:rPr>
          <w:rFonts w:ascii="Times New Roman" w:hAnsi="Times New Roman"/>
          <w:color w:val="000000" w:themeColor="text1"/>
          <w:highlight w:val="white"/>
        </w:rPr>
      </w:r>
    </w:p>
    <w:p>
      <w:pPr>
        <w:jc w:val="left"/>
        <w:rPr>
          <w:color w:val="000000" w:themeColor="text1"/>
          <w:sz w:val="16"/>
          <w:szCs w:val="16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Источник финансирования: бюджетные ср</w:t>
      </w:r>
      <w:r>
        <w:rPr>
          <w:color w:val="000000" w:themeColor="text1"/>
          <w:sz w:val="20"/>
          <w:szCs w:val="20"/>
          <w:highlight w:val="white"/>
        </w:rPr>
        <w:t xml:space="preserve">едства </w:t>
      </w:r>
      <w:r>
        <w:rPr>
          <w:color w:val="000000" w:themeColor="text1"/>
          <w:sz w:val="20"/>
          <w:szCs w:val="20"/>
          <w:highlight w:val="white"/>
        </w:rPr>
        <w:t xml:space="preserve">учреждения ,</w:t>
      </w:r>
      <w:r>
        <w:rPr>
          <w:color w:val="000000" w:themeColor="text1"/>
          <w:sz w:val="20"/>
          <w:szCs w:val="20"/>
          <w:highlight w:val="white"/>
        </w:rPr>
        <w:t xml:space="preserve"> а  именно: </w:t>
      </w:r>
      <w:r>
        <w:rPr>
          <w:color w:val="000000" w:themeColor="text1"/>
          <w:sz w:val="20"/>
          <w:szCs w:val="20"/>
          <w:highlight w:val="white"/>
        </w:rPr>
        <w:t xml:space="preserve">субсидия на выполнение государственного задания.</w:t>
      </w:r>
      <w:r>
        <w:rPr>
          <w:color w:val="000000" w:themeColor="text1"/>
          <w:sz w:val="16"/>
          <w:szCs w:val="16"/>
          <w:highlight w:val="white"/>
        </w:rPr>
      </w:r>
      <w:r>
        <w:rPr>
          <w:color w:val="000000" w:themeColor="text1"/>
          <w:sz w:val="16"/>
          <w:szCs w:val="16"/>
          <w:highlight w:val="white"/>
        </w:rPr>
      </w:r>
    </w:p>
    <w:p>
      <w:pPr>
        <w:rPr>
          <w:color w:val="000000" w:themeColor="text1"/>
          <w:sz w:val="16"/>
          <w:szCs w:val="16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Цена Договора является твердой и определяется на весь срок исполнения Контракта, кроме случаев, установленных законодательством Российской Федерации.</w:t>
      </w:r>
      <w:r>
        <w:rPr>
          <w:color w:val="000000" w:themeColor="text1"/>
          <w:sz w:val="16"/>
          <w:szCs w:val="16"/>
          <w:highlight w:val="white"/>
        </w:rPr>
      </w:r>
      <w:r>
        <w:rPr>
          <w:color w:val="000000" w:themeColor="text1"/>
          <w:sz w:val="16"/>
          <w:szCs w:val="16"/>
          <w:highlight w:val="white"/>
        </w:rPr>
      </w:r>
    </w:p>
    <w:p>
      <w:pPr>
        <w:ind w:firstLine="708"/>
        <w:rPr>
          <w:color w:val="000000" w:themeColor="text1"/>
          <w:sz w:val="16"/>
          <w:szCs w:val="16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 сумма, уменьшается на размер налогов, сборов и иных обязательных платежей в бюджеты бюджетной системы Российской</w:t>
      </w:r>
      <w:r>
        <w:rPr>
          <w:color w:val="000000" w:themeColor="text1"/>
          <w:sz w:val="20"/>
          <w:szCs w:val="20"/>
          <w:highlight w:val="white"/>
        </w:rPr>
        <w:t xml:space="preserve">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color w:val="000000" w:themeColor="text1"/>
          <w:sz w:val="16"/>
          <w:szCs w:val="16"/>
          <w:highlight w:val="white"/>
        </w:rPr>
      </w:r>
      <w:r>
        <w:rPr>
          <w:color w:val="000000" w:themeColor="text1"/>
          <w:sz w:val="16"/>
          <w:szCs w:val="16"/>
          <w:highlight w:val="white"/>
        </w:rPr>
      </w:r>
    </w:p>
    <w:p>
      <w:pPr>
        <w:rPr>
          <w:color w:val="000000" w:themeColor="text1"/>
          <w:sz w:val="16"/>
          <w:szCs w:val="16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Расчет с</w:t>
      </w:r>
      <w:r>
        <w:rPr>
          <w:color w:val="000000" w:themeColor="text1"/>
          <w:sz w:val="20"/>
          <w:szCs w:val="20"/>
          <w:highlight w:val="white"/>
        </w:rPr>
        <w:t xml:space="preserve">тоимости приведен в Приложении 1 к Договору.</w:t>
      </w:r>
      <w:r>
        <w:rPr>
          <w:color w:val="000000" w:themeColor="text1"/>
          <w:sz w:val="16"/>
          <w:szCs w:val="16"/>
          <w:highlight w:val="white"/>
        </w:rPr>
      </w:r>
      <w:r>
        <w:rPr>
          <w:color w:val="000000" w:themeColor="text1"/>
          <w:sz w:val="16"/>
          <w:szCs w:val="16"/>
          <w:highlight w:val="white"/>
        </w:rPr>
      </w:r>
    </w:p>
    <w:p>
      <w:pPr>
        <w:rPr>
          <w:color w:val="000000" w:themeColor="text1"/>
          <w:sz w:val="16"/>
          <w:szCs w:val="16"/>
          <w:highlight w:val="white"/>
        </w:rPr>
      </w:pPr>
      <w:r>
        <w:rPr>
          <w:b/>
          <w:color w:val="000000" w:themeColor="text1"/>
          <w:sz w:val="20"/>
          <w:szCs w:val="20"/>
          <w:highlight w:val="white"/>
        </w:rPr>
        <w:t xml:space="preserve">4.2.</w:t>
      </w:r>
      <w:r>
        <w:rPr>
          <w:color w:val="000000" w:themeColor="text1"/>
          <w:sz w:val="20"/>
          <w:szCs w:val="20"/>
          <w:highlight w:val="white"/>
        </w:rPr>
        <w:t xml:space="preserve"> Заказчик оплачивает стоимость Услуг в течение 7 (семи) рабочих дней со дня подписания первичных документов об оказании услуг. Под датой оплаты понимается дата поступления денежных средств на расчетный счет </w:t>
      </w:r>
      <w:r>
        <w:rPr>
          <w:color w:val="000000" w:themeColor="text1"/>
          <w:sz w:val="20"/>
          <w:szCs w:val="20"/>
          <w:highlight w:val="white"/>
        </w:rPr>
        <w:t xml:space="preserve">Исполнителя.</w:t>
      </w:r>
      <w:r>
        <w:rPr>
          <w:color w:val="000000" w:themeColor="text1"/>
          <w:sz w:val="16"/>
          <w:szCs w:val="16"/>
          <w:highlight w:val="white"/>
        </w:rPr>
      </w:r>
      <w:r>
        <w:rPr>
          <w:color w:val="000000" w:themeColor="text1"/>
          <w:sz w:val="16"/>
          <w:szCs w:val="16"/>
          <w:highlight w:val="white"/>
        </w:rPr>
      </w:r>
    </w:p>
    <w:p>
      <w:pPr>
        <w:rPr>
          <w:color w:val="000000" w:themeColor="text1"/>
          <w:sz w:val="16"/>
          <w:szCs w:val="16"/>
          <w:highlight w:val="white"/>
        </w:rPr>
      </w:pPr>
      <w:r>
        <w:rPr>
          <w:b/>
          <w:color w:val="000000" w:themeColor="text1"/>
          <w:sz w:val="20"/>
          <w:szCs w:val="20"/>
          <w:highlight w:val="white"/>
        </w:rPr>
        <w:t xml:space="preserve">4.3.</w:t>
      </w:r>
      <w:r>
        <w:rPr>
          <w:color w:val="000000" w:themeColor="text1"/>
          <w:sz w:val="20"/>
          <w:szCs w:val="20"/>
          <w:highlight w:val="white"/>
        </w:rPr>
        <w:t xml:space="preserve"> Основанием для расчетов является Документ о приемке, который Исполнитель предоставляет Заказчику. В Документе о приемке указывается стоимость Услуг за месяц.</w:t>
      </w:r>
      <w:r>
        <w:rPr>
          <w:color w:val="000000" w:themeColor="text1"/>
          <w:sz w:val="16"/>
          <w:szCs w:val="16"/>
          <w:highlight w:val="white"/>
        </w:rPr>
      </w:r>
      <w:r>
        <w:rPr>
          <w:color w:val="000000" w:themeColor="text1"/>
          <w:sz w:val="16"/>
          <w:szCs w:val="16"/>
          <w:highlight w:val="white"/>
        </w:rPr>
      </w:r>
    </w:p>
    <w:p>
      <w:pPr>
        <w:pStyle w:val="936"/>
        <w:ind w:right="0" w:firstLine="0"/>
        <w:jc w:val="both"/>
        <w:widowControl/>
        <w:rPr>
          <w:rFonts w:ascii="Times New Roman" w:hAnsi="Times New Roman"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b/>
          <w:color w:val="000000" w:themeColor="text1"/>
          <w:highlight w:val="white"/>
        </w:rPr>
        <w:t xml:space="preserve">4.4.</w:t>
      </w:r>
      <w:r>
        <w:rPr>
          <w:rFonts w:ascii="Times New Roman" w:hAnsi="Times New Roman"/>
          <w:color w:val="000000" w:themeColor="text1"/>
          <w:highlight w:val="white"/>
        </w:rPr>
        <w:t xml:space="preserve"> Если Заказчик произвел платеж, сумма которого недостаточна для погашения де</w:t>
      </w:r>
      <w:r>
        <w:rPr>
          <w:rFonts w:ascii="Times New Roman" w:hAnsi="Times New Roman"/>
          <w:color w:val="000000" w:themeColor="text1"/>
          <w:highlight w:val="white"/>
        </w:rPr>
        <w:t xml:space="preserve">нежного обязательства полностью, то в первую очередь погашается задолженность за наиболее ранний месяц. При оплате за конкретный месяц в первую очередь погашается задолженность за фактически оказанные услуги.</w:t>
      </w:r>
      <w:r>
        <w:rPr>
          <w:rFonts w:ascii="Times New Roman" w:hAnsi="Times New Roman"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/>
          <w:color w:val="000000" w:themeColor="text1"/>
          <w:sz w:val="16"/>
          <w:szCs w:val="16"/>
          <w:highlight w:val="white"/>
        </w:rPr>
      </w:r>
    </w:p>
    <w:p>
      <w:pPr>
        <w:pStyle w:val="936"/>
        <w:ind w:right="0" w:firstLine="0"/>
        <w:jc w:val="both"/>
        <w:widowControl/>
        <w:rPr>
          <w:rFonts w:ascii="Times New Roman" w:hAnsi="Times New Roman"/>
          <w:bCs/>
          <w:color w:val="000000" w:themeColor="text1"/>
          <w:sz w:val="16"/>
          <w:szCs w:val="16"/>
          <w:highlight w:val="white"/>
        </w:rPr>
      </w:pPr>
      <w:r>
        <w:rPr>
          <w:rFonts w:ascii="Times New Roman" w:hAnsi="Times New Roman"/>
          <w:b/>
          <w:color w:val="000000" w:themeColor="text1"/>
          <w:highlight w:val="white"/>
        </w:rPr>
        <w:t xml:space="preserve">4.5.</w:t>
      </w:r>
      <w:r>
        <w:rPr>
          <w:rFonts w:ascii="Times New Roman" w:hAnsi="Times New Roman"/>
          <w:color w:val="000000" w:themeColor="text1"/>
          <w:highlight w:val="white"/>
        </w:rPr>
        <w:t xml:space="preserve"> Заказчик</w:t>
      </w:r>
      <w:r>
        <w:rPr>
          <w:rFonts w:ascii="Times New Roman" w:hAnsi="Times New Roman"/>
          <w:b/>
          <w:color w:val="000000" w:themeColor="text1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highlight w:val="white"/>
        </w:rPr>
        <w:t xml:space="preserve">по согласованию</w:t>
      </w:r>
      <w:r>
        <w:rPr>
          <w:rFonts w:ascii="Times New Roman" w:hAnsi="Times New Roman"/>
          <w:b/>
          <w:bCs/>
          <w:color w:val="000000" w:themeColor="text1"/>
          <w:highlight w:val="white"/>
        </w:rPr>
        <w:t xml:space="preserve"> </w:t>
      </w:r>
      <w:r>
        <w:rPr>
          <w:rFonts w:ascii="Times New Roman" w:hAnsi="Times New Roman"/>
          <w:bCs/>
          <w:color w:val="000000" w:themeColor="text1"/>
          <w:highlight w:val="white"/>
        </w:rPr>
        <w:t xml:space="preserve">с Исполнителем вп</w:t>
      </w:r>
      <w:r>
        <w:rPr>
          <w:rFonts w:ascii="Times New Roman" w:hAnsi="Times New Roman"/>
          <w:bCs/>
          <w:color w:val="000000" w:themeColor="text1"/>
          <w:highlight w:val="white"/>
        </w:rPr>
        <w:t xml:space="preserve">раве снизить цену договора без изменения предусмотренных договором</w:t>
      </w:r>
      <w:r>
        <w:rPr>
          <w:rFonts w:ascii="Times New Roman" w:hAnsi="Times New Roman"/>
          <w:bCs/>
          <w:color w:val="000000" w:themeColor="text1"/>
          <w:highlight w:val="white"/>
        </w:rPr>
        <w:t xml:space="preserve"> количества товара, объема работы или услуги, качества поставляемого товара, выполняемой работы, оказываемой услуги и иных условий настоящего договора.</w:t>
      </w:r>
      <w:r>
        <w:rPr>
          <w:rFonts w:ascii="Times New Roman" w:hAnsi="Times New Roman"/>
          <w:bCs/>
          <w:color w:val="000000" w:themeColor="text1"/>
          <w:sz w:val="16"/>
          <w:szCs w:val="16"/>
          <w:highlight w:val="white"/>
        </w:rPr>
      </w:r>
      <w:r>
        <w:rPr>
          <w:rFonts w:ascii="Times New Roman" w:hAnsi="Times New Roman"/>
          <w:bCs/>
          <w:color w:val="000000" w:themeColor="text1"/>
          <w:sz w:val="16"/>
          <w:szCs w:val="16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СРОК ДЕЙСТВИЯ ДОГОВОРА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Настоящий Договор вступает в силу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с момента подписания Сторонами и действует 12 месяцев,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а в части оплаты до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полного  исполнения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Сторонами своих обязательств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</w:rPr>
        <w:t xml:space="preserve">П</w:t>
      </w:r>
      <w:r>
        <w:rPr>
          <w:rFonts w:ascii="Times New Roman" w:hAnsi="Times New Roman" w:cs="Times New Roman"/>
        </w:rPr>
        <w:t xml:space="preserve">оставк</w:t>
      </w:r>
      <w:r>
        <w:rPr>
          <w:rFonts w:ascii="Times New Roman" w:hAnsi="Times New Roman" w:cs="Times New Roman"/>
        </w:rPr>
        <w:t xml:space="preserve">а</w:t>
      </w:r>
      <w:r>
        <w:rPr>
          <w:rFonts w:ascii="Times New Roman" w:hAnsi="Times New Roman" w:cs="Times New Roman"/>
        </w:rPr>
        <w:t xml:space="preserve"> экземпляров справочной системы Консультант Плюс в течение 5 рабочих дней с момента заключения договора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ОТВЕТСТВЕННОСТЬ СТОРОН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 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лучае если у Заказчика возникнут обоснованные претензии к Системе в частях качества включенной в нее информации и/или некорректной работы программных средств и/или иной предоставленной информации 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материалов, подготовленных Исполнителем с использованием э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кземпляра Системы, Исполнитель обязуется рассмотреть Претензию Заказчика в течение 15 (Пятнадцати) дней с момента ее получения. Претензии принимаются Исполнителем только в оплаченном периоде пополнения экземпляра Системы. В случае признания Претензии обосн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ованной, Исполнитель обязан устранить недостатки в разумный срок. В случае не устранения недостатков в указанный срок, Заказчик будет вправе потребовать выплаты исключительной неустойки (штрафа) в размере, не превышающем стоимости одного месяца оказания ус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луг с использованием соответствующего экземпляра Системы, и/или досрочного расторжения настоящего Договора путем составления дополнительной Претензии. Исполнитель обязуется в пятнадцатидневный срок со дня получения дополнительной Претензии письменно ответи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ть на нее. В случае признания дополнительной Претензии Заказчика обоснованной, Исполнитель обязан в зависимости от требований Заказчика перечислить Заказчику исключительную неустойку (штраф) и/или расторгнуть настоящий Договор.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не несет ответст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венности за качество отключенного от сопровождения экземпляра Системы.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При нарушении Заказчиком условий оплаты Исполнитель имеет право прекратить исполнение любых обязательств перед Заказчиком, в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т.ч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. блокировать использование Заказчиком любых сервисов, пр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едварительно уведомив об этом Заказчика за 5 (Пять) дней.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имеет право отказаться от исполнения настоящего Договора в одностороннем внесудебном порядке в случаях: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2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Внесения Заказчиком изменений в средства программной защиты Системы, приводящих к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ее декомпилированию или модификации;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2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Изготовления, воспроизведения, распространения (любым способом) Заказчиком контрафактных экземпляров Систем.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2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 иных случаях, установленных настоящим Договором.</w:t>
      </w:r>
      <w:bookmarkStart w:id="16" w:name="Par543"/>
      <w:r/>
      <w:bookmarkStart w:id="17" w:name="Par2212"/>
      <w:r/>
      <w:bookmarkEnd w:id="16"/>
      <w:r/>
      <w:bookmarkEnd w:id="17"/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не несет ответственности за невозможность исполнения своих обязательств перед Заказчиком по причине неполадок в работе компьютерного, телекоммуникационного оборудования или каналов связи Заказчика и/или третьих лиц (в том числе оборудования опе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ратора, предоставляющего Заказчику услуги связи), а также в иных согласованных Сторонами случаях.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Заказчик обязан оплачивать услуги Исполнителя, в том числе и за периоды, в которые Заказчик фактически не использовал Системы по не зависящим от Исполнителя п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ричинам.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ОСОБЫЕ УСЛОВИЯ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18" w:name="п_9_1"/>
      <w:r/>
      <w:bookmarkEnd w:id="18"/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Заказчик имеет право отказаться от услуг, оказываемых Исполнителем согласно п. 2.1.2 настоящего Договора, до истечения срока действия Договора. Заказчик обязан уведомить Исполнителя о таком отказе не менее чем за 30 (Тридцать) дн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ей.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19" w:name="п_9_2"/>
      <w:r/>
      <w:bookmarkEnd w:id="19"/>
      <w:r>
        <w:rPr>
          <w:rFonts w:ascii="Times New Roman" w:hAnsi="Times New Roman" w:cs="Times New Roman"/>
          <w:color w:val="000000" w:themeColor="text1"/>
          <w:highlight w:val="white"/>
        </w:rPr>
        <w:t xml:space="preserve">Оказание услуг, отмененное Заказчиком в соответствии с п. 7.1 настоящего Договора, может быть продолжено Исполнителем после оплаты Заказчиком стоимости возобновления обслуживания по Прейскуранту Исполнителя.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Заказчик обязан обеспечить соблюдение Уникал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ьными пользователями положений настоящего Договора.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Условия настоящего Договора являются конфиденциальными и не подлежат разглашению, за исключением случаев, когда иное предусмотрено законодательством Российской Федерации.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вправе передать все п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рава и обязанности по настоящему Договору другому официальному Дистрибьютору Сети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с уведомлением Заказчика за 10 (Десять) дней до момента передачи.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Экземпляры Систем передаются и сопровождаются Исполнителем в виде «как есть» с параметрами и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нформационного содержания, определяемыми разработчиком, и не подлежат изменению по желанию Заказчика, если иное не предусмотрено соглашением Сторон. Разработчик Систем вправе самостоятельно определять информационное содержание Систем в рамках их общей напр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авленности. Информация, содержащаяся в Системе, включая авторские материалы (комментарии, книги, статьи, ответы на вопросы и т.д.), имеет справочный характер. Разработчик не несет ответственности за правильность информации, изложенной в авторских материала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х.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 случае если в силу технических особенностей определенной Системы какие-либо условия настоящего Договора выполнить невозможно, то эти условия и ответственность за невыполнение этих условий, если она предусмотрена, считаются недействующими в отношении э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кземпляров данной Системы.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может исполнять свои обязательства по настоящему Договору с привлечением третьих лиц.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Исполнитель может получать служебные файлы и информацию с компьютера Заказчика, необходимые для надлежащего исполнения обязательств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перед Заказчиком.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С согласия Заказчика Исполнитель вправе изменить параметры и/или название экземпляра Системы, сопровождаемого по настоящему Договору, путем передачи в адрес Заказчика письма с указанием новых параметров и/или названия экземпляра Системы.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Соответствующие изменения в Договор вступают в силу с момента получения Заказчиком указанного письма или иного момента, указанного в письме.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Заказчик обязан обеспечить правомерность использования Исполнителем персональных данных физических лиц, которые За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казчик передает Исполнителю по настоящему Договору.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Заказчик уведомлен, что Разработчиком для отдельных Систем и сервисов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применяются технические средства защиты авторских прав (ст. 1299 ГК РФ), в связи с чем для использования Систем и серв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исов может быть необходима регистрация и/или авторизация Уникальных пользователей на электронных ресурсах Исполнителя и передача соответствующих данных.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 указанных случаях использование пользователями Систем и сервисов без регистрации и/или авторизации мо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жет быть невозможным, что не будет являться нарушением настоящего Договора со стороны Исполнителя и/или основанием для ответственности Исполнителя по настоящему Договору и/или основанием для изменения цены настоящего Договора.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В случае заключения </w:t>
      </w:r>
      <w:bookmarkStart w:id="20" w:name="_Hlk132721951"/>
      <w:r>
        <w:rPr>
          <w:rFonts w:ascii="Times New Roman" w:hAnsi="Times New Roman" w:cs="Times New Roman"/>
          <w:color w:val="000000" w:themeColor="text1"/>
          <w:highlight w:val="white"/>
        </w:rPr>
        <w:t xml:space="preserve">дополните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льного соглашения к настоящему Договору Стороны могут установить приоритет условий дополнительного соглашения над условиями настоящего Договора</w:t>
      </w:r>
      <w:bookmarkEnd w:id="20"/>
      <w:r>
        <w:rPr>
          <w:rFonts w:ascii="Times New Roman" w:hAnsi="Times New Roman" w:cs="Times New Roman"/>
          <w:color w:val="000000" w:themeColor="text1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У любой из Сторон, которая является кредитором по денежному обязательству другой Стороны (должника), возникшему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в связи с действием настоящего Договора, не возникает права на получение с должника процентов на сумму долга за период пользования денежными средствами по ст. 317.1 Гражданского кодекса РФ.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Оформление и обмен любыми документами по настоящему Договору (вкл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ючая, но не ограничиваясь, счета, акты, накладные, счета-фактуры, УПД, акты сверок) допускаются в электронном виде, с использованием электронного документооборота. Такие документы оформляются в соответствии с требованиями действующих нормативно-правовых ак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тов, в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т.ч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. Федерального закона от 6 апреля 2011 г. N 63-ФЗ "Об электронной подписи", и подписываются квалифицированной электронной подписью. Заказчик и Исполнитель признают указанные документы равнозначными документам на бумажном носителе, подписанным соо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тветствующими собственноручными подписями своих уполномоченных представителей и заверенным печатями (при необходимости). Стороны несут ответственность за обеспечение конфиденциальности ключей электронной подписи и за их несанкционированное использование. 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(при необходимости), при этом по требованию любой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из Сторон оформление и обмен такими документами и/или дубликатами документов являются обязательными. Стороны соглашаются применять электронный документооборот в рамках настоящего договора с момента подписания «Соглашения о применении электронного документо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оборота» в системе электронного документооборота.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Системы по заказу Разработчика Систем могут модифицироваться официальными Представителями Сети 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КонсультантПлюс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либо иными организациями в соответствии с технологическими процедурами и политикой Разработчика</w:t>
      </w:r>
      <w:r>
        <w:rPr>
          <w:rFonts w:ascii="Times New Roman" w:hAnsi="Times New Roman" w:cs="Times New Roman"/>
          <w:color w:val="000000" w:themeColor="text1"/>
          <w:highlight w:val="white"/>
        </w:rPr>
        <w:t xml:space="preserve"> Систем. Исполнитель оказывает Заказчику услуги по адаптации и сопровождению Систем, модифицированных Исполнителем.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1"/>
          <w:numId w:val="2"/>
        </w:numPr>
        <w:ind w:left="0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/>
      <w:bookmarkStart w:id="21" w:name="_GoBack"/>
      <w:r>
        <w:rPr>
          <w:rFonts w:ascii="Times New Roman" w:hAnsi="Times New Roman" w:cs="Times New Roman"/>
          <w:color w:val="333333"/>
        </w:rPr>
        <w:t xml:space="preserve">Настоящий Договор заключен на электронной торговой площадке и подписан электронными подписями. Стороны вправе изготовить копии настоящего Договора в письменном виде</w:t>
      </w:r>
      <w:r>
        <w:rPr>
          <w:rFonts w:ascii="Times New Roman" w:hAnsi="Times New Roman" w:cs="Times New Roman"/>
          <w:color w:val="333333"/>
        </w:rPr>
        <w:t xml:space="preserve">.</w:t>
      </w:r>
      <w:bookmarkEnd w:id="21"/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numPr>
          <w:ilvl w:val="0"/>
          <w:numId w:val="2"/>
        </w:numPr>
        <w:ind w:left="0"/>
        <w:jc w:val="center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  <w:t xml:space="preserve">РЕКВИЗИТЫ СТОРОН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keepLines/>
        <w:keepNext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tbl>
      <w:tblPr>
        <w:tblW w:w="4986" w:type="pct"/>
        <w:tblLayout w:type="fixed"/>
        <w:tblCellMar>
          <w:left w:w="113" w:type="dxa"/>
          <w:right w:w="28" w:type="dxa"/>
        </w:tblCellMar>
        <w:tblLook w:val="00A0" w:firstRow="1" w:lastRow="0" w:firstColumn="1" w:lastColumn="0" w:noHBand="0" w:noVBand="0"/>
      </w:tblPr>
      <w:tblGrid>
        <w:gridCol w:w="5041"/>
        <w:gridCol w:w="4711"/>
      </w:tblGrid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/>
                <w:bCs/>
                <w:color w:val="000000" w:themeColor="text1"/>
                <w:highlight w:val="white"/>
              </w:rPr>
              <w:t xml:space="preserve">ЗАКАЗЧИК:</w:t>
            </w:r>
            <w:r>
              <w:rPr>
                <w:b/>
                <w:bCs/>
                <w:color w:val="000000" w:themeColor="text1"/>
                <w:highlight w:val="white"/>
              </w:rPr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b/>
                <w:bCs/>
                <w:color w:val="000000" w:themeColor="text1"/>
                <w:highlight w:val="white"/>
              </w:rPr>
            </w:pPr>
            <w:r>
              <w:rPr>
                <w:b/>
                <w:bCs/>
                <w:color w:val="000000" w:themeColor="text1"/>
                <w:highlight w:val="white"/>
              </w:rPr>
              <w:t xml:space="preserve">ИСПОЛНИТЕЛЬ:</w:t>
            </w:r>
            <w:r>
              <w:rPr>
                <w:b/>
                <w:bCs/>
                <w:color w:val="000000" w:themeColor="text1"/>
                <w:highlight w:val="white"/>
              </w:rPr>
            </w:r>
            <w:r>
              <w:rPr>
                <w:b/>
                <w:bCs/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ИНН                   КПП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ИНН:                            КПП: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Адрес по ЕГРЮЛ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Адрес по ЕГРЮЛ:                                                                       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 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Почтовый адрес: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Почтовый адрес: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Банковские реквизиты: </w:t>
            </w:r>
            <w:r>
              <w:rPr>
                <w:color w:val="000000" w:themeColor="text1"/>
                <w:highlight w:val="white"/>
              </w:rPr>
              <w:fldChar w:fldCharType="begin"/>
            </w:r>
            <w:r>
              <w:rPr>
                <w:color w:val="000000" w:themeColor="text1"/>
                <w:highlight w:val="white"/>
              </w:rPr>
              <w:instrText xml:space="preserve"> DOCVARIABLE ЗАКАЗЧИК_БАНКРЕКВ_026 </w:instrText>
            </w:r>
            <w:r>
              <w:rPr>
                <w:color w:val="000000" w:themeColor="text1"/>
                <w:highlight w:val="white"/>
              </w:rPr>
              <w:fldChar w:fldCharType="separate"/>
            </w:r>
            <w:r>
              <w:rPr>
                <w:color w:val="000000" w:themeColor="text1"/>
                <w:highlight w:val="white"/>
              </w:rPr>
              <w:t xml:space="preserve">__________________________ __________________________________________</w:t>
            </w:r>
            <w:r>
              <w:rPr>
                <w:color w:val="000000" w:themeColor="text1"/>
                <w:highlight w:val="white"/>
              </w:rPr>
              <w:t xml:space="preserve">__________________________________________________</w:t>
            </w:r>
            <w:r>
              <w:rPr>
                <w:color w:val="000000" w:themeColor="text1"/>
                <w:highlight w:val="white"/>
              </w:rPr>
              <w:fldChar w:fldCharType="end"/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Банковские реквизиты: </w:t>
            </w:r>
            <w:r>
              <w:rPr>
                <w:color w:val="000000" w:themeColor="text1"/>
                <w:highlight w:val="white"/>
              </w:rPr>
              <w:fldChar w:fldCharType="begin"/>
            </w:r>
            <w:r>
              <w:rPr>
                <w:color w:val="000000" w:themeColor="text1"/>
                <w:highlight w:val="white"/>
              </w:rPr>
              <w:instrText xml:space="preserve"> DOCVARIABLE ЗАКАЗЧИК_БАНКРЕКВ_026 </w:instrText>
            </w:r>
            <w:r>
              <w:rPr>
                <w:color w:val="000000" w:themeColor="text1"/>
                <w:highlight w:val="white"/>
              </w:rPr>
              <w:fldChar w:fldCharType="separate"/>
            </w:r>
            <w:r>
              <w:rPr>
                <w:color w:val="000000" w:themeColor="text1"/>
                <w:highlight w:val="white"/>
              </w:rPr>
              <w:t xml:space="preserve">____________________________________________________</w:t>
            </w:r>
            <w:r>
              <w:rPr>
                <w:color w:val="000000" w:themeColor="text1"/>
                <w:highlight w:val="white"/>
              </w:rPr>
              <w:t xml:space="preserve">__________________________________________________</w:t>
            </w:r>
            <w:r>
              <w:rPr>
                <w:color w:val="000000" w:themeColor="text1"/>
                <w:highlight w:val="white"/>
              </w:rPr>
              <w:fldChar w:fldCharType="end"/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W w:w="5040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Телефон: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Телефон: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rHeight w:val="282"/>
        </w:trPr>
        <w:tc>
          <w:tcPr>
            <w:tcW w:w="5040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val="en-US"/>
              </w:rPr>
              <w:t xml:space="preserve">E-mail:</w:t>
            </w:r>
            <w:r>
              <w:rPr>
                <w:color w:val="000000" w:themeColor="text1"/>
                <w:highlight w:val="white"/>
              </w:rPr>
              <w:t xml:space="preserve"> </w:t>
            </w:r>
            <w:r>
              <w:rPr>
                <w:color w:val="000000" w:themeColor="text1"/>
                <w:highlight w:val="white"/>
              </w:rPr>
              <w:fldChar w:fldCharType="begin"/>
            </w:r>
            <w:r>
              <w:rPr>
                <w:color w:val="000000" w:themeColor="text1"/>
                <w:highlight w:val="white"/>
              </w:rPr>
              <w:instrText xml:space="preserve"> DOCVARIABLE ЗАКАЗЧИК_EMAIL_РАБОЧИЙ </w:instrText>
            </w:r>
            <w:r>
              <w:rPr>
                <w:color w:val="000000" w:themeColor="text1"/>
                <w:highlight w:val="white"/>
              </w:rPr>
              <w:fldChar w:fldCharType="separate"/>
            </w:r>
            <w:r>
              <w:rPr>
                <w:color w:val="000000" w:themeColor="text1"/>
                <w:highlight w:val="white"/>
              </w:rPr>
              <w:t xml:space="preserve">______________</w:t>
            </w:r>
            <w:r>
              <w:rPr>
                <w:color w:val="000000" w:themeColor="text1"/>
                <w:highlight w:val="white"/>
              </w:rPr>
              <w:fldChar w:fldCharType="end"/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W w:w="4711" w:type="dxa"/>
            <w:textDirection w:val="lrTb"/>
            <w:noWrap w:val="false"/>
          </w:tcPr>
          <w:p>
            <w:pPr>
              <w:pStyle w:val="930"/>
              <w:jc w:val="left"/>
              <w:keepLines/>
              <w:keepNext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  <w:lang w:val="en-US"/>
              </w:rPr>
              <w:t xml:space="preserve">E-mail: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pStyle w:val="904"/>
        <w:jc w:val="both"/>
        <w:keepLines/>
        <w:keepNext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tbl>
      <w:tblPr>
        <w:tblW w:w="4944" w:type="pct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369"/>
        <w:gridCol w:w="3501"/>
        <w:gridCol w:w="279"/>
        <w:gridCol w:w="1700"/>
        <w:gridCol w:w="2788"/>
      </w:tblGrid>
      <w:tr>
        <w:tblPrEx/>
        <w:trPr/>
        <w:tc>
          <w:tcPr>
            <w:tcW w:w="1370" w:type="dxa"/>
            <w:vAlign w:val="center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От Заказчика: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501" w:type="dxa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/>
            <w:bookmarkStart w:id="22" w:name="ПодписьДолжностьЗаказчик"/>
            <w:r/>
            <w:bookmarkEnd w:id="22"/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ПОДПИСАНТ_ЗАКАЗЧИК_ДОЛЖНОСТЬ_ЗАГЛ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Директор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vAlign w:val="center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От Исполнителя: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vAlign w:val="center"/>
            <w:textDirection w:val="lrTb"/>
            <w:noWrap w:val="false"/>
          </w:tcPr>
          <w:p>
            <w:pPr>
              <w:pStyle w:val="928"/>
              <w:ind w:left="0"/>
              <w:jc w:val="right"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/>
            <w:bookmarkStart w:id="23" w:name="ПодписьДолжность"/>
            <w:r/>
            <w:bookmarkEnd w:id="23"/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ВИДПЕРЕДАЧИ_ЕСТЬЭДО_УДАЛИТЬ[НАЧАЛО]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ПОДПИСАНТ_ИСПОЛНИТЕЛЬ_ДОЛЖНОСТЬ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Директор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ВИДПЕРЕДАЧИ_ЕСТЬЭДО_УДАЛИТЬ[КОНЕЦ]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370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501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(должность)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(должность)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bottom w:val="single" w:color="auto" w:sz="4" w:space="0"/>
            </w:tcBorders>
            <w:tcW w:w="1370" w:type="dxa"/>
            <w:vAlign w:val="center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501" w:type="dxa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ПОДПИСАНТ_ЗАКАЗЧИК_ИОФАМИЛИЯ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о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vAlign w:val="center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700" w:type="dxa"/>
            <w:vAlign w:val="center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</w:tcBorders>
            <w:tcW w:w="1370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501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</w:tcBorders>
            <w:tcW w:w="1700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gridSpan w:val="2"/>
            <w:tcW w:w="4871" w:type="dxa"/>
            <w:textDirection w:val="lrTb"/>
            <w:noWrap w:val="false"/>
          </w:tcPr>
          <w:p>
            <w:pPr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370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М.П.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3501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9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М.П.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2788" w:type="dxa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  <w:sectPr>
          <w:footerReference w:type="default" r:id="rId11"/>
          <w:footnotePr/>
          <w:endnotePr/>
          <w:type w:val="continuous"/>
          <w:pgSz w:w="11906" w:h="16838" w:orient="portrait"/>
          <w:pgMar w:top="567" w:right="1134" w:bottom="567" w:left="1134" w:header="0" w:footer="567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ind w:firstLine="284"/>
        <w:jc w:val="right"/>
        <w:widowControl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8"/>
          <w:szCs w:val="18"/>
          <w:highlight w:val="white"/>
        </w:rPr>
        <w:t xml:space="preserve">Приложение№1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18"/>
          <w:szCs w:val="18"/>
          <w:highlight w:val="white"/>
        </w:rPr>
        <w:t xml:space="preserve">к Договору </w:t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highlight w:val="white"/>
        </w:rPr>
      </w:r>
    </w:p>
    <w:p>
      <w:pPr>
        <w:jc w:val="right"/>
        <w:rPr>
          <w:rFonts w:ascii="Times New Roman" w:hAnsi="Times New Roman" w:cs="Times New Roman"/>
          <w:b/>
          <w:color w:val="000000" w:themeColor="text1"/>
          <w:sz w:val="18"/>
          <w:szCs w:val="18"/>
          <w:highlight w:val="white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8"/>
          <w:szCs w:val="18"/>
          <w:highlight w:val="white"/>
        </w:rPr>
        <w:t xml:space="preserve">№ _______________ от  ______________</w: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highlight w:val="white"/>
        </w:rPr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highlight w:val="white"/>
        </w:rPr>
      </w:r>
    </w:p>
    <w:p>
      <w:pPr>
        <w:jc w:val="right"/>
        <w:rPr>
          <w:b/>
          <w:color w:val="000000" w:themeColor="text1"/>
          <w:sz w:val="20"/>
          <w:szCs w:val="20"/>
          <w:highlight w:val="white"/>
        </w:rPr>
      </w:pPr>
      <w:r>
        <w:rPr>
          <w:b/>
          <w:color w:val="000000" w:themeColor="text1"/>
          <w:sz w:val="20"/>
          <w:szCs w:val="20"/>
          <w:highlight w:val="white"/>
        </w:rPr>
      </w:r>
      <w:r>
        <w:rPr>
          <w:b/>
          <w:color w:val="000000" w:themeColor="text1"/>
          <w:sz w:val="20"/>
          <w:szCs w:val="20"/>
          <w:highlight w:val="white"/>
        </w:rPr>
      </w:r>
      <w:r>
        <w:rPr>
          <w:b/>
          <w:color w:val="000000" w:themeColor="text1"/>
          <w:sz w:val="20"/>
          <w:szCs w:val="20"/>
          <w:highlight w:val="white"/>
        </w:rPr>
      </w:r>
    </w:p>
    <w:p>
      <w:pPr>
        <w:jc w:val="center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Расчет стоимости </w:t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tbl>
      <w:tblPr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531"/>
        <w:gridCol w:w="1131"/>
        <w:gridCol w:w="1276"/>
        <w:gridCol w:w="198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ar-SA"/>
              </w:rPr>
              <w:t xml:space="preserve">№ п/п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Наименование оказываемых услуг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Кол-во, мес.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Цена за мес., руб.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Стоимость,  руб.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1.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3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pacing w:val="-10"/>
                <w:sz w:val="20"/>
                <w:szCs w:val="20"/>
                <w:highlight w:val="white"/>
              </w:rPr>
              <w:t xml:space="preserve">Оказание </w:t>
            </w:r>
            <w:r>
              <w:rPr>
                <w:color w:val="000000" w:themeColor="text1"/>
                <w:spacing w:val="-10"/>
                <w:sz w:val="20"/>
                <w:szCs w:val="20"/>
                <w:highlight w:val="white"/>
              </w:rPr>
              <w:t xml:space="preserve">услуг по адаптации и сопровождению экземпляров Систем </w:t>
            </w:r>
            <w:r>
              <w:rPr>
                <w:color w:val="000000" w:themeColor="text1"/>
                <w:spacing w:val="-10"/>
                <w:sz w:val="20"/>
                <w:szCs w:val="20"/>
                <w:highlight w:val="white"/>
              </w:rPr>
              <w:t xml:space="preserve">КонсультантПлюс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1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spacing w:line="276" w:lineRule="auto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938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Итого, руб.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jc w:val="left"/>
        <w:rPr>
          <w:b/>
          <w:color w:val="000000" w:themeColor="text1"/>
          <w:sz w:val="20"/>
          <w:szCs w:val="20"/>
          <w:highlight w:val="white"/>
        </w:rPr>
      </w:pPr>
      <w:r>
        <w:rPr>
          <w:b/>
          <w:color w:val="000000" w:themeColor="text1"/>
          <w:sz w:val="20"/>
          <w:szCs w:val="20"/>
          <w:highlight w:val="white"/>
        </w:rPr>
      </w:r>
      <w:r>
        <w:rPr>
          <w:b/>
          <w:color w:val="000000" w:themeColor="text1"/>
          <w:sz w:val="20"/>
          <w:szCs w:val="20"/>
          <w:highlight w:val="white"/>
        </w:rPr>
      </w:r>
      <w:r>
        <w:rPr>
          <w:b/>
          <w:color w:val="000000" w:themeColor="text1"/>
          <w:sz w:val="20"/>
          <w:szCs w:val="20"/>
          <w:highlight w:val="white"/>
        </w:rPr>
      </w:r>
    </w:p>
    <w:p>
      <w:pPr>
        <w:jc w:val="right"/>
        <w:rPr>
          <w:b/>
          <w:color w:val="000000" w:themeColor="text1"/>
          <w:sz w:val="20"/>
          <w:szCs w:val="20"/>
          <w:highlight w:val="white"/>
        </w:rPr>
      </w:pPr>
      <w:r>
        <w:rPr>
          <w:b/>
          <w:color w:val="000000" w:themeColor="text1"/>
          <w:sz w:val="20"/>
          <w:szCs w:val="20"/>
          <w:highlight w:val="white"/>
        </w:rPr>
      </w:r>
      <w:r>
        <w:rPr>
          <w:b/>
          <w:color w:val="000000" w:themeColor="text1"/>
          <w:sz w:val="20"/>
          <w:szCs w:val="20"/>
          <w:highlight w:val="white"/>
        </w:rPr>
      </w:r>
      <w:r>
        <w:rPr>
          <w:b/>
          <w:color w:val="000000" w:themeColor="text1"/>
          <w:sz w:val="20"/>
          <w:szCs w:val="20"/>
          <w:highlight w:val="white"/>
        </w:rPr>
      </w:r>
    </w:p>
    <w:p>
      <w:pPr>
        <w:widowControl w:val="off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ЗАКАЗЧИК:   </w:t>
      </w:r>
      <w:r>
        <w:rPr>
          <w:color w:val="000000" w:themeColor="text1"/>
          <w:sz w:val="20"/>
          <w:szCs w:val="20"/>
          <w:highlight w:val="white"/>
        </w:rPr>
        <w:t xml:space="preserve">                                                                                  ИСПОЛНИТЕЛЬ:</w:t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tbl>
      <w:tblPr>
        <w:tblW w:w="1049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5103"/>
      </w:tblGrid>
      <w:tr>
        <w:tblPrEx/>
        <w:trPr>
          <w:cantSplit/>
          <w:trHeight w:val="8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Руководитель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Руководитель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spacing w:line="240" w:lineRule="atLeast"/>
        <w:tabs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____________________/                                      /                                             _________________/______________/</w:t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line="240" w:lineRule="atLeast"/>
        <w:tabs>
          <w:tab w:val="left" w:pos="1418" w:leader="none"/>
          <w:tab w:val="right" w:pos="8222" w:leader="none"/>
          <w:tab w:val="right" w:pos="9356" w:leader="none"/>
        </w:tabs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p>
      <w:pPr>
        <w:jc w:val="lef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b/>
          <w:bCs/>
          <w:color w:val="000000" w:themeColor="text1"/>
          <w:sz w:val="20"/>
          <w:szCs w:val="20"/>
          <w:highlight w:val="white"/>
        </w:rPr>
        <w:t xml:space="preserve">Приложение 2  к Договору</w:t>
      </w:r>
      <w:r>
        <w:rPr>
          <w:color w:val="000000" w:themeColor="text1"/>
          <w:sz w:val="20"/>
          <w:szCs w:val="20"/>
          <w:highlight w:val="white"/>
        </w:rPr>
        <w:t xml:space="preserve">      от </w:t>
      </w:r>
      <w:r>
        <w:rPr>
          <w:color w:val="000000" w:themeColor="text1"/>
          <w:sz w:val="20"/>
          <w:szCs w:val="20"/>
          <w:highlight w:val="white"/>
        </w:rPr>
        <w:fldChar w:fldCharType="begin"/>
      </w:r>
      <w:r>
        <w:rPr>
          <w:color w:val="000000" w:themeColor="text1"/>
          <w:sz w:val="20"/>
          <w:szCs w:val="20"/>
          <w:highlight w:val="white"/>
        </w:rPr>
        <w:instrText xml:space="preserve"> DOCVARIABLE ЭСДОГ_ДАТАСОЗДАНИЯПРОПИСЬЮ </w:instrText>
      </w:r>
      <w:r>
        <w:rPr>
          <w:color w:val="000000" w:themeColor="text1"/>
          <w:sz w:val="20"/>
          <w:szCs w:val="20"/>
          <w:highlight w:val="white"/>
        </w:rPr>
        <w:fldChar w:fldCharType="separate"/>
      </w:r>
      <w:r>
        <w:rPr>
          <w:color w:val="000000" w:themeColor="text1"/>
          <w:sz w:val="20"/>
          <w:szCs w:val="20"/>
          <w:highlight w:val="white"/>
        </w:rPr>
        <w:t xml:space="preserve">______ 202      г.</w:t>
      </w:r>
      <w:r>
        <w:rPr>
          <w:color w:val="000000" w:themeColor="text1"/>
          <w:sz w:val="20"/>
          <w:szCs w:val="20"/>
          <w:highlight w:val="white"/>
        </w:rPr>
        <w:fldChar w:fldCharType="end"/>
      </w:r>
      <w:r>
        <w:rPr>
          <w:color w:val="000000" w:themeColor="text1"/>
          <w:sz w:val="20"/>
          <w:szCs w:val="20"/>
          <w:highlight w:val="white"/>
        </w:rPr>
        <w:t xml:space="preserve"> </w:t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tabs>
          <w:tab w:val="left" w:pos="6420" w:leader="none"/>
        </w:tabs>
        <w:rPr>
          <w:b/>
          <w:bCs/>
          <w:cap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/>
          <w:bCs/>
          <w:caps/>
          <w:color w:val="000000" w:themeColor="text1"/>
          <w:sz w:val="20"/>
          <w:szCs w:val="20"/>
          <w:highlight w:val="white"/>
        </w:rPr>
        <w:tab/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</w:p>
    <w:p>
      <w:pPr>
        <w:jc w:val="center"/>
        <w:spacing w:after="0"/>
        <w:rPr>
          <w:b/>
          <w:bCs/>
          <w:cap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/>
          <w:bCs/>
          <w:caps/>
          <w:color w:val="000000" w:themeColor="text1"/>
          <w:sz w:val="20"/>
          <w:szCs w:val="20"/>
          <w:highlight w:val="white"/>
        </w:rPr>
        <w:t xml:space="preserve">Форма уведомления</w:t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</w:p>
    <w:p>
      <w:pPr>
        <w:jc w:val="center"/>
        <w:spacing w:after="0"/>
        <w:rPr>
          <w:b/>
          <w:bCs/>
          <w:cap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/>
          <w:bCs/>
          <w:caps/>
          <w:color w:val="000000" w:themeColor="text1"/>
          <w:sz w:val="20"/>
          <w:szCs w:val="20"/>
          <w:highlight w:val="white"/>
        </w:rPr>
        <w:t xml:space="preserve">об изменении адреса электронной почты ЗАКАзЧИКА</w:t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b/>
          <w:bCs/>
          <w:caps/>
          <w:color w:val="000000" w:themeColor="text1"/>
          <w:sz w:val="20"/>
          <w:szCs w:val="20"/>
          <w:highlight w:val="white"/>
        </w:rPr>
      </w:pPr>
      <w:r>
        <w:rPr>
          <w:b/>
          <w:bCs/>
          <w:caps/>
          <w:color w:val="000000" w:themeColor="text1"/>
          <w:sz w:val="20"/>
          <w:szCs w:val="20"/>
          <w:highlight w:val="white"/>
        </w:rPr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  <w:r>
        <w:rPr>
          <w:b/>
          <w:bCs/>
          <w:caps/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right"/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jc w:val="center"/>
        <w:spacing w:after="0"/>
        <w:rPr>
          <w:caps/>
          <w:color w:val="000000" w:themeColor="text1"/>
          <w:sz w:val="20"/>
          <w:szCs w:val="20"/>
          <w:highlight w:val="white"/>
        </w:rPr>
      </w:pPr>
      <w:r>
        <w:rPr>
          <w:caps/>
          <w:color w:val="000000" w:themeColor="text1"/>
          <w:sz w:val="20"/>
          <w:szCs w:val="20"/>
          <w:highlight w:val="white"/>
        </w:rPr>
        <w:t xml:space="preserve">уведомлениЕ</w:t>
      </w:r>
      <w:r>
        <w:rPr>
          <w:caps/>
          <w:color w:val="000000" w:themeColor="text1"/>
          <w:sz w:val="20"/>
          <w:szCs w:val="20"/>
          <w:highlight w:val="white"/>
        </w:rPr>
      </w:r>
      <w:r>
        <w:rPr>
          <w:caps/>
          <w:color w:val="000000" w:themeColor="text1"/>
          <w:sz w:val="20"/>
          <w:szCs w:val="20"/>
          <w:highlight w:val="white"/>
        </w:rPr>
      </w:r>
    </w:p>
    <w:p>
      <w:pPr>
        <w:jc w:val="center"/>
        <w:spacing w:after="0"/>
        <w:rPr>
          <w:caps/>
          <w:color w:val="000000" w:themeColor="text1"/>
          <w:sz w:val="20"/>
          <w:szCs w:val="20"/>
          <w:highlight w:val="white"/>
        </w:rPr>
      </w:pPr>
      <w:r>
        <w:rPr>
          <w:caps/>
          <w:color w:val="000000" w:themeColor="text1"/>
          <w:sz w:val="20"/>
          <w:szCs w:val="20"/>
          <w:highlight w:val="white"/>
        </w:rPr>
        <w:t xml:space="preserve">об изменении адреса электронной почты ЗАКАзЧИКА</w:t>
      </w:r>
      <w:r>
        <w:rPr>
          <w:caps/>
          <w:color w:val="000000" w:themeColor="text1"/>
          <w:sz w:val="20"/>
          <w:szCs w:val="20"/>
          <w:highlight w:val="white"/>
        </w:rPr>
      </w:r>
      <w:r>
        <w:rPr>
          <w:cap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__________________, именуемое(</w:t>
      </w:r>
      <w:r>
        <w:rPr>
          <w:color w:val="000000" w:themeColor="text1"/>
          <w:sz w:val="20"/>
          <w:szCs w:val="20"/>
          <w:highlight w:val="white"/>
        </w:rPr>
        <w:t xml:space="preserve">ый</w:t>
      </w:r>
      <w:r>
        <w:rPr>
          <w:color w:val="000000" w:themeColor="text1"/>
          <w:sz w:val="20"/>
          <w:szCs w:val="20"/>
          <w:highlight w:val="white"/>
        </w:rPr>
        <w:t xml:space="preserve">) в дальнейшем Заказчик, в лице _______________________, действующего на основании _________________, информирует Вас об изменении адреса(</w:t>
      </w:r>
      <w:r>
        <w:rPr>
          <w:color w:val="000000" w:themeColor="text1"/>
          <w:sz w:val="20"/>
          <w:szCs w:val="20"/>
          <w:highlight w:val="white"/>
        </w:rPr>
        <w:t xml:space="preserve">ов</w:t>
      </w:r>
      <w:r>
        <w:rPr>
          <w:color w:val="000000" w:themeColor="text1"/>
          <w:sz w:val="20"/>
          <w:szCs w:val="20"/>
          <w:highlight w:val="white"/>
        </w:rPr>
        <w:t xml:space="preserve">) электронной почты, указанного(</w:t>
      </w:r>
      <w:r>
        <w:rPr>
          <w:color w:val="000000" w:themeColor="text1"/>
          <w:sz w:val="20"/>
          <w:szCs w:val="20"/>
          <w:highlight w:val="white"/>
        </w:rPr>
        <w:t xml:space="preserve">ых</w:t>
      </w:r>
      <w:r>
        <w:rPr>
          <w:color w:val="000000" w:themeColor="text1"/>
          <w:sz w:val="20"/>
          <w:szCs w:val="20"/>
          <w:highlight w:val="white"/>
        </w:rPr>
        <w:t xml:space="preserve">) в Спецификации(</w:t>
      </w:r>
      <w:r>
        <w:rPr>
          <w:color w:val="000000" w:themeColor="text1"/>
          <w:sz w:val="20"/>
          <w:szCs w:val="20"/>
          <w:highlight w:val="white"/>
        </w:rPr>
        <w:t xml:space="preserve">ях</w:t>
      </w:r>
      <w:r>
        <w:rPr>
          <w:color w:val="000000" w:themeColor="text1"/>
          <w:sz w:val="20"/>
          <w:szCs w:val="20"/>
          <w:highlight w:val="white"/>
        </w:rPr>
        <w:t xml:space="preserve">) к Договору № _____________ от _____________</w:t>
      </w:r>
      <w:r>
        <w:rPr>
          <w:color w:val="000000" w:themeColor="text1"/>
          <w:sz w:val="20"/>
          <w:szCs w:val="20"/>
          <w:highlight w:val="white"/>
        </w:rPr>
        <w:t xml:space="preserve">_  (</w:t>
      </w:r>
      <w:r>
        <w:rPr>
          <w:color w:val="000000" w:themeColor="text1"/>
          <w:sz w:val="20"/>
          <w:szCs w:val="20"/>
          <w:highlight w:val="white"/>
        </w:rPr>
        <w:t xml:space="preserve">далее – Догово</w:t>
      </w:r>
      <w:r>
        <w:rPr>
          <w:color w:val="000000" w:themeColor="text1"/>
          <w:sz w:val="20"/>
          <w:szCs w:val="20"/>
          <w:highlight w:val="white"/>
        </w:rPr>
        <w:t xml:space="preserve">р):</w:t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Спецификация от ______</w:t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№ USB-ключа или номер дистрибутива основной Системы Комплекта - ____________________;</w:t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а) Старый адрес электронной почты - ______________@___________;</w:t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б) Новый адрес электронной почты - ______________@____________.</w:t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Спецификация </w:t>
      </w:r>
      <w:r>
        <w:rPr>
          <w:color w:val="000000" w:themeColor="text1"/>
          <w:sz w:val="20"/>
          <w:szCs w:val="20"/>
          <w:highlight w:val="white"/>
        </w:rPr>
        <w:t xml:space="preserve">от ______</w:t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  <w:t xml:space="preserve">….</w:t>
      </w: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  <w:t xml:space="preserve">Просим Вас направлять предусмотренные Договором и Спецификациями к Договору электронные сообщения, касающиеся использования Комплектов Систем, на новые адреса электронной почты.</w:t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color w:val="000000" w:themeColor="text1"/>
          <w:sz w:val="20"/>
          <w:szCs w:val="20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tbl>
      <w:tblPr>
        <w:tblW w:w="2400" w:type="pct"/>
        <w:tblLayout w:type="fixed"/>
        <w:tblLook w:val="04A0" w:firstRow="1" w:lastRow="0" w:firstColumn="1" w:lastColumn="0" w:noHBand="0" w:noVBand="1"/>
      </w:tblPr>
      <w:tblGrid>
        <w:gridCol w:w="4730"/>
      </w:tblGrid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ЗАКАЗЧИК: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От Заказчика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_______________________/__________/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4607" w:type="dxa"/>
            <w:textDirection w:val="lrTb"/>
            <w:noWrap w:val="false"/>
          </w:tcPr>
          <w:p>
            <w:pPr>
              <w:spacing w:after="0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М.П.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spacing w:after="0"/>
        <w:rPr>
          <w:bC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  <w:pBdr>
          <w:bottom w:val="single" w:color="000000" w:sz="12" w:space="1"/>
        </w:pBd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  <w:t xml:space="preserve">ФОРМА УТВЕРЖДЕНА:</w:t>
      </w: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spacing w:after="0"/>
        <w:rPr>
          <w:bCs/>
          <w:color w:val="000000" w:themeColor="text1"/>
          <w:sz w:val="20"/>
          <w:szCs w:val="20"/>
          <w:highlight w:val="white"/>
        </w:rPr>
      </w:pP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  <w:r>
        <w:rPr>
          <w:bCs/>
          <w:color w:val="000000" w:themeColor="text1"/>
          <w:sz w:val="20"/>
          <w:szCs w:val="20"/>
          <w:highlight w:val="white"/>
        </w:rPr>
      </w:r>
    </w:p>
    <w:p>
      <w:pPr>
        <w:pStyle w:val="904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tbl>
      <w:tblPr>
        <w:tblW w:w="5000" w:type="pct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758"/>
        <w:gridCol w:w="2887"/>
        <w:gridCol w:w="230"/>
        <w:gridCol w:w="1844"/>
        <w:gridCol w:w="2600"/>
        <w:gridCol w:w="427"/>
      </w:tblGrid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От Заказчика: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  <w:t xml:space="preserve">От Исполнителя:</w:t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b/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2383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280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ПОДПИСАНТ_ЗАКАЗЧИК_ДОЛЖНОСТЬ_ЗАГЛ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Директор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ВИДПЕРЕДАЧИ_ЕСТЬЭДО_УДАЛИТЬ[НАЧАЛО]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ПОДПИСАНТ_ИСПОЛНИТЕЛЬ_ДОЛЖНОСТЬ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Директор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ВИДПЕРЕДАЧИ_ЕСТЬЭДО_УДАЛИТЬ[КОНЕЦ]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(должность)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(должность)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instrText xml:space="preserve"> DOCVARIABLE ВИДПЕРЕДАЧИ_ЕСТЬЭДО_УДАЛИТЬ[КОНЕЦ] </w:instrTex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right w:val="none" w:color="000000" w:sz="4" w:space="0"/>
            </w:tcBorders>
            <w:tcW w:w="902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(подпись)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М.П.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М.П.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pStyle w:val="904"/>
        <w:shd w:val="clear" w:color="auto" w:fill="ffffff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904"/>
        <w:jc w:val="right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  <w:highlight w:val="none"/>
        </w:rPr>
        <w:t xml:space="preserve">Приложение 3</w:t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  <w:highlight w:val="white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highlight w:val="none"/>
        </w:rPr>
      </w:r>
    </w:p>
    <w:p>
      <w:pPr>
        <w:pStyle w:val="904"/>
        <w:jc w:val="right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  <w:highlight w:val="none"/>
        </w:rPr>
        <w:t xml:space="preserve">К договору №     от                    202 г</w:t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highlight w:val="none"/>
        </w:rPr>
      </w:r>
    </w:p>
    <w:p>
      <w:pPr>
        <w:pStyle w:val="904"/>
        <w:jc w:val="right"/>
        <w:widowControl/>
        <w:rPr>
          <w:rFonts w:ascii="Times New Roman" w:hAnsi="Times New Roman" w:cs="Times New Roman"/>
          <w:b/>
          <w:bCs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0"/>
          <w:szCs w:val="20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  <w:highlight w:val="white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auto" w:themeColor="text1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auto" w:themeColor="text1"/>
          <w:highlight w:val="white"/>
        </w:rPr>
      </w:r>
    </w:p>
    <w:p>
      <w:pPr>
        <w:jc w:val="center"/>
        <w:spacing w:after="0"/>
        <w:shd w:val="clear" w:color="auto" w:fill="ffffff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bCs/>
          <w:caps/>
          <w:color w:val="auto"/>
          <w:sz w:val="20"/>
          <w:szCs w:val="20"/>
        </w:rPr>
        <w:t xml:space="preserve">спецификация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ОВМ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jc w:val="center"/>
        <w:spacing w:after="0"/>
        <w:shd w:val="clear" w:color="auto" w:fill="ffffff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к Договору №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     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от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bookmarkEnd w:id="0"/>
      <w:r>
        <w:rPr>
          <w:rFonts w:ascii="Times New Roman" w:hAnsi="Times New Roman" w:eastAsia="Times New Roman" w:cs="Times New Roman"/>
          <w:color w:val="auto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instrText xml:space="preserve"> DOCVARIABLE ЭСДОГ_ДАТАСОЗДАНИЯПРОПИСЬЮ </w:instrTex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___            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2026 г.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tbl>
      <w:tblPr>
        <w:tblStyle w:val="894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W w:w="4927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instrText xml:space="preserve"> DOCVARIABLE ГОРОД </w:instrTex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г. Салехард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instrText xml:space="preserve"> DOCVARIABLE ЭСДАТАСОЗДАНИЯПРОПИСЬЮ </w:instrTex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______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2026 г.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bCs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r>
          </w:p>
        </w:tc>
      </w:tr>
    </w:tbl>
    <w:p>
      <w:pPr>
        <w:jc w:val="center"/>
        <w:spacing w:after="0"/>
        <w:rPr>
          <w:rFonts w:ascii="Times New Roman" w:hAnsi="Times New Roman" w:cs="Times New Roman"/>
          <w:bCs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bCs/>
          <w:color w:val="auto"/>
          <w:sz w:val="20"/>
          <w:szCs w:val="20"/>
        </w:rPr>
        <w:t xml:space="preserve">КОМПЛЕКТ СИСТЕМ:</w:t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</w:rPr>
      </w:r>
      <w:r>
        <w:rPr>
          <w:rFonts w:ascii="Times New Roman" w:hAnsi="Times New Roman" w:cs="Times New Roman"/>
          <w:bCs/>
          <w:color w:val="auto"/>
          <w:sz w:val="18"/>
          <w:szCs w:val="18"/>
        </w:rPr>
      </w:r>
    </w:p>
    <w:p>
      <w:pPr>
        <w:spacing w:after="0"/>
        <w:rPr>
          <w:rFonts w:ascii="Times New Roman" w:hAnsi="Times New Roman" w:cs="Times New Roman"/>
          <w:bCs/>
          <w:color w:val="auto"/>
          <w:sz w:val="4"/>
          <w:szCs w:val="4"/>
        </w:rPr>
      </w:pPr>
      <w:r>
        <w:rPr>
          <w:rFonts w:ascii="Times New Roman" w:hAnsi="Times New Roman" w:eastAsia="Times New Roman" w:cs="Times New Roman"/>
          <w:bCs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bCs/>
          <w:color w:val="auto"/>
          <w:sz w:val="20"/>
          <w:szCs w:val="20"/>
        </w:rPr>
      </w:r>
      <w:r>
        <w:rPr>
          <w:rFonts w:ascii="Times New Roman" w:hAnsi="Times New Roman" w:cs="Times New Roman"/>
          <w:bCs/>
          <w:color w:val="auto"/>
          <w:sz w:val="4"/>
          <w:szCs w:val="4"/>
        </w:rPr>
      </w:r>
    </w:p>
    <w:tbl>
      <w:tblPr>
        <w:tblW w:w="4950" w:type="pct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74" w:type="dxa"/>
          <w:right w:w="74" w:type="dxa"/>
        </w:tblCellMar>
        <w:tblLook w:val="0000" w:firstRow="0" w:lastRow="0" w:firstColumn="0" w:lastColumn="0" w:noHBand="0" w:noVBand="0"/>
      </w:tblPr>
      <w:tblGrid>
        <w:gridCol w:w="494"/>
        <w:gridCol w:w="4499"/>
        <w:gridCol w:w="674"/>
        <w:gridCol w:w="711"/>
        <w:gridCol w:w="1560"/>
        <w:gridCol w:w="1750"/>
      </w:tblGrid>
      <w:tr>
        <w:tblPrEx/>
        <w:trPr>
          <w:trHeight w:val="428"/>
        </w:trPr>
        <w:tc>
          <w:tcPr>
            <w:tcW w:w="255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2322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Название экземпляра Системы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Число УЗ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&lt;1&gt;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Число ОД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&lt;2&gt;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805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Стоимость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поставки одного экземпляра Системы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 НДС, руб.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auto"/>
                <w:sz w:val="20"/>
                <w:szCs w:val="20"/>
              </w:rPr>
              <w:t xml:space="preserve">Стоимость</w:t>
            </w:r>
            <w:r>
              <w:rPr>
                <w:rFonts w:ascii="Times New Roman" w:hAnsi="Times New Roman" w:eastAsia="Times New Roman" w:cs="Times New Roman"/>
                <w:b w:val="0"/>
                <w:color w:val="auto"/>
                <w:sz w:val="20"/>
                <w:szCs w:val="20"/>
              </w:rPr>
              <w:t xml:space="preserve"> услуги</w:t>
            </w:r>
            <w:r>
              <w:rPr>
                <w:rFonts w:ascii="Times New Roman" w:hAnsi="Times New Roman" w:eastAsia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r>
          </w:p>
          <w:p>
            <w:pPr>
              <w:pStyle w:val="910"/>
              <w:jc w:val="center"/>
              <w:spacing w:line="276" w:lineRule="auto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auto"/>
                <w:sz w:val="20"/>
                <w:szCs w:val="20"/>
              </w:rPr>
              <w:t xml:space="preserve">подключения к </w:t>
            </w:r>
            <w:r>
              <w:rPr>
                <w:rFonts w:ascii="Times New Roman" w:hAnsi="Times New Roman" w:eastAsia="Times New Roman" w:cs="Times New Roman"/>
                <w:b w:val="0"/>
                <w:color w:val="auto"/>
                <w:sz w:val="20"/>
                <w:szCs w:val="20"/>
              </w:rPr>
              <w:t xml:space="preserve">экземпляру Системы</w:t>
            </w:r>
            <w:r>
              <w:rPr>
                <w:rFonts w:ascii="Times New Roman" w:hAnsi="Times New Roman" w:eastAsia="Times New Roman" w:cs="Times New Roman"/>
                <w:b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r>
          </w:p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 НДС, руб.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  <w:tr>
        <w:tblPrEx/>
        <w:trPr>
          <w:trHeight w:val="40"/>
        </w:trPr>
        <w:tc>
          <w:tcPr>
            <w:tcW w:w="255" w:type="pct"/>
            <w:vAlign w:val="center"/>
            <w:textDirection w:val="lrTb"/>
            <w:noWrap w:val="false"/>
          </w:tcPr>
          <w:p>
            <w:pPr>
              <w:pStyle w:val="928"/>
              <w:numPr>
                <w:ilvl w:val="0"/>
                <w:numId w:val="8"/>
              </w:numPr>
              <w:jc w:val="left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2322" w:type="pct"/>
            <w:vAlign w:val="center"/>
            <w:textDirection w:val="lrTb"/>
            <w:noWrap w:val="false"/>
          </w:tcPr>
          <w:p>
            <w:pPr>
              <w:jc w:val="left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instrText xml:space="preserve"> DOCVARIABLE ЭСНАЗВАНИЕЭКЗСИСТЕМЫ_СЕРИЯПОПОСТАВКЕ </w:instrTex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СПС Консультант Бюджетные организации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смарт-комплект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Оптимальный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СпецВыпуск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ОВМ (ОД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instrText xml:space="preserve"> DOCVARIABLE ЭСЧИСЛОУЗ </w:instrTex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instrText xml:space="preserve"> DOCVARIABLE ЭСЧИСЛООД </w:instrTex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805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  <w:tr>
        <w:tblPrEx/>
        <w:trPr>
          <w:trHeight w:val="40"/>
        </w:trPr>
        <w:tc>
          <w:tcPr>
            <w:tcW w:w="255" w:type="pct"/>
            <w:vAlign w:val="center"/>
            <w:textDirection w:val="lrTb"/>
            <w:noWrap w:val="false"/>
          </w:tcPr>
          <w:p>
            <w:pPr>
              <w:pStyle w:val="928"/>
              <w:numPr>
                <w:ilvl w:val="0"/>
                <w:numId w:val="8"/>
              </w:numPr>
              <w:jc w:val="left"/>
              <w:keepNext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bookmarkEnd w:id="0"/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2322" w:type="pct"/>
            <w:vAlign w:val="center"/>
            <w:textDirection w:val="lrTb"/>
            <w:noWrap w:val="false"/>
          </w:tcPr>
          <w:p>
            <w:pPr>
              <w:jc w:val="left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instrText xml:space="preserve"> DOCVARIABLE ЭСНАЗВАНИЕЭКЗСИСТЕМЫ_СЕРИЯПОПОСТАВКЕ </w:instrTex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СС Изменения в регулировании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госзакупок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ОВМ (ОД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348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instrText xml:space="preserve"> DOCVARIABLE ЭСЧИСЛОУЗ </w:instrTex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366" w:type="pct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instrText xml:space="preserve"> DOCVARIABLE ЭСЧИСЛООД </w:instrTex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805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instrText xml:space="preserve"> DOCVARIABLE ЭССТОИМОСТЬЭКЗСИСТЕМЫСНДС_ПД </w:instrTex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W w:w="3292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Всего с НДС (     %):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805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W w:w="3292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в т.ч. НДС (     %):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805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0"/>
                <w:szCs w:val="20"/>
                <w:lang w:val="en-US"/>
              </w:rPr>
              <w:instrText xml:space="preserve"> DOCVARIABLE ЭСИТОГОНДС </w:instrTex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0"/>
                <w:szCs w:val="20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0"/>
                <w:szCs w:val="20"/>
                <w:lang w:val="en-US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&lt;1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&gt; У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казывается максимальное количество учетных записей (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далее-УЗ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), с помощью которых может быть использован Комплект.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&lt;2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&gt; У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казывается максимальное количество электронных устройств (ЭВМ), с которых может быть осуществлен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numPr>
          <w:ilvl w:val="0"/>
          <w:numId w:val="9"/>
        </w:numPr>
        <w:ind w:left="0" w:firstLine="0"/>
        <w:jc w:val="center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ОПЛАТА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Оплата услуг по адаптации и сопровождению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. Порядок оплаты определен Разделом 4. Договора.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fldChar w:fldCharType="begin"/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instrText xml:space="preserve"> DOCVARIABLE ЭСУДАЛИТЬЕСЛИНЕТТОВАРЫСПС </w:instrText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fldChar w:fldCharType="begin"/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instrText xml:space="preserve"> DOCVARIABLE ЭСИТОГОСНДС_НЕТ_УДАЛИТЬ </w:instrText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.</w:t>
        <w:fldChar w:fldCharType="begin"/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instrText xml:space="preserve"> DOCVARIABLE СОГЛУСЛ_ФЦ_НЕТУДАЛИТЬ </w:instrText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Ежемесячная стоимость услуг по адаптации и сопровождению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экземпляров Систем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instrText xml:space="preserve"> DOCVARIABLE СОГЛУСЛ_ФЦ_ПЕРИОД_026 </w:instrTex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за период с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августа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2026 г. по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июль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2027 г.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составит __________-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руб. (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______________)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instrText xml:space="preserve"> DOCVARIABLE НДС_026 </w:instrTex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, в том числе НДС     %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</w:r>
      <w:r>
        <w:rPr>
          <w:rFonts w:ascii="Times New Roman" w:hAnsi="Times New Roman" w:cs="Times New Roman"/>
          <w:color w:val="auto"/>
          <w:sz w:val="18"/>
          <w:szCs w:val="18"/>
          <w:u w:val="single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ind w:left="0" w:firstLine="0"/>
        <w:jc w:val="both"/>
        <w:widowControl/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1.3.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Общая стоимость услуг по адаптации и сопровождению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экземпляров Систем за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instrText xml:space="preserve"> DOCVARIABLE ФЦ_КОЛИЧЕСТВОМЕСЯЦЕВ_026 </w:instrTex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12 (Двенадцать) месяцев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instrText xml:space="preserve"> DOCVARIABLE СОГЛУСЛ_ФЦ_ПЕРИОД_026 </w:instrTex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за период с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августа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2026 г. по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июль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2027 г.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составит: _______________________________________________________рублей в том числе  НДС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</w:p>
    <w:p>
      <w:pPr>
        <w:pStyle w:val="904"/>
        <w:ind w:left="0" w:firstLine="0"/>
        <w:jc w:val="both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none"/>
        </w:rPr>
      </w:r>
    </w:p>
    <w:p>
      <w:pPr>
        <w:pStyle w:val="904"/>
        <w:numPr>
          <w:ilvl w:val="0"/>
          <w:numId w:val="9"/>
        </w:numPr>
        <w:ind w:left="0" w:firstLine="0"/>
        <w:jc w:val="center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АДАПТАЦИЯ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Адаптация (регистрация и иные действия согласно Договору).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Для организации сопровождения экземпляры Систем, включая специальную копию Систем, регистрируются и адаптируются на ЭВМ Заказчика, ЭВМ Исполнителя, ЭВМ Разработчика Систем.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bookmarkEnd w:id="0"/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Условия и порядок первичной регистрации на ЭВМ.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Экземпляры Систем, указанные в настоящей Спецификации, предназначены для организации подключения к Система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м посредством регистрации (адаптации) на ЭВМ Заказчика, ЭВМ Исполнителя, ЭВМ Разработчика Систем. После перенастройки и только на основании отдельной Спецификации указанные экземпляры Систем могут использоваться на ЭВМ ЛВС Заказчика. Разработчиком могут оп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ределяться особенности перенастройки экземпляров Систем и их последующей работы на ЭВМ ЛВС. ЛВС - локальная вычислительная сеть, соединяющая две или более ЭВМ (возможно, разного типа), расположенные в пределах одного здания или нескольких соседних зданий.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bookmarkEnd w:id="0"/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Условия и порядок дополнительной перерегистрации (адаптации) на ЭВМ в рамках сопровождения.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Исполнитель обеспечивает адми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нистрирование специального АРМ администратора учетных записей пользователей и в рамках данного процесса при необходимости проводит дополнительную регулярную перерегистрацию (адаптацию) экземпляров на ЭВМ Заказчика, ЭВМ Исполнителя, ЭВМ Разработчика Систем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при сбоях и в других необходимых случаях.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Передача АРМ администратора.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По запросу Заказчика АРМ администратора учетных записей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пользователей может быть предоставлено Заказчику.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widowControl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</w:r>
      <w:r>
        <w:rPr>
          <w:rFonts w:ascii="Times New Roman" w:hAnsi="Times New Roman" w:cs="Times New Roman"/>
          <w:color w:val="auto"/>
          <w:sz w:val="18"/>
          <w:szCs w:val="18"/>
          <w:u w:val="single"/>
        </w:rPr>
      </w:r>
    </w:p>
    <w:p>
      <w:pPr>
        <w:pStyle w:val="904"/>
        <w:numPr>
          <w:ilvl w:val="0"/>
          <w:numId w:val="9"/>
        </w:numPr>
        <w:ind w:left="0" w:firstLine="0"/>
        <w:jc w:val="center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ПОРЯДОК ПОДКЛЮЧЕНИЯ И ИСПОЛЬЗОВАНИЯ ЭКЗЕМПЛЯРОВ СИСТЕМ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1"/>
          <w:numId w:val="9"/>
        </w:numPr>
        <w:ind w:left="0" w:firstLine="0"/>
        <w:spacing w:after="0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bookmarkEnd w:id="0"/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  <w:lang w:eastAsia="ru-RU"/>
        </w:rPr>
        <w:t xml:space="preserve">Подключение комплекта Систем.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ru-RU"/>
        </w:rPr>
        <w:t xml:space="preserve"> Исполнитель осуществляет подключение комплекта Систем в течение трех дней со дня регистрации.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  <w:lang w:eastAsia="ru-RU"/>
        </w:rPr>
      </w:r>
      <w:r>
        <w:rPr>
          <w:rFonts w:ascii="Times New Roman" w:hAnsi="Times New Roman" w:cs="Times New Roman"/>
          <w:color w:val="auto"/>
          <w:sz w:val="18"/>
          <w:szCs w:val="18"/>
          <w:u w:val="single"/>
        </w:rPr>
      </w:r>
    </w:p>
    <w:p>
      <w:pPr>
        <w:pStyle w:val="928"/>
        <w:numPr>
          <w:ilvl w:val="1"/>
          <w:numId w:val="9"/>
        </w:numPr>
        <w:ind w:left="0" w:firstLine="0"/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  <w:lang w:eastAsia="ru-RU"/>
        </w:rPr>
        <w:t xml:space="preserve">Разрешенные передачи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ru-RU"/>
        </w:rPr>
        <w:t xml:space="preserve">. Заказчик не вправе передавать экземпляр Системы третьему лицу.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ru-RU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1"/>
          <w:numId w:val="9"/>
        </w:numPr>
        <w:ind w:left="0" w:firstLine="0"/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  <w:lang w:eastAsia="ru-RU"/>
        </w:rPr>
        <w:t xml:space="preserve">Электронный адрес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для направления Заказчику информации</w:t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bookmarkEnd w:id="0"/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instrText xml:space="preserve"> DOCVARIABLE ЗАКАЗЧИК_EMAIL_ОВ </w:instrText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fldChar w:fldCharType="separate"/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t xml:space="preserve">s-mnogoborye@yanao.ru</w:t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В случае изменения электронного адреса Заказчик направляет Исполнителю письменное уведомление по форме, согласованной в качестве приложения к Договору.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1"/>
          <w:numId w:val="9"/>
        </w:numPr>
        <w:ind w:left="0" w:firstLine="0"/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  <w:lang w:eastAsia="ru-RU"/>
        </w:rPr>
        <w:t xml:space="preserve">Организация подключения.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При осуществлении регистрации и адаптации Исполнитель: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Согласно п.п. 2.2 – 2.3 настоящей Спецификации обеспечивает Заказчику возможность использования комплекта с числом УЗ и числом ОД,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определенными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настоящей Спецификацией.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Сохраняет реквизиты УЗ в специальной копии Системы.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Регистрирует АРМ администратора учетных записей пользователей для организации сопровождения Систем,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в т.ч. формирует, адаптирует и модифицирует базу данных учетных записей пользователей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1"/>
          <w:numId w:val="9"/>
        </w:numPr>
        <w:ind w:left="0" w:firstLine="0"/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  <w:lang w:eastAsia="ru-RU"/>
        </w:rPr>
        <w:t xml:space="preserve">Изменение УЗ.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Исполнитель вправе заменять УЗ по собственной инициативе с одновременным уведомлением Заказчика открытым электронным сообщением на электронный адрес Заказчика, указанный в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п. 3.3.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1"/>
          <w:numId w:val="9"/>
        </w:numPr>
        <w:ind w:left="0" w:firstLine="0"/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Передача УЗ.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Заказчик вправе передавать реквизиты УЗ только своим Уникальным пользователям в соответствии с условиями Договора и Спец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ификации. По запросу Исполнителя Заказчик обязан предоставлять Исполнителю информацию об Уникальных пользователях, которым была передана УЗ. Заказчик обязан обеспечить конфиденциальность УЗ. Заказчик не вправе предоставлять возможность использования Систем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ы(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м) лицам и/или способами, не предусмотренными настоящим п. 3.6 Спецификации.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1"/>
          <w:numId w:val="9"/>
        </w:numPr>
        <w:ind w:left="0" w:firstLine="0"/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Блокирование УЗ.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Заказчик вправе в любое время заблокировать УЗ путем смены ее реквизитов. Заказчик обязан заблокировать УЗ в следующих случаях: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В случае прекращения трудовых отношений с Уникальным пользователем, получившим учетную запись, - в течение одного рабочего дня с момента прекращения трудовых отношений;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В случае действительного или потенциального нарушения конфиденциальности реквизитов учетной записи - незамедлительно при получении соответствующей информации.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1"/>
          <w:numId w:val="9"/>
        </w:numPr>
        <w:ind w:left="0" w:firstLine="0"/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bookmarkEnd w:id="0"/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  <w:lang w:eastAsia="ru-RU"/>
        </w:rPr>
        <w:t xml:space="preserve">Конфиденциальность.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Заказчик обязан обеспечивать конфиденциальность УЗ. Нарушениями конфиденциальности, являющимися грубыми нарушениями прав на объек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т(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ы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) интеллектуальной собственности, в частности, признаются: передача (разглашение) реквизитов УЗ лицу, которое не является Уникальным пользователем, а также несвоевременная блокировка УЗ при прекращении трудовых отношений с бывшим Уникальным пользователем.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ind w:left="0"/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Без специального разрешения Правообладателя запрещено использование Системы и/или материалов из нее любыми автоматизированными системами и/или сервисами искусственного интеллекта (в том числе языковыми моделями,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нейросетями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чат-ботами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ИИ-помощниками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ИИ-ассистентами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и пр.) и/или программным обеспечением или любыми прочими инструментами, использующими автоматизированные методы сбора и обработки данных.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ind w:left="0"/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Без специального разрешения Правообладателя запрещено испол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ьзование Системы и/или материалов из нее для создания любых программных продуктов и/или баз данных и/или любых иных сервисов, в том числе с применением методов и инструментов автоматического извлечения и/или систематизации и/или обработки данных (включая,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но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не ограничиваясь этим,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веб-скрейпинг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и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парсинг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), машинного обучения, обучения искусственного интеллекта, автоматизированного добавления в запросы, команды и инструкции (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промпты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) для подготовки ответов системами искусственного интеллекта или любых иных автоматизированных методов сбора и обработки данных.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ind w:left="0"/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Заказчик обязуется предпринимать все зависящие от него меры по недопущению такого использования.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1"/>
          <w:numId w:val="9"/>
        </w:numPr>
        <w:ind w:left="0" w:firstLine="0"/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  <w:lang w:eastAsia="ru-RU"/>
        </w:rPr>
        <w:t xml:space="preserve">Интерфейсные сообщения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ru-RU"/>
        </w:rPr>
        <w:t xml:space="preserve">. Система может содержать информационное сообщение о наименовании и местонахождении правомерного пользователя комплекта Систем. Сообщение может быть показано не чаще одного раза в 24 часа.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ru-RU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1"/>
          <w:numId w:val="9"/>
        </w:numPr>
        <w:ind w:left="0" w:firstLine="0"/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  <w:lang w:eastAsia="ru-RU"/>
        </w:rPr>
        <w:t xml:space="preserve">Параметры использования комплекта.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Разработчик Систем самостоятельно определяет параметры использования Систем и вправе в одностороннем порядке их изменять. С актуальными параметрами Заказчик вправе ознакомиться в разделе справочной информации о комплекте в электронном виде.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1"/>
          <w:numId w:val="9"/>
        </w:numPr>
        <w:ind w:left="0" w:firstLine="0"/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Возобновление.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В случае отказа Заказчика от услуг с использованием экземпляра Системы возможность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использования Заказчиком данной Системы блокируется, оказание Заказчику любых услуг с использованием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данного экземпляра Системы, может быть осуществлено Исполнителем только при наличии технической возможности после оплаты Заказчиком стоимости возобновления оказания услуг по Прейскур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анту Исполнителя. Оказание Заказчику любых услуг с использованием иных Систем, включенных в один комплект с Системой, в отношении экземпляра которой Заказчик отказался от услуг, может быть продолжено Исполнителем только при наличии технической возможности.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jc w:val="left"/>
        <w:spacing w:after="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numPr>
          <w:ilvl w:val="0"/>
          <w:numId w:val="9"/>
        </w:numPr>
        <w:ind w:left="0" w:firstLine="0"/>
        <w:jc w:val="center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ОСОБЕННОСТИ ОКАЗАНИЯ УСЛУГ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widowControl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</w:r>
      <w:r>
        <w:rPr>
          <w:rFonts w:ascii="Times New Roman" w:hAnsi="Times New Roman" w:cs="Times New Roman"/>
          <w:b/>
          <w:color w:val="auto"/>
          <w:sz w:val="18"/>
          <w:szCs w:val="18"/>
        </w:rPr>
      </w:r>
    </w:p>
    <w:p>
      <w:pPr>
        <w:pStyle w:val="904"/>
        <w:numPr>
          <w:ilvl w:val="1"/>
          <w:numId w:val="9"/>
        </w:numPr>
        <w:ind w:left="0" w:firstLine="0"/>
        <w:jc w:val="both"/>
        <w:shd w:val="clear" w:color="auto" w:fill="ffffff" w:themeFill="background1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Режим обслуживания.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Исполнитель обеспечивает возможность использования комплекта Систем 24 часа в сутки 7 дней в неделю, за исключением времени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перерывов в предоставлении услуг, связанных с заменой оборудования, программного обеспечения и/или проведения других ремонтных или планово-профилактических работ на серверном оборудовании. Использование комплекта возможно под управлением специальной копии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Системы с электронного устройства Заказчика, на котором она установлена.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1"/>
          <w:numId w:val="9"/>
        </w:numPr>
        <w:ind w:left="0" w:firstLine="0"/>
        <w:spacing w:after="0"/>
        <w:shd w:val="clear" w:color="auto" w:fill="ffffff" w:themeFill="background1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  <w:lang w:eastAsia="ru-RU"/>
        </w:rPr>
        <w:t xml:space="preserve">Объем сопровождения. Услуги Исполнителя предусматривают: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  <w:lang w:eastAsia="ru-RU"/>
        </w:rPr>
      </w:r>
      <w:r>
        <w:rPr>
          <w:rFonts w:ascii="Times New Roman" w:hAnsi="Times New Roman" w:cs="Times New Roman"/>
          <w:color w:val="auto"/>
          <w:sz w:val="18"/>
          <w:szCs w:val="18"/>
          <w:u w:val="single"/>
        </w:rPr>
      </w:r>
    </w:p>
    <w:p>
      <w:pPr>
        <w:pStyle w:val="928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Предоставление Заказчику актуальной информации путем сопровождения зарегистрированных экземпляров Систем и в том числе специальной копии Системы.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Предоставление Заказчику возможности получения консультаций по работе Систем по телефону, по электронной почте, через специальные сервисы и базы данных либо в офисе Исполнителя.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Администрирование специального АРМ администратора учетных записей пользователей, адаптацию и модификацию базы данных учетных записей пользователей, с использованием которой Исполнитель сопровождает экземпляры Систем.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С использованием АРМ администратора учетных записей пользователей и базы данных учетных записей пользователей восстановление персональных настроек Заказчика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(папок, закладок, документов на контроле, комментариев пользователей в текстах документов).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Изменение реквизитов УЗ, сохраненных в специальной копии Системы.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28"/>
        <w:numPr>
          <w:ilvl w:val="2"/>
          <w:numId w:val="9"/>
        </w:numPr>
        <w:ind w:left="0" w:firstLine="0"/>
        <w:spacing w:after="0"/>
        <w:shd w:val="clear" w:color="auto" w:fill="ffffff" w:themeFill="background1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Выполнение иных действий, предоставление другой информации и материалов, предусмотренных Договором.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  <w:shd w:val="clear" w:color="auto" w:fill="ffffff" w:themeFill="background1"/>
        </w:rPr>
        <w:t xml:space="preserve">Условия сопровождения.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shd w:val="clear" w:color="auto" w:fill="ffffff" w:themeFill="background1"/>
        </w:rPr>
        <w:t xml:space="preserve"> Услуги с использованием экземпляра дополнительной Системы предоставляются Исполнителем только при условии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shd w:val="clear" w:color="auto" w:fill="ffffff" w:themeFill="background1"/>
        </w:rPr>
        <w:t xml:space="preserve">одновременного сопровождения экземпляра основной Системы. В случае отключения Заказчиком сопровождения экземпляра основной Системы блокируется возможность использования Заказчиком всех Систем комплекта и прекращается сопровождение специальной копии Системы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numPr>
          <w:ilvl w:val="1"/>
          <w:numId w:val="9"/>
        </w:numPr>
        <w:ind w:left="0" w:firstLine="0"/>
        <w:shd w:val="clear" w:color="auto" w:fill="ffffff" w:themeFill="background1"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Постоянный адрес</w:t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Заказчика, по которому осуществляется правомерное использование комплекта Систем Уникальными пользователями: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instrText xml:space="preserve"> DOCVARIABLE СТИУС_ИСХСОСТАВ_ТОЧКАОБСЛПОДКЛ_АДРФАКТ </w:instrText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fldChar w:fldCharType="separate"/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t xml:space="preserve">629008, Ямало-Ненецкий АО, г. Салехард, ул. Республики, д. 62</w:t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</w:r>
      <w:r>
        <w:rPr>
          <w:rFonts w:ascii="Times New Roman" w:hAnsi="Times New Roman" w:cs="Times New Roman"/>
          <w:b/>
          <w:color w:val="auto"/>
          <w:sz w:val="18"/>
          <w:szCs w:val="18"/>
        </w:rPr>
      </w:r>
    </w:p>
    <w:p>
      <w:pPr>
        <w:pStyle w:val="904"/>
        <w:shd w:val="clear" w:color="auto" w:fill="ffffff" w:themeFill="background1"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Примечание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: правомерное использование комплекта Систем также возможно с домашних адресов Уникальных пользователей, а также адресов временного использования Систем Уникальными пользователями (например, при нахождении Уникальных пользователей в командировке или кафе).</w:t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</w:r>
      <w:r>
        <w:rPr>
          <w:rFonts w:ascii="Times New Roman" w:hAnsi="Times New Roman" w:cs="Times New Roman"/>
          <w:b/>
          <w:color w:val="auto"/>
          <w:sz w:val="18"/>
          <w:szCs w:val="18"/>
        </w:rPr>
      </w:r>
    </w:p>
    <w:p>
      <w:pPr>
        <w:pStyle w:val="904"/>
        <w:numPr>
          <w:ilvl w:val="1"/>
          <w:numId w:val="9"/>
        </w:numPr>
        <w:ind w:left="0" w:firstLine="0"/>
        <w:jc w:val="both"/>
        <w:shd w:val="clear" w:color="auto" w:fill="ffffff" w:themeFill="background1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Прочее.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Все расходы, связанные с обеспечением достаточного для оказания текущих услуг трафика, оплачиваются Заказчиком за свой счет. Работоспособность компьютерного, телекоммуникационного оборудования Заказчика и каналов связи Заказчик обеспечивает самостоятельно.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numPr>
          <w:ilvl w:val="0"/>
          <w:numId w:val="9"/>
        </w:numPr>
        <w:ind w:left="0" w:firstLine="0"/>
        <w:jc w:val="center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ДЕЙСТВИЕ СПЕЦИФИКАЦИИ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widowControl/>
        <w:rPr>
          <w:rFonts w:ascii="Times New Roman" w:hAnsi="Times New Roman" w:cs="Times New Roman"/>
          <w:b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</w:r>
      <w:r>
        <w:rPr>
          <w:rFonts w:ascii="Times New Roman" w:hAnsi="Times New Roman" w:cs="Times New Roman"/>
          <w:b/>
          <w:color w:val="auto"/>
          <w:sz w:val="18"/>
          <w:szCs w:val="18"/>
        </w:rPr>
      </w:r>
    </w:p>
    <w:p>
      <w:pPr>
        <w:pStyle w:val="904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Период.</w:t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Спецификация вступает в силу</w:t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t xml:space="preserve"> </w:t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bookmarkEnd w:id="0"/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t xml:space="preserve">с момента подписания</w:t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и заканчивает свое действие в случае прекращения Договора.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Отказ от услуг.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Заказчик имеет право отказаться от услуг, предусмотренных настоящей Специфика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цией, до истечения срока действия Договора. Заказчик обязан письменно уведомить Исполнителя о таком отказе не менее чем за 30 (тридцать) дней. Отказ от услуг, предусмотренных настоящей Спецификацией, не прекращает действие Договора или других Спецификаций.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numPr>
          <w:ilvl w:val="1"/>
          <w:numId w:val="9"/>
        </w:numPr>
        <w:ind w:left="0" w:firstLine="0"/>
        <w:jc w:val="both"/>
        <w:shd w:val="clear" w:color="auto" w:fill="ffffff" w:themeFill="background1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Отказ от Договора.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Исполнитель имеет право отказаться от исполнения Договора в одностороннем порядке в случае нарушения Заказчиком п.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3.8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настоящей Спецификации.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numPr>
          <w:ilvl w:val="1"/>
          <w:numId w:val="9"/>
        </w:numPr>
        <w:ind w:left="0" w:firstLine="0"/>
        <w:jc w:val="both"/>
        <w:shd w:val="clear" w:color="auto" w:fill="ffffff" w:themeFill="background1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Приоритет Спецификации.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Спецификация является неотъемлемой частью Договора. В случае противоречий между условиями Договора и условиями Спецификации применяются условия Спецификации.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numPr>
          <w:ilvl w:val="1"/>
          <w:numId w:val="9"/>
        </w:numPr>
        <w:ind w:left="0" w:firstLine="0"/>
        <w:jc w:val="both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 xml:space="preserve">Изменение.</w:t>
      </w:r>
      <w:r>
        <w:rPr>
          <w:rFonts w:ascii="Times New Roman" w:hAnsi="Times New Roman" w:eastAsia="Times New Roman" w:cs="Times New Roman"/>
          <w:b/>
          <w:color w:val="auto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В случаях, предусмотренных Договором, Исполнитель вправе изменить параметры или название экземпляров Систем в одностороннем порядке.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tbl>
      <w:tblPr>
        <w:tblW w:w="5000" w:type="pct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1758"/>
        <w:gridCol w:w="2887"/>
        <w:gridCol w:w="230"/>
        <w:gridCol w:w="1844"/>
        <w:gridCol w:w="2600"/>
        <w:gridCol w:w="427"/>
      </w:tblGrid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 xml:space="preserve">От Заказчика: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  <w:t xml:space="preserve">От Исполнителя: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  <w:tr>
        <w:tblPrEx/>
        <w:trPr>
          <w:gridAfter w:val="1"/>
        </w:trPr>
        <w:tc>
          <w:tcPr>
            <w:gridSpan w:val="2"/>
            <w:tcW w:w="2383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0"/>
                <w:szCs w:val="20"/>
                <w:lang w:val="en-US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gridSpan w:val="2"/>
            <w:tcW w:w="2280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instrText xml:space="preserve"> DOCVARIABLE ПОДПИСАНТ_ЗАКАЗЧИК_ДОЛЖНОСТЬ_ЗАГЛ </w:instrTex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instrText xml:space="preserve"> DOCVARIABLE ВИДПЕРЕДАЧИ_ЕСТЬЭДО_УДАЛИТЬ[НАЧАЛО] </w:instrTex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instrText xml:space="preserve"> DOCVARIABLE ПОДПИСАНТ_ИСПОЛНИТЕЛЬ_ДОЛЖНОСТЬ </w:instrTex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Директор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  <w:tr>
        <w:tblPrEx/>
        <w:trPr>
          <w:trHeight w:val="142"/>
        </w:trPr>
        <w:tc>
          <w:tcPr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(должность)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(должность)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02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W w:w="1481" w:type="pct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46" w:type="pct"/>
            <w:textDirection w:val="lrTb"/>
            <w:noWrap w:val="false"/>
          </w:tcPr>
          <w:p>
            <w:pPr>
              <w:jc w:val="left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  <w:tc>
          <w:tcPr>
            <w:gridSpan w:val="2"/>
            <w:tcW w:w="1553" w:type="pct"/>
            <w:vAlign w:val="center"/>
            <w:textDirection w:val="lrTb"/>
            <w:noWrap w:val="false"/>
          </w:tcPr>
          <w:p>
            <w:pPr>
              <w:jc w:val="right"/>
              <w:keepLines/>
              <w:keepNext/>
              <w:spacing w:after="0"/>
              <w:widowControl w:val="off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instrText xml:space="preserve"> DOCVARIABLE ВИДПЕРЕДАЧИ_ЕСТЬЭДО_УДАЛИТЬ[КОНЕЦ] </w:instrTex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right w:val="none" w:color="000000" w:sz="4" w:space="0"/>
            </w:tcBorders>
            <w:tcW w:w="902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6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</w:r>
          </w:p>
        </w:tc>
      </w:tr>
      <w:tr>
        <w:tblPrEx/>
        <w:trPr/>
        <w:tc>
          <w:tcPr>
            <w:tcW w:w="902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r>
          </w:p>
        </w:tc>
        <w:tc>
          <w:tcPr>
            <w:tcW w:w="1481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r>
          </w:p>
        </w:tc>
        <w:tc>
          <w:tcPr>
            <w:tcBorders>
              <w:left w:val="none" w:color="000000" w:sz="4" w:space="0"/>
            </w:tcBorders>
            <w:tcW w:w="118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r>
          </w:p>
        </w:tc>
        <w:tc>
          <w:tcPr>
            <w:tcW w:w="946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М.П.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r>
          </w:p>
        </w:tc>
        <w:tc>
          <w:tcPr>
            <w:gridSpan w:val="2"/>
            <w:tcW w:w="1553" w:type="pct"/>
            <w:textDirection w:val="lrTb"/>
            <w:noWrap w:val="false"/>
          </w:tcPr>
          <w:p>
            <w:pPr>
              <w:jc w:val="center"/>
              <w:keepLines/>
              <w:keepNext/>
              <w:spacing w:after="0"/>
              <w:shd w:val="clear" w:color="auto" w:fill="ffffff"/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 w:themeColor="background1" w:themeShade="80"/>
                <w:sz w:val="14"/>
                <w:szCs w:val="14"/>
              </w:rPr>
            </w:r>
          </w:p>
        </w:tc>
      </w:tr>
    </w:tbl>
    <w:p>
      <w:pPr>
        <w:pStyle w:val="904"/>
        <w:shd w:val="clear" w:color="auto" w:fill="ffffff"/>
        <w:widowControl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</w:r>
      <w:r>
        <w:rPr>
          <w:rFonts w:ascii="Times New Roman" w:hAnsi="Times New Roman" w:cs="Times New Roman"/>
          <w:color w:val="auto"/>
          <w:sz w:val="18"/>
          <w:szCs w:val="18"/>
        </w:rPr>
      </w:r>
    </w:p>
    <w:p>
      <w:pPr>
        <w:pStyle w:val="904"/>
        <w:jc w:val="both"/>
        <w:widowControl/>
        <w:rPr>
          <w:rFonts w:ascii="Times New Roman" w:hAnsi="Times New Roman" w:cs="Times New Roman"/>
          <w:color w:val="auto"/>
          <w:sz w:val="20"/>
          <w:szCs w:val="20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white"/>
        </w:rPr>
      </w:r>
      <w:r>
        <w:rPr>
          <w:rFonts w:ascii="Times New Roman" w:hAnsi="Times New Roman" w:cs="Times New Roman"/>
          <w:color w:val="auto"/>
          <w:sz w:val="20"/>
          <w:szCs w:val="20"/>
          <w:highlight w:val="white"/>
        </w:rPr>
      </w:r>
    </w:p>
    <w:sectPr>
      <w:footnotePr/>
      <w:endnotePr/>
      <w:type w:val="nextPage"/>
      <w:pgSz w:w="11906" w:h="16838" w:orient="portrait"/>
      <w:pgMar w:top="567" w:right="1134" w:bottom="567" w:left="1134" w:header="284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GaramondC">
    <w:panose1 w:val="020B0606020202030204"/>
  </w:font>
  <w:font w:name="MS Mincho">
    <w:panose1 w:val="0202060305040509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З</w:t>
    </w:r>
    <w:r>
      <w:rPr>
        <w:rFonts w:ascii="Arial" w:hAnsi="Arial" w:cs="Arial"/>
        <w:b/>
        <w:bCs/>
        <w:sz w:val="18"/>
        <w:szCs w:val="18"/>
      </w:rPr>
    </w:r>
    <w:r>
      <w:rPr>
        <w:rFonts w:ascii="Arial" w:hAnsi="Arial" w:cs="Arial"/>
        <w:b/>
        <w:bCs/>
        <w:sz w:val="18"/>
        <w:szCs w:val="1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792" w:hanging="432"/>
      </w:pPr>
      <w:rPr>
        <w:rFonts w:hint="default" w:cs="Times New Roman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57"/>
      </w:pPr>
      <w:rPr>
        <w:rFonts w:hint="default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276"/>
      </w:pPr>
      <w:rPr>
        <w:rFonts w:hint="default" w:cs="Times New Roman"/>
      </w:rPr>
    </w:lvl>
    <w:lvl w:ilvl="2">
      <w:start w:val="1"/>
      <w:numFmt w:val="decimal"/>
      <w:isLgl/>
      <w:suff w:val="space"/>
      <w:lvlText w:val="%1.%2.%3."/>
      <w:lvlJc w:val="left"/>
      <w:pPr>
        <w:ind w:left="357"/>
      </w:pPr>
      <w:rPr>
        <w:rFonts w:hint="default" w:cs="Times New Roman"/>
      </w:rPr>
    </w:lvl>
    <w:lvl w:ilvl="3">
      <w:start w:val="1"/>
      <w:numFmt w:val="decimal"/>
      <w:isLgl/>
      <w:suff w:val="space"/>
      <w:lvlText w:val="%1.%2.%3.%4."/>
      <w:lvlJc w:val="left"/>
      <w:pPr>
        <w:ind w:left="357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57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57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57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7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57"/>
      </w:pPr>
      <w:rPr>
        <w:rFonts w:hint="default"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5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7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9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41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3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5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7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57"/>
      </w:pPr>
      <w:rPr>
        <w:rFonts w:hint="default"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357"/>
      </w:pPr>
      <w:rPr>
        <w:rFonts w:hint="default" w:cs="Times New Roman"/>
      </w:rPr>
    </w:lvl>
    <w:lvl w:ilvl="2">
      <w:start w:val="1"/>
      <w:numFmt w:val="decimal"/>
      <w:isLgl/>
      <w:suff w:val="space"/>
      <w:lvlText w:val="%1.%2.%3."/>
      <w:lvlJc w:val="left"/>
      <w:pPr>
        <w:ind w:left="357"/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357"/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357"/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357"/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357"/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57"/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357"/>
      </w:pPr>
      <w:rPr>
        <w:rFonts w:hint="default"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5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7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69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41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3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5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7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290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space"/>
      <w:lvlText w:val="%1.%2."/>
      <w:lvlJc w:val="left"/>
      <w:pPr>
        <w:ind w:left="792" w:hanging="432"/>
      </w:pPr>
      <w:rPr>
        <w:rFonts w:hint="default" w:cs="Times New Roman"/>
        <w:b w:val="0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1224" w:hanging="504"/>
      </w:pPr>
      <w:rPr>
        <w:rFonts w:hint="default" w:cs="Times New Roman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1728" w:hanging="648"/>
      </w:pPr>
      <w:rPr>
        <w:rFonts w:hint="default" w:cs="Times New Roman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2232" w:hanging="792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hint="default"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"/>
    <w:lvlOverride w:ilvl="0">
      <w:lvl w:ilvl="0">
        <w:start w:val="1"/>
        <w:numFmt w:val="decimal"/>
        <w:isLgl w:val="false"/>
        <w:suff w:val="space"/>
        <w:lvlText w:val="%1."/>
        <w:lvlJc w:val="left"/>
        <w:pPr>
          <w:ind w:left="357"/>
        </w:pPr>
        <w:rPr>
          <w:rFonts w:hint="default" w:cs="Times New Roman"/>
        </w:rPr>
      </w:lvl>
    </w:lvlOverride>
    <w:lvlOverride w:ilvl="1">
      <w:lvl w:ilvl="1">
        <w:start w:val="1"/>
        <w:numFmt w:val="decimal"/>
        <w:isLgl/>
        <w:suff w:val="space"/>
        <w:lvlText w:val="%1.%2."/>
        <w:lvlJc w:val="left"/>
        <w:pPr>
          <w:ind w:left="567"/>
        </w:pPr>
        <w:rPr>
          <w:rFonts w:hint="default" w:cs="Times New Roman"/>
        </w:rPr>
      </w:lvl>
    </w:lvlOverride>
    <w:lvlOverride w:ilvl="2">
      <w:lvl w:ilvl="2">
        <w:start w:val="1"/>
        <w:numFmt w:val="decimal"/>
        <w:isLgl/>
        <w:suff w:val="space"/>
        <w:lvlText w:val="%1.%2.%3."/>
        <w:lvlJc w:val="left"/>
        <w:pPr>
          <w:ind w:left="357"/>
        </w:pPr>
        <w:rPr>
          <w:rFonts w:hint="default" w:cs="Times New Roman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357"/>
        </w:pPr>
        <w:rPr>
          <w:rFonts w:hint="default" w:cs="Times New Roman"/>
        </w:rPr>
      </w:lvl>
    </w:lvlOverride>
    <w:lvlOverride w:ilvl="4">
      <w:lvl w:ilvl="4">
        <w:start w:val="1"/>
        <w:numFmt w:val="decimal"/>
        <w:isLgl/>
        <w:suff w:val="tab"/>
        <w:lvlText w:val="%1.%2.%3.%4.%5."/>
        <w:lvlJc w:val="left"/>
        <w:pPr>
          <w:ind w:left="357"/>
        </w:pPr>
        <w:rPr>
          <w:rFonts w:hint="default" w:cs="Times New Roman"/>
        </w:rPr>
      </w:lvl>
    </w:lvlOverride>
    <w:lvlOverride w:ilvl="5">
      <w:lvl w:ilvl="5">
        <w:start w:val="1"/>
        <w:numFmt w:val="decimal"/>
        <w:isLgl/>
        <w:suff w:val="tab"/>
        <w:lvlText w:val="%1.%2.%3.%4.%5.%6."/>
        <w:lvlJc w:val="left"/>
        <w:pPr>
          <w:ind w:left="357"/>
        </w:pPr>
        <w:rPr>
          <w:rFonts w:hint="default" w:cs="Times New Roman"/>
        </w:rPr>
      </w:lvl>
    </w:lvlOverride>
    <w:lvlOverride w:ilvl="6">
      <w:lvl w:ilvl="6">
        <w:start w:val="1"/>
        <w:numFmt w:val="decimal"/>
        <w:isLgl/>
        <w:suff w:val="tab"/>
        <w:lvlText w:val="%1.%2.%3.%4.%5.%6.%7."/>
        <w:lvlJc w:val="left"/>
        <w:pPr>
          <w:ind w:left="357"/>
        </w:pPr>
        <w:rPr>
          <w:rFonts w:hint="default" w:cs="Times New Roman"/>
        </w:rPr>
      </w:lvl>
    </w:lvlOverride>
    <w:lvlOverride w:ilvl="7">
      <w:lvl w:ilvl="7">
        <w:start w:val="1"/>
        <w:numFmt w:val="decimal"/>
        <w:isLgl/>
        <w:suff w:val="tab"/>
        <w:lvlText w:val="%1.%2.%3.%4.%5.%6.%7.%8."/>
        <w:lvlJc w:val="left"/>
        <w:pPr>
          <w:ind w:left="357"/>
        </w:pPr>
        <w:rPr>
          <w:rFonts w:hint="default" w:cs="Times New Roman"/>
        </w:rPr>
      </w:lvl>
    </w:lvlOverride>
    <w:lvlOverride w:ilvl="8">
      <w:lvl w:ilvl="8">
        <w:start w:val="1"/>
        <w:numFmt w:val="decimal"/>
        <w:isLgl/>
        <w:suff w:val="tab"/>
        <w:lvlText w:val="%1.%2.%3.%4.%5.%6.%7.%8.%9."/>
        <w:lvlJc w:val="left"/>
        <w:pPr>
          <w:ind w:left="357"/>
        </w:pPr>
        <w:rPr>
          <w:rFonts w:hint="default" w:cs="Times New Roman"/>
        </w:rPr>
      </w:lvl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3">
    <w:name w:val="Heading 2 Char"/>
    <w:basedOn w:val="727"/>
    <w:link w:val="719"/>
    <w:uiPriority w:val="9"/>
    <w:rPr>
      <w:rFonts w:ascii="Arial" w:hAnsi="Arial" w:eastAsia="Arial" w:cs="Arial"/>
      <w:sz w:val="34"/>
    </w:rPr>
  </w:style>
  <w:style w:type="character" w:styleId="704">
    <w:name w:val="Heading 3 Char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05">
    <w:name w:val="Heading 4 Char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06">
    <w:name w:val="Heading 5 Char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07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08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10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11">
    <w:name w:val="Subtitle Char"/>
    <w:basedOn w:val="727"/>
    <w:link w:val="741"/>
    <w:uiPriority w:val="11"/>
    <w:rPr>
      <w:sz w:val="24"/>
      <w:szCs w:val="24"/>
    </w:rPr>
  </w:style>
  <w:style w:type="character" w:styleId="712">
    <w:name w:val="Quote Char"/>
    <w:link w:val="743"/>
    <w:uiPriority w:val="29"/>
    <w:rPr>
      <w:i/>
    </w:rPr>
  </w:style>
  <w:style w:type="character" w:styleId="713">
    <w:name w:val="Intense Quote Char"/>
    <w:link w:val="745"/>
    <w:uiPriority w:val="30"/>
    <w:rPr>
      <w:i/>
    </w:rPr>
  </w:style>
  <w:style w:type="character" w:styleId="714">
    <w:name w:val="Caption Char"/>
    <w:basedOn w:val="727"/>
    <w:link w:val="749"/>
    <w:uiPriority w:val="35"/>
    <w:rPr>
      <w:b/>
      <w:bCs/>
      <w:color w:val="4f81bd" w:themeColor="accent1"/>
      <w:sz w:val="18"/>
      <w:szCs w:val="18"/>
    </w:rPr>
  </w:style>
  <w:style w:type="character" w:styleId="715">
    <w:name w:val="Footnote Text Char"/>
    <w:link w:val="876"/>
    <w:uiPriority w:val="99"/>
    <w:rPr>
      <w:sz w:val="18"/>
    </w:rPr>
  </w:style>
  <w:style w:type="character" w:styleId="716">
    <w:name w:val="Endnote Text Char"/>
    <w:link w:val="879"/>
    <w:uiPriority w:val="99"/>
    <w:rPr>
      <w:sz w:val="20"/>
    </w:rPr>
  </w:style>
  <w:style w:type="paragraph" w:styleId="717" w:default="1">
    <w:name w:val="Normal"/>
    <w:qFormat/>
    <w:pPr>
      <w:jc w:val="both"/>
      <w:spacing w:after="24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718">
    <w:name w:val="Heading 1"/>
    <w:basedOn w:val="717"/>
    <w:next w:val="717"/>
    <w:link w:val="892"/>
    <w:uiPriority w:val="99"/>
    <w:qFormat/>
    <w:pPr>
      <w:jc w:val="left"/>
      <w:keepNext/>
      <w:spacing w:before="240" w:after="60" w:line="276" w:lineRule="auto"/>
      <w:outlineLvl w:val="0"/>
    </w:pPr>
    <w:rPr>
      <w:rFonts w:ascii="Arial" w:hAnsi="Arial" w:cs="Arial"/>
      <w:b/>
      <w:bCs/>
      <w:sz w:val="32"/>
      <w:szCs w:val="32"/>
    </w:rPr>
  </w:style>
  <w:style w:type="paragraph" w:styleId="719">
    <w:name w:val="Heading 2"/>
    <w:basedOn w:val="717"/>
    <w:next w:val="717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0">
    <w:name w:val="Heading 3"/>
    <w:basedOn w:val="717"/>
    <w:next w:val="717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Heading 1 Char"/>
    <w:basedOn w:val="727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27"/>
    <w:link w:val="719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No Spacing"/>
    <w:uiPriority w:val="1"/>
    <w:qFormat/>
    <w:pPr>
      <w:spacing w:after="0" w:line="240" w:lineRule="auto"/>
    </w:pPr>
  </w:style>
  <w:style w:type="character" w:styleId="740" w:customStyle="1">
    <w:name w:val="Title Char"/>
    <w:basedOn w:val="727"/>
    <w:uiPriority w:val="10"/>
    <w:rPr>
      <w:sz w:val="48"/>
      <w:szCs w:val="48"/>
    </w:rPr>
  </w:style>
  <w:style w:type="paragraph" w:styleId="741">
    <w:name w:val="Subtitle"/>
    <w:basedOn w:val="717"/>
    <w:next w:val="717"/>
    <w:link w:val="742"/>
    <w:uiPriority w:val="11"/>
    <w:qFormat/>
    <w:pPr>
      <w:spacing w:before="200" w:after="200"/>
    </w:pPr>
  </w:style>
  <w:style w:type="character" w:styleId="742" w:customStyle="1">
    <w:name w:val="Подзаголовок Знак"/>
    <w:basedOn w:val="727"/>
    <w:link w:val="741"/>
    <w:uiPriority w:val="11"/>
    <w:rPr>
      <w:sz w:val="24"/>
      <w:szCs w:val="24"/>
    </w:rPr>
  </w:style>
  <w:style w:type="paragraph" w:styleId="743">
    <w:name w:val="Quote"/>
    <w:basedOn w:val="717"/>
    <w:next w:val="717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7"/>
    <w:next w:val="717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Header Char"/>
    <w:basedOn w:val="727"/>
    <w:uiPriority w:val="99"/>
  </w:style>
  <w:style w:type="character" w:styleId="748" w:customStyle="1">
    <w:name w:val="Footer Char"/>
    <w:basedOn w:val="727"/>
    <w:uiPriority w:val="99"/>
  </w:style>
  <w:style w:type="paragraph" w:styleId="749">
    <w:name w:val="Caption"/>
    <w:basedOn w:val="717"/>
    <w:next w:val="717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 w:customStyle="1">
    <w:name w:val="Название объекта Знак"/>
    <w:basedOn w:val="727"/>
    <w:link w:val="749"/>
    <w:uiPriority w:val="35"/>
    <w:rPr>
      <w:b/>
      <w:bCs/>
      <w:color w:val="4f81bd" w:themeColor="accent1"/>
      <w:sz w:val="18"/>
      <w:szCs w:val="18"/>
    </w:rPr>
  </w:style>
  <w:style w:type="table" w:styleId="751" w:customStyle="1">
    <w:name w:val="Table Grid Light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2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0" w:customStyle="1">
    <w:name w:val="Grid Table 4 - Accent 2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Grid Table 4 - Accent 3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2" w:customStyle="1">
    <w:name w:val="Grid Table 4 - Accent 4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basedOn w:val="7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>
    <w:name w:val="Grid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>
    <w:name w:val="Grid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0" w:customStyle="1">
    <w:name w:val="Grid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>
    <w:name w:val="List Table 1 Light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List Table 6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5" w:customStyle="1">
    <w:name w:val="List Table 6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8">
    <w:name w:val="List Table 7 Colorful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49" w:customStyle="1">
    <w:name w:val="List Table 7 Colorful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ned - Accent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Lined - Accent 2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Lined - Accent 3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Lined - Accent 4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Bordered &amp; Lined - Accent 2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Bordered &amp; Lined - Accent 3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Bordered &amp; Lined - Accent 4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basedOn w:val="72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2" w:customStyle="1">
    <w:name w:val="Bordered - Accent 3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3" w:customStyle="1">
    <w:name w:val="Bordered - Accent 4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basedOn w:val="7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6">
    <w:name w:val="footnote text"/>
    <w:basedOn w:val="717"/>
    <w:link w:val="877"/>
    <w:uiPriority w:val="99"/>
    <w:semiHidden/>
    <w:unhideWhenUsed/>
    <w:pPr>
      <w:spacing w:after="40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basedOn w:val="727"/>
    <w:uiPriority w:val="99"/>
    <w:unhideWhenUsed/>
    <w:rPr>
      <w:vertAlign w:val="superscript"/>
    </w:rPr>
  </w:style>
  <w:style w:type="paragraph" w:styleId="879">
    <w:name w:val="endnote text"/>
    <w:basedOn w:val="717"/>
    <w:link w:val="880"/>
    <w:uiPriority w:val="99"/>
    <w:semiHidden/>
    <w:unhideWhenUsed/>
    <w:pPr>
      <w:spacing w:after="0"/>
    </w:pPr>
    <w:rPr>
      <w:sz w:val="20"/>
    </w:rPr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27"/>
    <w:uiPriority w:val="99"/>
    <w:semiHidden/>
    <w:unhideWhenUsed/>
    <w:rPr>
      <w:vertAlign w:val="superscript"/>
    </w:rPr>
  </w:style>
  <w:style w:type="paragraph" w:styleId="882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83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84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85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86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87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88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89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717"/>
    <w:next w:val="717"/>
    <w:uiPriority w:val="99"/>
    <w:unhideWhenUsed/>
    <w:pPr>
      <w:spacing w:after="0"/>
    </w:pPr>
  </w:style>
  <w:style w:type="character" w:styleId="892" w:customStyle="1">
    <w:name w:val="Заголовок 1 Знак"/>
    <w:basedOn w:val="727"/>
    <w:link w:val="718"/>
    <w:uiPriority w:val="99"/>
    <w:rPr>
      <w:rFonts w:ascii="Arial" w:hAnsi="Arial" w:cs="Arial"/>
      <w:b/>
      <w:bCs/>
      <w:sz w:val="32"/>
      <w:szCs w:val="32"/>
    </w:rPr>
  </w:style>
  <w:style w:type="character" w:styleId="893" w:customStyle="1">
    <w:name w:val="blk3"/>
    <w:uiPriority w:val="99"/>
  </w:style>
  <w:style w:type="table" w:styleId="894">
    <w:name w:val="Table Grid"/>
    <w:basedOn w:val="728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5">
    <w:name w:val="Hyperlink"/>
    <w:basedOn w:val="727"/>
    <w:uiPriority w:val="99"/>
    <w:rPr>
      <w:rFonts w:cs="Times New Roman"/>
      <w:color w:val="0000ff"/>
      <w:u w:val="single"/>
    </w:rPr>
  </w:style>
  <w:style w:type="character" w:styleId="896">
    <w:name w:val="Strong"/>
    <w:basedOn w:val="727"/>
    <w:uiPriority w:val="99"/>
    <w:qFormat/>
    <w:rPr>
      <w:rFonts w:cs="Times New Roman"/>
      <w:b/>
    </w:rPr>
  </w:style>
  <w:style w:type="character" w:styleId="897" w:customStyle="1">
    <w:name w:val="f"/>
    <w:uiPriority w:val="99"/>
  </w:style>
  <w:style w:type="paragraph" w:styleId="898">
    <w:name w:val="Balloon Text"/>
    <w:basedOn w:val="717"/>
    <w:link w:val="899"/>
    <w:uiPriority w:val="99"/>
    <w:pPr>
      <w:spacing w:after="0"/>
    </w:pPr>
    <w:rPr>
      <w:rFonts w:ascii="Tahoma" w:hAnsi="Tahoma" w:cs="Tahoma"/>
      <w:sz w:val="16"/>
      <w:szCs w:val="16"/>
    </w:rPr>
  </w:style>
  <w:style w:type="character" w:styleId="899" w:customStyle="1">
    <w:name w:val="Текст выноски Знак"/>
    <w:basedOn w:val="727"/>
    <w:link w:val="898"/>
    <w:uiPriority w:val="99"/>
    <w:rPr>
      <w:rFonts w:ascii="Tahoma" w:hAnsi="Tahoma" w:cs="Tahoma"/>
      <w:sz w:val="16"/>
      <w:szCs w:val="16"/>
    </w:rPr>
  </w:style>
  <w:style w:type="paragraph" w:styleId="900">
    <w:name w:val="Header"/>
    <w:basedOn w:val="717"/>
    <w:link w:val="901"/>
    <w:uiPriority w:val="99"/>
    <w:pPr>
      <w:tabs>
        <w:tab w:val="center" w:pos="4677" w:leader="none"/>
        <w:tab w:val="right" w:pos="9355" w:leader="none"/>
      </w:tabs>
    </w:pPr>
  </w:style>
  <w:style w:type="character" w:styleId="901" w:customStyle="1">
    <w:name w:val="Верхний колонтитул Знак"/>
    <w:basedOn w:val="727"/>
    <w:link w:val="900"/>
    <w:uiPriority w:val="99"/>
    <w:rPr>
      <w:rFonts w:ascii="Times New Roman" w:hAnsi="Times New Roman" w:cs="Times New Roman"/>
      <w:sz w:val="24"/>
      <w:szCs w:val="24"/>
    </w:rPr>
  </w:style>
  <w:style w:type="paragraph" w:styleId="902">
    <w:name w:val="Footer"/>
    <w:basedOn w:val="717"/>
    <w:link w:val="903"/>
    <w:uiPriority w:val="99"/>
    <w:pPr>
      <w:tabs>
        <w:tab w:val="center" w:pos="4677" w:leader="none"/>
        <w:tab w:val="right" w:pos="9355" w:leader="none"/>
      </w:tabs>
    </w:pPr>
  </w:style>
  <w:style w:type="character" w:styleId="903" w:customStyle="1">
    <w:name w:val="Нижний колонтитул Знак"/>
    <w:basedOn w:val="727"/>
    <w:link w:val="902"/>
    <w:uiPriority w:val="99"/>
    <w:rPr>
      <w:rFonts w:ascii="Times New Roman" w:hAnsi="Times New Roman" w:cs="Times New Roman"/>
      <w:sz w:val="24"/>
      <w:szCs w:val="24"/>
    </w:rPr>
  </w:style>
  <w:style w:type="paragraph" w:styleId="904" w:customStyle="1">
    <w:name w:val="ConsPlusNormal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05">
    <w:name w:val="annotation reference"/>
    <w:basedOn w:val="727"/>
    <w:uiPriority w:val="99"/>
    <w:semiHidden/>
    <w:rPr>
      <w:rFonts w:cs="Times New Roman"/>
      <w:sz w:val="16"/>
    </w:rPr>
  </w:style>
  <w:style w:type="paragraph" w:styleId="906">
    <w:name w:val="annotation text"/>
    <w:basedOn w:val="717"/>
    <w:link w:val="907"/>
    <w:uiPriority w:val="99"/>
    <w:semiHidden/>
    <w:rPr>
      <w:sz w:val="20"/>
      <w:szCs w:val="20"/>
    </w:rPr>
  </w:style>
  <w:style w:type="character" w:styleId="907" w:customStyle="1">
    <w:name w:val="Текст примечания Знак"/>
    <w:basedOn w:val="727"/>
    <w:link w:val="906"/>
    <w:uiPriority w:val="99"/>
    <w:semiHidden/>
    <w:rPr>
      <w:rFonts w:ascii="Times New Roman" w:hAnsi="Times New Roman" w:cs="Times New Roman"/>
      <w:sz w:val="20"/>
      <w:szCs w:val="20"/>
    </w:rPr>
  </w:style>
  <w:style w:type="paragraph" w:styleId="908">
    <w:name w:val="annotation subject"/>
    <w:basedOn w:val="906"/>
    <w:next w:val="906"/>
    <w:link w:val="909"/>
    <w:uiPriority w:val="99"/>
    <w:semiHidden/>
    <w:rPr>
      <w:b/>
      <w:bCs/>
    </w:rPr>
  </w:style>
  <w:style w:type="character" w:styleId="909" w:customStyle="1">
    <w:name w:val="Тема примечания Знак"/>
    <w:basedOn w:val="907"/>
    <w:link w:val="908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910" w:customStyle="1">
    <w:name w:val="фриизз начало"/>
    <w:basedOn w:val="717"/>
    <w:uiPriority w:val="99"/>
    <w:pPr>
      <w:jc w:val="right"/>
      <w:spacing w:after="0"/>
    </w:pPr>
    <w:rPr>
      <w:rFonts w:ascii="GaramondC" w:hAnsi="GaramondC" w:cs="GaramondC"/>
      <w:b/>
      <w:bCs/>
      <w:sz w:val="22"/>
      <w:szCs w:val="22"/>
      <w:lang w:eastAsia="ru-RU"/>
    </w:rPr>
  </w:style>
  <w:style w:type="character" w:styleId="911">
    <w:name w:val="FollowedHyperlink"/>
    <w:basedOn w:val="727"/>
    <w:uiPriority w:val="99"/>
    <w:rPr>
      <w:rFonts w:cs="Times New Roman"/>
      <w:color w:val="800080"/>
      <w:u w:val="single"/>
    </w:rPr>
  </w:style>
  <w:style w:type="character" w:styleId="912">
    <w:name w:val="page number"/>
    <w:basedOn w:val="727"/>
    <w:uiPriority w:val="99"/>
    <w:rPr>
      <w:rFonts w:cs="Times New Roman"/>
    </w:rPr>
  </w:style>
  <w:style w:type="paragraph" w:styleId="913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character" w:styleId="914" w:customStyle="1">
    <w:name w:val="u"/>
    <w:basedOn w:val="727"/>
    <w:uiPriority w:val="99"/>
    <w:rPr>
      <w:rFonts w:cs="Times New Roman"/>
    </w:rPr>
  </w:style>
  <w:style w:type="character" w:styleId="915" w:customStyle="1">
    <w:name w:val="blk"/>
    <w:basedOn w:val="727"/>
    <w:uiPriority w:val="99"/>
    <w:rPr>
      <w:rFonts w:cs="Times New Roman"/>
    </w:rPr>
  </w:style>
  <w:style w:type="paragraph" w:styleId="916">
    <w:name w:val="HTML Preformatted"/>
    <w:basedOn w:val="717"/>
    <w:link w:val="917"/>
    <w:uiPriority w:val="99"/>
    <w:pPr>
      <w:jc w:val="left"/>
      <w:spacing w:after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  <w:lang w:eastAsia="ru-RU"/>
    </w:rPr>
  </w:style>
  <w:style w:type="character" w:styleId="917" w:customStyle="1">
    <w:name w:val="Стандартный HTML Знак"/>
    <w:basedOn w:val="727"/>
    <w:link w:val="916"/>
    <w:uiPriority w:val="99"/>
    <w:rPr>
      <w:rFonts w:ascii="Courier New" w:hAnsi="Courier New" w:cs="Courier New"/>
      <w:sz w:val="20"/>
      <w:szCs w:val="20"/>
      <w:lang w:eastAsia="ru-RU"/>
    </w:rPr>
  </w:style>
  <w:style w:type="paragraph" w:styleId="918" w:customStyle="1">
    <w:name w:val="ConsPlusCell"/>
    <w:uiPriority w:val="99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919" w:customStyle="1">
    <w:name w:val="ConsPlusTitle"/>
    <w:basedOn w:val="717"/>
    <w:uiPriority w:val="99"/>
    <w:pPr>
      <w:jc w:val="left"/>
      <w:spacing w:after="0"/>
    </w:pPr>
    <w:rPr>
      <w:rFonts w:ascii="Arial" w:hAnsi="Arial" w:cs="Arial"/>
      <w:b/>
      <w:bCs/>
      <w:sz w:val="16"/>
      <w:szCs w:val="16"/>
      <w:lang w:eastAsia="ru-RU"/>
    </w:rPr>
  </w:style>
  <w:style w:type="paragraph" w:styleId="920" w:customStyle="1">
    <w:name w:val="Абзац списка1"/>
    <w:basedOn w:val="717"/>
    <w:uiPriority w:val="99"/>
    <w:pPr>
      <w:contextualSpacing/>
      <w:ind w:left="720"/>
      <w:jc w:val="left"/>
      <w:spacing w:after="200" w:line="276" w:lineRule="auto"/>
    </w:pPr>
    <w:rPr>
      <w:rFonts w:ascii="Calibri" w:hAnsi="Calibri"/>
      <w:sz w:val="22"/>
      <w:szCs w:val="22"/>
    </w:rPr>
  </w:style>
  <w:style w:type="paragraph" w:styleId="921" w:customStyle="1">
    <w:name w:val="ConsPlusDocList"/>
    <w:uiPriority w:val="99"/>
    <w:pPr>
      <w:spacing w:after="0" w:line="240" w:lineRule="auto"/>
      <w:widowControl w:val="off"/>
    </w:pPr>
    <w:rPr>
      <w:rFonts w:ascii="Tahoma" w:hAnsi="Tahoma" w:cs="Tahoma"/>
      <w:sz w:val="18"/>
      <w:szCs w:val="18"/>
    </w:rPr>
  </w:style>
  <w:style w:type="paragraph" w:styleId="922" w:customStyle="1">
    <w:name w:val="consplusnormal"/>
    <w:basedOn w:val="717"/>
    <w:uiPriority w:val="99"/>
    <w:pPr>
      <w:ind w:firstLine="720"/>
      <w:jc w:val="left"/>
      <w:spacing w:after="0"/>
    </w:pPr>
    <w:rPr>
      <w:rFonts w:ascii="Arial" w:hAnsi="Arial" w:cs="Arial"/>
      <w:sz w:val="20"/>
      <w:szCs w:val="20"/>
      <w:lang w:eastAsia="ru-RU"/>
    </w:rPr>
  </w:style>
  <w:style w:type="character" w:styleId="923" w:customStyle="1">
    <w:name w:val="r"/>
    <w:basedOn w:val="727"/>
    <w:uiPriority w:val="99"/>
    <w:rPr>
      <w:rFonts w:cs="Times New Roman"/>
    </w:rPr>
  </w:style>
  <w:style w:type="character" w:styleId="924" w:customStyle="1">
    <w:name w:val="ep"/>
    <w:basedOn w:val="727"/>
    <w:uiPriority w:val="99"/>
    <w:rPr>
      <w:rFonts w:cs="Times New Roman"/>
    </w:rPr>
  </w:style>
  <w:style w:type="character" w:styleId="925" w:customStyle="1">
    <w:name w:val="Верхний колонтитул Знак1"/>
    <w:uiPriority w:val="99"/>
    <w:rPr>
      <w:sz w:val="24"/>
      <w:lang w:val="ru-RU" w:eastAsia="ru-RU"/>
    </w:rPr>
  </w:style>
  <w:style w:type="paragraph" w:styleId="926" w:customStyle="1">
    <w:name w:val="A_osn_text"/>
    <w:basedOn w:val="717"/>
    <w:uiPriority w:val="99"/>
    <w:pPr>
      <w:ind w:firstLine="340"/>
      <w:spacing w:after="0" w:line="192" w:lineRule="exact"/>
      <w:tabs>
        <w:tab w:val="left" w:pos="794" w:leader="none"/>
      </w:tabs>
    </w:pPr>
    <w:rPr>
      <w:rFonts w:ascii="Arial" w:hAnsi="Arial" w:cs="Arial"/>
      <w:sz w:val="18"/>
      <w:szCs w:val="20"/>
      <w:lang w:eastAsia="ru-RU"/>
    </w:rPr>
  </w:style>
  <w:style w:type="paragraph" w:styleId="927">
    <w:name w:val="toc 1"/>
    <w:basedOn w:val="717"/>
    <w:next w:val="717"/>
    <w:uiPriority w:val="99"/>
    <w:semiHidden/>
    <w:pPr>
      <w:jc w:val="left"/>
      <w:spacing w:before="60" w:after="60" w:line="276" w:lineRule="auto"/>
      <w:tabs>
        <w:tab w:val="left" w:pos="440" w:leader="none"/>
        <w:tab w:val="right" w:pos="9736" w:leader="dot"/>
      </w:tabs>
    </w:pPr>
    <w:rPr>
      <w:rFonts w:ascii="Calibri" w:hAnsi="Calibri"/>
      <w:sz w:val="22"/>
      <w:szCs w:val="22"/>
    </w:rPr>
  </w:style>
  <w:style w:type="paragraph" w:styleId="928">
    <w:name w:val="List Paragraph"/>
    <w:basedOn w:val="717"/>
    <w:uiPriority w:val="34"/>
    <w:qFormat/>
    <w:pPr>
      <w:ind w:left="708"/>
    </w:pPr>
  </w:style>
  <w:style w:type="paragraph" w:styleId="929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930">
    <w:name w:val="Body Text"/>
    <w:basedOn w:val="717"/>
    <w:link w:val="931"/>
    <w:uiPriority w:val="99"/>
    <w:pPr>
      <w:spacing w:after="0"/>
      <w:widowControl w:val="off"/>
    </w:pPr>
    <w:rPr>
      <w:sz w:val="20"/>
      <w:szCs w:val="20"/>
      <w:lang w:eastAsia="ru-RU"/>
    </w:rPr>
  </w:style>
  <w:style w:type="character" w:styleId="931" w:customStyle="1">
    <w:name w:val="Основной текст Знак"/>
    <w:basedOn w:val="727"/>
    <w:link w:val="930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932">
    <w:name w:val="Title"/>
    <w:basedOn w:val="717"/>
    <w:link w:val="934"/>
    <w:uiPriority w:val="99"/>
    <w:qFormat/>
    <w:pPr>
      <w:jc w:val="center"/>
      <w:spacing w:after="0"/>
      <w:widowControl w:val="off"/>
    </w:pPr>
    <w:rPr>
      <w:b/>
      <w:bCs/>
      <w:sz w:val="20"/>
      <w:szCs w:val="20"/>
      <w:lang w:eastAsia="ru-RU"/>
    </w:rPr>
  </w:style>
  <w:style w:type="paragraph" w:styleId="933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character" w:styleId="934" w:customStyle="1">
    <w:name w:val="Заголовок Знак"/>
    <w:basedOn w:val="727"/>
    <w:link w:val="932"/>
    <w:uiPriority w:val="9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935" w:customStyle="1">
    <w:name w:val="Основной текст1"/>
    <w:uiPriority w:val="99"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936" w:customStyle="1">
    <w:name w:val="ConsNormal"/>
    <w:pPr>
      <w:ind w:right="19772" w:firstLine="720"/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Times New Roman"/>
      <w:sz w:val="20"/>
      <w:szCs w:val="20"/>
    </w:rPr>
  </w:style>
  <w:style w:type="paragraph" w:styleId="937" w:customStyle="1">
    <w:name w:val="LB Body Text 2"/>
    <w:qFormat/>
    <w:pPr>
      <w:ind w:left="720"/>
      <w:jc w:val="both"/>
      <w:spacing w:before="120" w:after="12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MS Mincho" w:cs="Times New Roman"/>
      <w:szCs w:val="20"/>
      <w:lang w:eastAsia="en-US"/>
    </w:rPr>
  </w:style>
  <w:style w:type="paragraph" w:styleId="938">
    <w:name w:val="Normal (Web)"/>
    <w:basedOn w:val="717"/>
    <w:uiPriority w:val="99"/>
    <w:semiHidden/>
    <w:unhideWhenUsed/>
    <w:pPr>
      <w:jc w:val="left"/>
      <w:spacing w:after="160" w:line="259" w:lineRule="auto"/>
    </w:pPr>
    <w:rPr>
      <w:rFonts w:eastAsiaTheme="minorHAnsi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430E1-5604-43F0-AC4B-29094CD0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zanina</dc:creator>
  <dc:description>DOC-MARKER-Hv14pNblHVJqac10bBS1Eg</dc:description>
  <cp:lastModifiedBy>user</cp:lastModifiedBy>
  <cp:revision>17</cp:revision>
  <dcterms:created xsi:type="dcterms:W3CDTF">2026-05-29T09:30:00Z</dcterms:created>
  <dcterms:modified xsi:type="dcterms:W3CDTF">2026-07-14T11:36:34Z</dcterms:modified>
</cp:coreProperties>
</file>