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ind w:left="-284"/>
        <w:jc w:val="right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firstLine="567"/>
        <w:jc w:val="center"/>
        <w:widowControl/>
        <w:tabs>
          <w:tab w:val="left" w:pos="1134" w:leader="none"/>
          <w:tab w:val="left" w:pos="9498" w:leader="none"/>
        </w:tabs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9"/>
        <w:jc w:val="center"/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на оказание услуг по поставке, адаптации и сопровождению </w:t>
      </w:r>
      <w:r>
        <w:rPr>
          <w:bCs/>
          <w:szCs w:val="24"/>
          <w:lang w:val="ru-RU"/>
        </w:rPr>
      </w:r>
    </w:p>
    <w:p>
      <w:pPr>
        <w:pStyle w:val="859"/>
        <w:jc w:val="center"/>
        <w:rPr>
          <w:szCs w:val="24"/>
          <w:lang w:val="ru-RU"/>
        </w:rPr>
      </w:pPr>
      <w:r>
        <w:rPr>
          <w:bCs/>
          <w:szCs w:val="24"/>
          <w:lang w:val="ru-RU"/>
        </w:rPr>
        <w:t xml:space="preserve">экземпляров Систем КонсультантПлюс (в том числе специальной копией Системы КонсультантПлюс)</w:t>
      </w:r>
      <w:r>
        <w:rPr>
          <w:szCs w:val="24"/>
          <w:lang w:val="ru-RU"/>
        </w:rPr>
        <w:t xml:space="preserve"> </w:t>
      </w:r>
      <w:r>
        <w:rPr>
          <w:szCs w:val="24"/>
          <w:lang w:val="ru-RU"/>
        </w:rPr>
      </w:r>
    </w:p>
    <w:p>
      <w:pPr>
        <w:pStyle w:val="859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</w:p>
    <w:tbl>
      <w:tblPr>
        <w:tblW w:w="10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58"/>
        <w:gridCol w:w="2144"/>
        <w:gridCol w:w="7337"/>
      </w:tblGrid>
      <w:tr>
        <w:tblPrEx/>
        <w:trPr>
          <w:tblHeader/>
        </w:trPr>
        <w:tc>
          <w:tcPr>
            <w:tcW w:w="658" w:type="dxa"/>
            <w:vAlign w:val="center"/>
            <w:textDirection w:val="lrTb"/>
            <w:noWrap/>
          </w:tcPr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№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п/п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144" w:type="dxa"/>
            <w:vAlign w:val="center"/>
            <w:textDirection w:val="lrTb"/>
            <w:noWrap/>
          </w:tcPr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Параметры требований к услугам/работам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7337" w:type="dxa"/>
            <w:vAlign w:val="center"/>
            <w:textDirection w:val="lrTb"/>
            <w:noWrap/>
          </w:tcPr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Требования к услугам/работам, указываемые государственным заказчиком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W w:w="658" w:type="dxa"/>
            <w:textDirection w:val="lrTb"/>
            <w:noWrap/>
          </w:tcPr>
          <w:p>
            <w:pPr>
              <w:pStyle w:val="699"/>
              <w:numPr>
                <w:ilvl w:val="0"/>
                <w:numId w:val="7"/>
              </w:numPr>
              <w:ind w:left="470" w:hanging="357"/>
              <w:jc w:val="center"/>
              <w:rPr>
                <w:rFonts w:eastAsia="Calibri"/>
                <w:highlight w:val="white"/>
                <w:lang w:val="en-US"/>
              </w:rPr>
            </w:pPr>
            <w:r>
              <w:rPr>
                <w:rFonts w:eastAsia="Calibri"/>
                <w:highlight w:val="white"/>
                <w:lang w:val="en-US"/>
              </w:rPr>
            </w:r>
            <w:r>
              <w:rPr>
                <w:rFonts w:eastAsia="Calibri"/>
                <w:highlight w:val="white"/>
                <w:lang w:val="en-US"/>
              </w:rPr>
            </w:r>
          </w:p>
        </w:tc>
        <w:tc>
          <w:tcPr>
            <w:tcW w:w="214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Н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аименование экземпляра системы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7337" w:type="dxa"/>
            <w:textDirection w:val="lrTb"/>
            <w:noWrap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СПС Консультант Бюджетные организации смарт-комплект Оптимальный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58" w:type="dxa"/>
            <w:textDirection w:val="lrTb"/>
            <w:noWrap/>
          </w:tcPr>
          <w:p>
            <w:pPr>
              <w:pStyle w:val="699"/>
              <w:numPr>
                <w:ilvl w:val="0"/>
                <w:numId w:val="7"/>
              </w:numPr>
              <w:ind w:left="470" w:hanging="357"/>
              <w:jc w:val="center"/>
              <w:rPr>
                <w:rFonts w:eastAsia="Calibri"/>
                <w:highlight w:val="white"/>
                <w:lang w:val="en-US"/>
              </w:rPr>
            </w:pPr>
            <w:r>
              <w:rPr>
                <w:rFonts w:eastAsia="Calibri"/>
                <w:highlight w:val="white"/>
                <w:lang w:val="en-US"/>
              </w:rPr>
            </w:r>
            <w:r>
              <w:rPr>
                <w:rFonts w:eastAsia="Calibri"/>
                <w:highlight w:val="white"/>
                <w:lang w:val="en-US"/>
              </w:rPr>
            </w:r>
          </w:p>
        </w:tc>
        <w:tc>
          <w:tcPr>
            <w:tcW w:w="2144" w:type="dxa"/>
            <w:textDirection w:val="lrTb"/>
            <w:noWrap/>
          </w:tcPr>
          <w:p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ОКПД 2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7337" w:type="dxa"/>
            <w:textDirection w:val="lrTb"/>
            <w:noWrap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62.03.12.130 Услуги по сопровождению компьютерных систем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58" w:type="dxa"/>
            <w:textDirection w:val="lrTb"/>
            <w:noWrap/>
          </w:tcPr>
          <w:p>
            <w:pPr>
              <w:pStyle w:val="699"/>
              <w:numPr>
                <w:ilvl w:val="0"/>
                <w:numId w:val="7"/>
              </w:numPr>
              <w:ind w:left="470" w:hanging="357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144" w:type="dxa"/>
            <w:textDirection w:val="lrTb"/>
            <w:noWrap/>
          </w:tcPr>
          <w:p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Национальный режим</w:t>
            </w:r>
            <w:r>
              <w:rPr>
                <w:b/>
                <w:bCs/>
                <w:sz w:val="24"/>
                <w:szCs w:val="24"/>
              </w:rPr>
              <w:t xml:space="preserve"> (1875)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7337" w:type="dxa"/>
            <w:textDirection w:val="lrTb"/>
            <w:noWrap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Таблица применения Постановле</w:t>
            </w:r>
            <w:r>
              <w:rPr>
                <w:sz w:val="24"/>
                <w:szCs w:val="24"/>
              </w:rPr>
              <w:t xml:space="preserve">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color w:val="ff0000"/>
                <w:sz w:val="24"/>
                <w:szCs w:val="24"/>
              </w:rPr>
              <w:t xml:space="preserve">Запрет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58" w:type="dxa"/>
            <w:textDirection w:val="lrTb"/>
            <w:noWrap/>
          </w:tcPr>
          <w:p>
            <w:pPr>
              <w:pStyle w:val="699"/>
              <w:numPr>
                <w:ilvl w:val="0"/>
                <w:numId w:val="7"/>
              </w:numPr>
              <w:ind w:left="470" w:hanging="357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14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Место оказания  у⁠﻿‌‍‌⁠﻿⁠​‍﻿﻿‍‌‍‌⁠﻿‌​​﻿‌‍‌‌⁠‌‌⁠​⁠‍‌‍﻿⁠​‌⁠​﻿‍‌слуг: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7337" w:type="dxa"/>
            <w:textDirection w:val="lrTb"/>
            <w:noWrap/>
          </w:tcPr>
          <w:p>
            <w:pPr>
              <w:ind w:left="31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Ямало-Ненецкий автономный округ, город Салехард, улица Республики д. 62.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58" w:type="dxa"/>
            <w:textDirection w:val="lrTb"/>
            <w:noWrap/>
          </w:tcPr>
          <w:p>
            <w:pPr>
              <w:pStyle w:val="699"/>
              <w:numPr>
                <w:ilvl w:val="0"/>
                <w:numId w:val="7"/>
              </w:numPr>
              <w:ind w:left="470" w:hanging="357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144" w:type="dxa"/>
            <w:textDirection w:val="lrTb"/>
            <w:noWrap/>
          </w:tcPr>
          <w:p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Срок оказания услуг: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7337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/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 момента заключения </w:t>
            </w:r>
            <w:r>
              <w:rPr>
                <w:sz w:val="24"/>
                <w:szCs w:val="24"/>
              </w:rPr>
              <w:t xml:space="preserve">договора</w:t>
            </w:r>
            <w:r>
              <w:rPr>
                <w:sz w:val="24"/>
                <w:szCs w:val="24"/>
              </w:rPr>
              <w:t xml:space="preserve"> 12 месяцев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ind w:left="31" w:firstLine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поставку экземпляров справочной системы Консультант Плюс в течение 5 рабочих дней </w:t>
            </w:r>
            <w:r>
              <w:rPr>
                <w:sz w:val="24"/>
                <w:szCs w:val="24"/>
              </w:rPr>
              <w:t xml:space="preserve">с момента заключения договора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58" w:type="dxa"/>
            <w:textDirection w:val="lrTb"/>
            <w:noWrap/>
          </w:tcPr>
          <w:p>
            <w:pPr>
              <w:pStyle w:val="699"/>
              <w:numPr>
                <w:ilvl w:val="0"/>
                <w:numId w:val="7"/>
              </w:numPr>
              <w:ind w:left="470" w:hanging="357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144" w:type="dxa"/>
            <w:textDirection w:val="lrTb"/>
            <w:noWrap/>
          </w:tcPr>
          <w:p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Объем оказываемых услуг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7337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/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 адаптации и сопровождению экземпляров Систем КонсультантПлюс (СПС Консультант Бюджетные организации смарт-комплект Оптимальный)</w:t>
            </w:r>
            <w:r>
              <w:rPr>
                <w:sz w:val="24"/>
                <w:szCs w:val="24"/>
              </w:rPr>
              <w:t xml:space="preserve">: не менее </w:t>
            </w: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  <w:t xml:space="preserve">ев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/>
          </w:tcPr>
          <w:p>
            <w:pPr>
              <w:pStyle w:val="699"/>
              <w:numPr>
                <w:ilvl w:val="0"/>
                <w:numId w:val="7"/>
              </w:numPr>
              <w:ind w:left="470" w:hanging="357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144" w:type="dxa"/>
            <w:textDirection w:val="lrTb"/>
            <w:noWrap/>
          </w:tcPr>
          <w:p>
            <w:pPr>
              <w:pStyle w:val="909"/>
              <w:ind w:left="0"/>
              <w:jc w:val="center"/>
              <w:spacing w:line="235" w:lineRule="exact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Тип</w:t>
            </w:r>
            <w:r>
              <w:rPr>
                <w:b/>
                <w:bCs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систем</w:t>
            </w:r>
            <w:r>
              <w:rPr>
                <w:b/>
                <w:bCs/>
                <w:spacing w:val="-10"/>
                <w:sz w:val="24"/>
                <w:szCs w:val="24"/>
                <w:highlight w:val="white"/>
              </w:rPr>
              <w:t xml:space="preserve">,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количество одновременных доступов (ОД)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7337" w:type="dxa"/>
            <w:textDirection w:val="lrTb"/>
            <w:noWrap/>
          </w:tcPr>
          <w:p>
            <w:pPr>
              <w:pStyle w:val="909"/>
              <w:ind w:left="31" w:right="4"/>
              <w:spacing w:line="233" w:lineRule="exac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ОВМ</w:t>
            </w:r>
            <w:r>
              <w:rPr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1+1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(до</w:t>
            </w:r>
            <w:r>
              <w:rPr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УЗ,1</w:t>
            </w:r>
            <w:r>
              <w:rPr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ОД+1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spacing w:val="-10"/>
                <w:sz w:val="24"/>
                <w:szCs w:val="24"/>
                <w:highlight w:val="white"/>
              </w:rPr>
              <w:t xml:space="preserve">в </w:t>
            </w:r>
            <w:r>
              <w:rPr>
                <w:sz w:val="24"/>
                <w:szCs w:val="24"/>
                <w:highlight w:val="white"/>
              </w:rPr>
              <w:t xml:space="preserve">приоритете,</w:t>
            </w:r>
            <w:r>
              <w:rPr>
                <w:spacing w:val="-5"/>
                <w:sz w:val="24"/>
                <w:szCs w:val="24"/>
                <w:highlight w:val="white"/>
              </w:rPr>
              <w:t xml:space="preserve">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мобильные </w:t>
            </w:r>
            <w:r>
              <w:rPr>
                <w:sz w:val="24"/>
                <w:szCs w:val="24"/>
                <w:highlight w:val="white"/>
              </w:rPr>
              <w:t xml:space="preserve">приложения</w:t>
            </w:r>
            <w:r>
              <w:rPr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pacing w:val="-5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локальный</w:t>
            </w:r>
            <w:r>
              <w:rPr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доступ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spacing w:val="-5"/>
                <w:sz w:val="24"/>
                <w:szCs w:val="24"/>
                <w:highlight w:val="white"/>
              </w:rPr>
              <w:t xml:space="preserve">на компьютер)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/>
          </w:tcPr>
          <w:p>
            <w:pPr>
              <w:pStyle w:val="699"/>
              <w:numPr>
                <w:ilvl w:val="0"/>
                <w:numId w:val="7"/>
              </w:numPr>
              <w:ind w:left="470" w:hanging="357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144" w:type="dxa"/>
            <w:textDirection w:val="lrTb"/>
            <w:noWrap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Технические требования к оказываемым услугам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337" w:type="dxa"/>
            <w:textDirection w:val="lrTb"/>
            <w:noWrap/>
          </w:tcPr>
          <w:p>
            <w:pPr>
              <w:ind w:left="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услуг должно предусматривать: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адаптацию (установку, тестирование, регистрацию</w:t>
            </w:r>
            <w:r>
              <w:rPr>
                <w:sz w:val="24"/>
                <w:szCs w:val="24"/>
              </w:rPr>
              <w:t xml:space="preserve">, формирование в комплекты, внесение других изменений, необходимых для работоспособности на оборудовании Заказчика) экземпляров Систем.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сопровождение экземпляров Систем, в т.ч.:</w:t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31"/>
              <w:jc w:val="both"/>
              <w:rPr>
                <w:rStyle w:val="90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передачу</w:t>
            </w:r>
            <w:r>
              <w:rPr>
                <w:rStyle w:val="908"/>
                <w:sz w:val="24"/>
                <w:szCs w:val="24"/>
              </w:rPr>
              <w:t xml:space="preserve"> заказчику актуальной информации (актуальных наборов текстовой инфо</w:t>
            </w:r>
            <w:r>
              <w:rPr>
                <w:rStyle w:val="908"/>
                <w:sz w:val="24"/>
                <w:szCs w:val="24"/>
              </w:rPr>
              <w:t xml:space="preserve">рмации</w:t>
            </w:r>
            <w:bookmarkStart w:id="0" w:name="_Hlk69347340"/>
            <w:r>
              <w:rPr>
                <w:sz w:val="24"/>
                <w:szCs w:val="24"/>
              </w:rPr>
              <w:t xml:space="preserve">, адаптированных к имеющимся у Заказчика экземплярам </w:t>
            </w:r>
            <w:bookmarkEnd w:id="0"/>
            <w:r>
              <w:rPr>
                <w:rStyle w:val="908"/>
                <w:sz w:val="24"/>
                <w:szCs w:val="24"/>
              </w:rPr>
              <w:t xml:space="preserve">Систем КонсультантПлюс); возможность ежедневного обновления информационных банков по телекоммуникационным сетям;</w:t>
            </w:r>
            <w:r>
              <w:rPr>
                <w:rStyle w:val="908"/>
                <w:sz w:val="24"/>
                <w:szCs w:val="24"/>
              </w:rPr>
            </w:r>
          </w:p>
          <w:p>
            <w:pPr>
              <w:contextualSpacing/>
              <w:ind w:left="31"/>
              <w:jc w:val="both"/>
              <w:rPr>
                <w:sz w:val="24"/>
                <w:szCs w:val="24"/>
              </w:rPr>
            </w:pPr>
            <w:r>
              <w:rPr>
                <w:rStyle w:val="908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техническую про</w:t>
            </w:r>
            <w:r>
              <w:rPr>
                <w:sz w:val="24"/>
                <w:szCs w:val="24"/>
              </w:rPr>
              <w:t xml:space="preserve">филактику работоспособности Систем КонсультантПлюс и восстановление работоспособности Систем КонсультантПлюс в случаях сбоев компьютерного оборудования после их устранения заказчиком </w:t>
            </w:r>
            <w:bookmarkStart w:id="1" w:name="_Hlk69347373"/>
            <w:r>
              <w:rPr>
                <w:sz w:val="24"/>
                <w:szCs w:val="24"/>
              </w:rPr>
              <w:t xml:space="preserve">(тестирование, переустановка)</w:t>
            </w:r>
            <w:bookmarkEnd w:id="1"/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дополнительной информации</w:t>
            </w:r>
            <w:r>
              <w:rPr>
                <w:sz w:val="24"/>
                <w:szCs w:val="24"/>
              </w:rPr>
              <w:t xml:space="preserve"> и возможностей, состав которых определяется исполнителем;</w:t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мониторинг данных об использовании Систем КонсультантПлюс с целью предотвращения их противоправного и контрафактного использования, а также замедления работы;</w:t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консультирование по работе с Систе</w:t>
            </w:r>
            <w:r>
              <w:rPr>
                <w:sz w:val="24"/>
                <w:szCs w:val="24"/>
              </w:rPr>
              <w:t xml:space="preserve">мами КонсультантПлюс, в т.ч. обучение заказчика работе с этими Системами по методикам Сети КонсультантПлюс с возможностью получения специального сертификата об обучении;</w:t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возможности получения заказчиком консультаций по работе экземпляров С</w:t>
            </w:r>
            <w:r>
              <w:rPr>
                <w:sz w:val="24"/>
                <w:szCs w:val="24"/>
              </w:rPr>
              <w:t xml:space="preserve">истем КонсультантПлюс по телефону, по электронной почте, через специальные сервисы и базы данных либо в офисе исполнителя;</w:t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другой информации и материалов по СПС КонсультантПлюс.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/>
          </w:tcPr>
          <w:p>
            <w:pPr>
              <w:pStyle w:val="699"/>
              <w:numPr>
                <w:ilvl w:val="0"/>
                <w:numId w:val="7"/>
              </w:numPr>
              <w:ind w:left="470" w:hanging="357"/>
              <w:jc w:val="center"/>
              <w:rPr>
                <w:rFonts w:eastAsia="Calibri"/>
                <w:highlight w:val="white"/>
                <w:lang w:val="en-US"/>
              </w:rPr>
            </w:pPr>
            <w:r>
              <w:rPr>
                <w:rFonts w:eastAsia="Calibri"/>
                <w:highlight w:val="white"/>
                <w:lang w:val="en-US"/>
              </w:rPr>
            </w:r>
            <w:r>
              <w:rPr>
                <w:rFonts w:eastAsia="Calibri"/>
                <w:highlight w:val="white"/>
                <w:lang w:val="en-US"/>
              </w:rPr>
            </w:r>
          </w:p>
        </w:tc>
        <w:tc>
          <w:tcPr>
            <w:tcW w:w="2144" w:type="dxa"/>
            <w:textDirection w:val="lrTb"/>
            <w:noWrap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качеству оказываемых услуг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337" w:type="dxa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/>
              <w:ind w:left="31" w:firstLine="0"/>
              <w:jc w:val="both"/>
              <w:tabs>
                <w:tab w:val="left" w:pos="142" w:leader="none"/>
              </w:tabs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Участник закупки 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(исполнитель) обязан предоставить заказчику документы, подтверждающие наличие у участника закупки (исполнителя) необходимых прав на использование технологий и иных результатов интеллектуальной деятельности, и, в частности, копию Лицензионного соглашения, п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одтверждающего, что специальное программное обеспечение, предназначенное участником закупки (используемое исполнителем) для оказания заказчику услуг по адаптации и сопровождению, полностью совместимо с переданными заказчику экземплярами Систем КонсультантП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люс </w:t>
            </w:r>
            <w:r>
              <w:rPr>
                <w:bCs/>
                <w:sz w:val="24"/>
                <w:szCs w:val="24"/>
              </w:rPr>
              <w:t xml:space="preserve">(в том числе специальной копией Системы КонсультантПлюс)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.</w:t>
            </w:r>
            <w:r>
              <w:rPr>
                <w:bCs/>
                <w:iCs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/>
          </w:tcPr>
          <w:p>
            <w:pPr>
              <w:pStyle w:val="699"/>
              <w:numPr>
                <w:ilvl w:val="0"/>
                <w:numId w:val="7"/>
              </w:numPr>
              <w:ind w:left="470" w:hanging="357"/>
              <w:jc w:val="center"/>
              <w:rPr>
                <w:rFonts w:eastAsia="Calibri"/>
                <w:highlight w:val="white"/>
                <w:lang w:val="en-US"/>
              </w:rPr>
            </w:pPr>
            <w:r>
              <w:rPr>
                <w:rFonts w:eastAsia="Calibri"/>
                <w:highlight w:val="white"/>
                <w:lang w:val="en-US"/>
              </w:rPr>
            </w:r>
            <w:r>
              <w:rPr>
                <w:rFonts w:eastAsia="Calibri"/>
                <w:highlight w:val="white"/>
                <w:lang w:val="en-US"/>
              </w:rPr>
            </w:r>
          </w:p>
        </w:tc>
        <w:tc>
          <w:tcPr>
            <w:tcW w:w="2144" w:type="dxa"/>
            <w:textDirection w:val="lrTb"/>
            <w:noWrap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функционалу Системы Консультант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Плюс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337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поиска, резу</w:t>
            </w:r>
            <w:r>
              <w:rPr>
                <w:sz w:val="24"/>
                <w:szCs w:val="24"/>
              </w:rPr>
              <w:t xml:space="preserve">льтат которого представлен в виде единого списка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поиска, результат которого представлен в виде дерева-списка, в котором отражено точное количество найденных документов по каждому разделу и информационному банку.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поиска по тексту и названию документа с формулированием запроса как</w:t>
            </w:r>
            <w:r>
              <w:rPr>
                <w:sz w:val="24"/>
                <w:szCs w:val="24"/>
              </w:rPr>
              <w:t xml:space="preserve">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условий).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специальных карточек реквизитов, адаптированных для поиска</w:t>
            </w:r>
            <w:r>
              <w:rPr>
                <w:sz w:val="24"/>
                <w:szCs w:val="24"/>
              </w:rPr>
              <w:t xml:space="preserve"> конкретных типов информации (содержание специфических для этого типа информации реквизитов);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поиска с помощью самонастраивающихся словарей.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контекстного поиска по списку найденных документов, в том числе с многократным уточнением з</w:t>
            </w:r>
            <w:r>
              <w:rPr>
                <w:sz w:val="24"/>
                <w:szCs w:val="24"/>
              </w:rPr>
              <w:t xml:space="preserve">апроса.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информации о статусе документа: утратил силу или отменен, не вступил в силу; все акты, кроме утративших силу, отменённых и не вступивших в силу.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Ссылки из всех документов (включая судебные решения и авторские материалы) на другие документы </w:t>
            </w:r>
            <w:r>
              <w:rPr>
                <w:sz w:val="24"/>
                <w:szCs w:val="24"/>
              </w:rPr>
              <w:t xml:space="preserve">по умолчанию должны вести в те редакции других документов, которые были актуальны на момент подготовки или принятия исходного документа (судебного решения, авторского материала).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Связи между документами оформляются в отдельный список, в котором могут быть </w:t>
            </w:r>
            <w:r>
              <w:rPr>
                <w:sz w:val="24"/>
                <w:szCs w:val="24"/>
              </w:rPr>
              <w:t xml:space="preserve">разделы:</w:t>
            </w:r>
            <w:r>
              <w:rPr>
                <w:sz w:val="24"/>
                <w:szCs w:val="24"/>
              </w:rPr>
            </w:r>
          </w:p>
          <w:p>
            <w:pPr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содержит дополнительную информацию о следующих документах;</w:t>
            </w:r>
            <w:r>
              <w:rPr>
                <w:sz w:val="24"/>
                <w:szCs w:val="24"/>
              </w:rPr>
            </w:r>
          </w:p>
          <w:p>
            <w:pPr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упоминает следующий документ;</w:t>
            </w:r>
            <w:r>
              <w:rPr>
                <w:sz w:val="24"/>
                <w:szCs w:val="24"/>
              </w:rPr>
            </w:r>
          </w:p>
          <w:p>
            <w:pPr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упоминается в следующем документе;</w:t>
            </w:r>
            <w:r>
              <w:rPr>
                <w:sz w:val="24"/>
                <w:szCs w:val="24"/>
              </w:rPr>
            </w:r>
          </w:p>
          <w:p>
            <w:pPr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разъяснен следующим документом;</w:t>
            </w:r>
            <w:r>
              <w:rPr>
                <w:sz w:val="24"/>
                <w:szCs w:val="24"/>
              </w:rPr>
            </w:r>
          </w:p>
          <w:p>
            <w:pPr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действие изменено следующим документом;</w:t>
            </w:r>
            <w:r>
              <w:rPr>
                <w:sz w:val="24"/>
                <w:szCs w:val="24"/>
              </w:rPr>
            </w:r>
          </w:p>
          <w:p>
            <w:pPr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дан в редакции следующего документа;</w:t>
            </w:r>
            <w:r>
              <w:rPr>
                <w:sz w:val="24"/>
                <w:szCs w:val="24"/>
              </w:rPr>
            </w:r>
          </w:p>
          <w:p>
            <w:pPr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изменен следующим документом;</w:t>
            </w:r>
            <w:r>
              <w:rPr>
                <w:sz w:val="24"/>
                <w:szCs w:val="24"/>
              </w:rPr>
            </w:r>
          </w:p>
          <w:p>
            <w:pPr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дополнительную информацию смотрите в следующих документах.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Системе представляется инструментарий для сравнения редакций документа, включая недействующие.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Предусмотрена возможность получения редакции документа на конкретную</w:t>
            </w:r>
            <w:r>
              <w:rPr>
                <w:sz w:val="24"/>
                <w:szCs w:val="24"/>
              </w:rPr>
              <w:t xml:space="preserve"> дату с указанием диапазона действия редакции.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документам, имеющим структуру, содержится структурированное интерактивное оглавление с возможностью поиска встречающихся слов в наименованиях структурных частей документа.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ознакомиться с изменени</w:t>
            </w:r>
            <w:r>
              <w:rPr>
                <w:sz w:val="24"/>
                <w:szCs w:val="24"/>
              </w:rPr>
              <w:t xml:space="preserve">ями в законодательстве с помощью аналитических обзоров.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функционала «История рассмотрения дела» для арбитражных дел.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справочной информации (календари; формы, утвержденные законодательно; курсы валют; процентные ставки; расчетные индикатор</w:t>
            </w:r>
            <w:r>
              <w:rPr>
                <w:sz w:val="24"/>
                <w:szCs w:val="24"/>
              </w:rPr>
              <w:t xml:space="preserve">ы и прочее).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сохранения результатов работы с помощью истории запросов, папок и закладок пользователя.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обмена результатами работы («папки», «закладки») между пользователями.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отслеживания информации о внесении изменений в документы (в т.ч. редакции документов), определенные пользователем, в Системе предусмотрена возможность постановки этих д</w:t>
            </w:r>
            <w:r>
              <w:rPr>
                <w:sz w:val="24"/>
                <w:szCs w:val="24"/>
              </w:rPr>
              <w:t xml:space="preserve">окументов на контроль. При этом пользователь информируется об изменении документа и о типе этого изменения (создана новая редакция, документ утратил силу и т.д.) непосредственно в Системе.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сопровождения пользователями текстов, входящих в Систем</w:t>
            </w:r>
            <w:r>
              <w:rPr>
                <w:sz w:val="24"/>
                <w:szCs w:val="24"/>
              </w:rPr>
              <w:t xml:space="preserve">у, своими комментариями.  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аналитических материалов (Путеводителей), которые раскрывают тему в одном документе. Путеводители должны содержать: ссылки на нормативные акты, судебную практику, консультации экспертов, примеры и ситуации из практики, о</w:t>
            </w:r>
            <w:r>
              <w:rPr>
                <w:sz w:val="24"/>
                <w:szCs w:val="24"/>
              </w:rPr>
              <w:t xml:space="preserve">бразцы заполнения форм документов, сами формы с инструкциями по заполнению.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экспорта (сохранения) выбранного документа, фрагмента документа или списка документов в файл текстового формата или формата *.</w:t>
            </w:r>
            <w:r>
              <w:rPr>
                <w:sz w:val="24"/>
                <w:szCs w:val="24"/>
              </w:rPr>
              <w:t xml:space="preserve">pdf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информации об ошибках и опеча</w:t>
            </w:r>
            <w:r>
              <w:rPr>
                <w:sz w:val="24"/>
                <w:szCs w:val="24"/>
              </w:rPr>
              <w:t xml:space="preserve">тках в оригиналах нормативно-правовых актов и консультационных материалах.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словаря финансовых и юридических терминов, определения которых даны в нормативно-правовых актах.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Названия ведомств могут отображаться как в полном, так и в сокращенном виде.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изменения размера шрифта в соответствии с предпочтениями пользователя.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ind w:left="3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системы помощи.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09"/>
              <w:numPr>
                <w:ilvl w:val="0"/>
                <w:numId w:val="5"/>
              </w:numPr>
              <w:ind w:left="31" w:right="575" w:firstLine="0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СС Изменения в регулировании госзакупок </w:t>
            </w:r>
            <w:r>
              <w:rPr>
                <w:sz w:val="24"/>
                <w:szCs w:val="24"/>
                <w:highlight w:val="white"/>
              </w:rPr>
              <w:t xml:space="preserve">Российское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законодательство (расширенная версия),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5"/>
              </w:numPr>
              <w:ind w:left="31" w:right="110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Решения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госорганов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спорным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ситуациям,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5"/>
              </w:numPr>
              <w:ind w:left="31" w:right="110" w:firstLine="0"/>
              <w:spacing w:before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Региональный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вы</w:t>
            </w:r>
            <w:r>
              <w:rPr>
                <w:sz w:val="24"/>
                <w:szCs w:val="24"/>
                <w:highlight w:val="white"/>
              </w:rPr>
              <w:t xml:space="preserve">пуск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ЯНАО, ХМАО, Тюменская </w:t>
            </w:r>
            <w:r>
              <w:rPr>
                <w:sz w:val="24"/>
                <w:szCs w:val="24"/>
                <w:highlight w:val="white"/>
              </w:rPr>
              <w:t xml:space="preserve">обл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5"/>
              </w:numPr>
              <w:ind w:left="31" w:right="218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Эксперт-приложение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(бюджетные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организации),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5"/>
              </w:numPr>
              <w:ind w:left="31" w:right="110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Правовые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позиции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высших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судов, Решения высших судов,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5"/>
              </w:numPr>
              <w:ind w:left="31" w:right="110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Суд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интеллектуальным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правам, Арбитражный суд округа, Арбитражный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апелляционный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суд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региона,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5"/>
              </w:numPr>
              <w:ind w:left="31" w:right="277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Кассационный суд общей юрисдикции округа, </w:t>
            </w:r>
            <w:r>
              <w:rPr>
                <w:sz w:val="24"/>
                <w:szCs w:val="24"/>
                <w:highlight w:val="white"/>
              </w:rPr>
              <w:t xml:space="preserve">Супермассив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судебной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практики: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4"/>
              </w:numPr>
              <w:ind w:left="31" w:right="662" w:firstLine="0"/>
              <w:tabs>
                <w:tab w:val="left" w:pos="21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Арбитражные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суды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первой инстанции округа,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4"/>
              </w:numPr>
              <w:ind w:left="31" w:right="172" w:firstLine="0"/>
              <w:tabs>
                <w:tab w:val="left" w:pos="21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Определения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арбитражных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судов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округа,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4"/>
              </w:numPr>
              <w:ind w:left="31" w:right="542" w:firstLine="0"/>
              <w:spacing w:before="1"/>
              <w:tabs>
                <w:tab w:val="left" w:pos="21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Областные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районные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суды общей юрисдикции одного кассационного округа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right="542" w:firstLine="0"/>
              <w:spacing w:before="1"/>
              <w:tabs>
                <w:tab w:val="left" w:pos="21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Путеводитель по кадровым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вопрос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ам,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right="110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Разъясняющие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письма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органов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власти,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right="110" w:firstLine="0"/>
              <w:spacing w:before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Подборки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консультации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Горячей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линии,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right="227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Путеводитель по бюджетному учету и налогам,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right="229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Разъясняющие письма органов власти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(бюджетные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организации), Вопросы-ответы (бюджетные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организации),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right="577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Корреспонденция счетов (бюджетные организации), Пресса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книги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(бюджетные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организации),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right="110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Путеводитель по контрактной системе в сфере закупок, Путеводитель</w:t>
            </w:r>
            <w:r>
              <w:rPr>
                <w:spacing w:val="-1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</w:t>
            </w:r>
            <w:r>
              <w:rPr>
                <w:spacing w:val="-9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спорам</w:t>
            </w:r>
            <w:r>
              <w:rPr>
                <w:spacing w:val="-9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spacing w:val="-1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сфере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закупок,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Постатейные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комментарии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книги, Юридическая пресса,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right="227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Деловые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бумаги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(базовая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версия), Законопроекты (базовая версия), Проекты нормативных правовых актов (базовая версия), Конструктор договоров, Конструктор учетной политики,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Калькуляторы,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right="577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ОКПД2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поиск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особенностей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закупок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right="227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Архив</w:t>
            </w:r>
            <w:r>
              <w:rPr>
                <w:spacing w:val="-1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решен</w:t>
            </w:r>
            <w:r>
              <w:rPr>
                <w:sz w:val="24"/>
                <w:szCs w:val="24"/>
                <w:highlight w:val="white"/>
              </w:rPr>
              <w:t xml:space="preserve">ий</w:t>
            </w:r>
            <w:r>
              <w:rPr>
                <w:spacing w:val="-1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ФАС</w:t>
            </w:r>
            <w:r>
              <w:rPr>
                <w:spacing w:val="-1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pacing w:val="-1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УФАС, Архив решений арбитражных судов первой инстанции,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right="110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Архив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определений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арбитражных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судов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right="110" w:firstLine="0"/>
              <w:spacing w:before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Архив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решений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судов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общей </w:t>
            </w:r>
            <w:r>
              <w:rPr>
                <w:spacing w:val="-2"/>
                <w:sz w:val="24"/>
                <w:szCs w:val="24"/>
                <w:highlight w:val="white"/>
              </w:rPr>
              <w:t xml:space="preserve">юрисдикции,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09"/>
              <w:numPr>
                <w:ilvl w:val="0"/>
                <w:numId w:val="6"/>
              </w:numPr>
              <w:ind w:left="31" w:right="110"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Архив решений мировых судей, Архив</w:t>
            </w:r>
            <w:r>
              <w:rPr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документов</w:t>
            </w:r>
            <w:r>
              <w:rPr>
                <w:spacing w:val="-1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муниципальных образований</w:t>
            </w:r>
            <w:r>
              <w:rPr>
                <w:spacing w:val="-4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субъектов</w:t>
            </w:r>
            <w:r>
              <w:rPr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spacing w:val="-5"/>
                <w:sz w:val="24"/>
                <w:szCs w:val="24"/>
                <w:highlight w:val="white"/>
              </w:rPr>
              <w:t xml:space="preserve">РФ</w:t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oddPage"/>
      <w:pgSz w:w="11906" w:h="16838" w:orient="portrait"/>
      <w:pgMar w:top="567" w:right="707" w:bottom="1135" w:left="1276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GaramondC">
    <w:panose1 w:val="020B0606020202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16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3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5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7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9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1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3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5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7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2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86" w:hanging="10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673" w:hanging="10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959" w:hanging="10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246" w:hanging="10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33" w:hanging="10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819" w:hanging="10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106" w:hanging="10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392" w:hanging="10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16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3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5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7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9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1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3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5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76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6">
    <w:name w:val="Caption"/>
    <w:basedOn w:val="667"/>
    <w:next w:val="667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67" w:default="1">
    <w:name w:val="Normal"/>
    <w:qFormat/>
    <w:rPr>
      <w:lang w:eastAsia="ru-RU"/>
    </w:rPr>
  </w:style>
  <w:style w:type="paragraph" w:styleId="668">
    <w:name w:val="Heading 1"/>
    <w:basedOn w:val="667"/>
    <w:next w:val="667"/>
    <w:qFormat/>
    <w:pPr>
      <w:keepNext/>
      <w:outlineLvl w:val="0"/>
    </w:pPr>
    <w:rPr>
      <w:b/>
    </w:rPr>
  </w:style>
  <w:style w:type="paragraph" w:styleId="669">
    <w:name w:val="Heading 2"/>
    <w:basedOn w:val="667"/>
    <w:next w:val="667"/>
    <w:qFormat/>
    <w:pPr>
      <w:ind w:left="-180"/>
      <w:keepNext/>
      <w:outlineLvl w:val="1"/>
    </w:pPr>
    <w:rPr>
      <w:b/>
    </w:rPr>
  </w:style>
  <w:style w:type="paragraph" w:styleId="670">
    <w:name w:val="Heading 3"/>
    <w:basedOn w:val="667"/>
    <w:next w:val="667"/>
    <w:qFormat/>
    <w:pPr>
      <w:ind w:right="-1"/>
      <w:jc w:val="center"/>
      <w:keepNext/>
      <w:pBdr>
        <w:top w:val="single" w:color="FFFFFF" w:sz="6" w:space="1"/>
        <w:left w:val="single" w:color="FFFFFF" w:sz="6" w:space="1"/>
        <w:bottom w:val="single" w:color="FFFFFF" w:sz="6" w:space="1"/>
        <w:right w:val="single" w:color="FFFFFF" w:sz="6" w:space="1"/>
      </w:pBdr>
      <w:outlineLvl w:val="2"/>
    </w:pPr>
    <w:rPr>
      <w:sz w:val="26"/>
    </w:rPr>
  </w:style>
  <w:style w:type="paragraph" w:styleId="671">
    <w:name w:val="Heading 4"/>
    <w:basedOn w:val="667"/>
    <w:next w:val="667"/>
    <w:qFormat/>
    <w:pPr>
      <w:keepNext/>
      <w:outlineLvl w:val="3"/>
    </w:pPr>
    <w:rPr>
      <w:sz w:val="24"/>
    </w:rPr>
  </w:style>
  <w:style w:type="paragraph" w:styleId="672">
    <w:name w:val="Heading 5"/>
    <w:basedOn w:val="667"/>
    <w:next w:val="667"/>
    <w:qFormat/>
    <w:pPr>
      <w:jc w:val="center"/>
      <w:keepNext/>
      <w:outlineLvl w:val="4"/>
    </w:pPr>
    <w:rPr>
      <w:sz w:val="26"/>
    </w:rPr>
  </w:style>
  <w:style w:type="paragraph" w:styleId="673">
    <w:name w:val="Heading 6"/>
    <w:basedOn w:val="667"/>
    <w:next w:val="667"/>
    <w:qFormat/>
    <w:pPr>
      <w:jc w:val="center"/>
      <w:keepNext/>
      <w:spacing w:after="120"/>
      <w:outlineLvl w:val="5"/>
    </w:pPr>
    <w:rPr>
      <w:bCs/>
      <w:sz w:val="24"/>
      <w:u w:val="single"/>
    </w:rPr>
  </w:style>
  <w:style w:type="paragraph" w:styleId="674">
    <w:name w:val="Heading 7"/>
    <w:basedOn w:val="667"/>
    <w:next w:val="667"/>
    <w:qFormat/>
    <w:pPr>
      <w:ind w:left="72" w:hanging="72"/>
      <w:jc w:val="center"/>
      <w:keepNext/>
      <w:outlineLvl w:val="6"/>
    </w:pPr>
    <w:rPr>
      <w:b/>
      <w:sz w:val="14"/>
      <w:lang w:val="en-US"/>
    </w:rPr>
  </w:style>
  <w:style w:type="paragraph" w:styleId="675">
    <w:name w:val="Heading 8"/>
    <w:basedOn w:val="667"/>
    <w:next w:val="667"/>
    <w:qFormat/>
    <w:pPr>
      <w:jc w:val="center"/>
      <w:keepNext/>
      <w:outlineLvl w:val="7"/>
    </w:pPr>
    <w:rPr>
      <w:b/>
      <w:sz w:val="16"/>
      <w:lang w:val="en-US"/>
    </w:rPr>
  </w:style>
  <w:style w:type="paragraph" w:styleId="676">
    <w:name w:val="Heading 9"/>
    <w:basedOn w:val="667"/>
    <w:next w:val="667"/>
    <w:qFormat/>
    <w:pPr>
      <w:jc w:val="center"/>
      <w:keepNext/>
      <w:outlineLvl w:val="8"/>
    </w:pPr>
    <w:rPr>
      <w:b/>
      <w:lang w:val="en-US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Subtitle Char"/>
    <w:basedOn w:val="677"/>
    <w:uiPriority w:val="11"/>
    <w:rPr>
      <w:sz w:val="24"/>
      <w:szCs w:val="24"/>
    </w:rPr>
  </w:style>
  <w:style w:type="paragraph" w:styleId="681" w:customStyle="1">
    <w:name w:val="Заголовок 11"/>
    <w:basedOn w:val="667"/>
    <w:next w:val="667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 w:customStyle="1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 w:customStyle="1">
    <w:name w:val="Заголовок 21"/>
    <w:basedOn w:val="667"/>
    <w:next w:val="667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 w:customStyle="1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 w:customStyle="1">
    <w:name w:val="Заголовок 31"/>
    <w:basedOn w:val="667"/>
    <w:next w:val="667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 w:customStyle="1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 w:customStyle="1">
    <w:name w:val="Заголовок 41"/>
    <w:basedOn w:val="667"/>
    <w:next w:val="667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 w:customStyle="1">
    <w:name w:val="Заголовок 51"/>
    <w:basedOn w:val="667"/>
    <w:next w:val="667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 w:customStyle="1">
    <w:name w:val="Заголовок 61"/>
    <w:basedOn w:val="667"/>
    <w:next w:val="667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 w:customStyle="1">
    <w:name w:val="Заголовок 71"/>
    <w:basedOn w:val="667"/>
    <w:next w:val="667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 w:customStyle="1">
    <w:name w:val="Заголовок 81"/>
    <w:basedOn w:val="667"/>
    <w:next w:val="667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 w:customStyle="1">
    <w:name w:val="Заголовок 91"/>
    <w:basedOn w:val="667"/>
    <w:next w:val="66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67"/>
    <w:uiPriority w:val="34"/>
    <w:qFormat/>
    <w:pPr>
      <w:contextualSpacing/>
      <w:ind w:left="720"/>
    </w:pPr>
    <w:rPr>
      <w:sz w:val="24"/>
      <w:szCs w:val="24"/>
    </w:rPr>
  </w:style>
  <w:style w:type="paragraph" w:styleId="700">
    <w:name w:val="No Spacing"/>
    <w:uiPriority w:val="1"/>
    <w:qFormat/>
    <w:rPr>
      <w:lang w:eastAsia="ru-RU"/>
    </w:rPr>
  </w:style>
  <w:style w:type="paragraph" w:styleId="701">
    <w:name w:val="Title"/>
    <w:basedOn w:val="667"/>
    <w:link w:val="896"/>
    <w:uiPriority w:val="99"/>
    <w:qFormat/>
    <w:pPr>
      <w:jc w:val="center"/>
    </w:pPr>
    <w:rPr>
      <w:b/>
      <w:sz w:val="28"/>
      <w:lang w:val="en-US" w:eastAsia="en-US"/>
    </w:rPr>
  </w:style>
  <w:style w:type="character" w:styleId="702" w:customStyle="1">
    <w:name w:val="Title Char"/>
    <w:uiPriority w:val="10"/>
    <w:rPr>
      <w:sz w:val="48"/>
      <w:szCs w:val="48"/>
    </w:rPr>
  </w:style>
  <w:style w:type="paragraph" w:styleId="703">
    <w:name w:val="Subtitle"/>
    <w:basedOn w:val="667"/>
    <w:link w:val="704"/>
    <w:qFormat/>
    <w:pPr>
      <w:jc w:val="center"/>
    </w:pPr>
    <w:rPr>
      <w:sz w:val="28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67"/>
    <w:next w:val="667"/>
    <w:link w:val="907"/>
    <w:uiPriority w:val="29"/>
    <w:qFormat/>
    <w:rPr>
      <w:i/>
      <w:iCs/>
      <w:color w:val="000000"/>
      <w:sz w:val="24"/>
      <w:szCs w:val="24"/>
      <w:lang w:val="en-US" w:eastAsia="en-US"/>
    </w:rPr>
  </w:style>
  <w:style w:type="character" w:styleId="706" w:customStyle="1">
    <w:name w:val="Quote Char"/>
    <w:uiPriority w:val="29"/>
    <w:rPr>
      <w:i/>
    </w:rPr>
  </w:style>
  <w:style w:type="paragraph" w:styleId="707">
    <w:name w:val="Intense Quote"/>
    <w:basedOn w:val="667"/>
    <w:next w:val="667"/>
    <w:link w:val="906"/>
    <w:uiPriority w:val="30"/>
    <w:qFormat/>
    <w:pPr>
      <w:ind w:left="936" w:right="936"/>
      <w:spacing w:before="200" w:after="280"/>
      <w:pBdr>
        <w:bottom w:val="single" w:color="4F81BD" w:sz="4" w:space="4"/>
      </w:pBdr>
    </w:pPr>
    <w:rPr>
      <w:b/>
      <w:bCs/>
      <w:i/>
      <w:iCs/>
      <w:color w:val="4f81bd"/>
      <w:sz w:val="24"/>
      <w:szCs w:val="24"/>
      <w:lang w:val="en-US" w:eastAsia="en-US"/>
    </w:rPr>
  </w:style>
  <w:style w:type="character" w:styleId="708" w:customStyle="1">
    <w:name w:val="Intense Quote Char"/>
    <w:uiPriority w:val="30"/>
    <w:rPr>
      <w:i/>
    </w:rPr>
  </w:style>
  <w:style w:type="paragraph" w:styleId="709" w:customStyle="1">
    <w:name w:val="Верхний колонтитул1"/>
    <w:basedOn w:val="667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0" w:customStyle="1">
    <w:name w:val="Header Char"/>
    <w:link w:val="709"/>
    <w:uiPriority w:val="99"/>
  </w:style>
  <w:style w:type="paragraph" w:styleId="711" w:customStyle="1">
    <w:name w:val="Нижний колонтитул1"/>
    <w:basedOn w:val="667"/>
    <w:link w:val="71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link w:val="711"/>
    <w:uiPriority w:val="99"/>
  </w:style>
  <w:style w:type="paragraph" w:styleId="713" w:customStyle="1">
    <w:name w:val="Название объекта1"/>
    <w:basedOn w:val="667"/>
    <w:next w:val="667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 w:customStyle="1">
    <w:name w:val="Caption Char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"/>
    <w:basedOn w:val="678"/>
    <w:tblPr/>
  </w:style>
  <w:style w:type="table" w:styleId="71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0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7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5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3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1">
    <w:name w:val="Hyperlink"/>
    <w:rPr>
      <w:color w:val="0000ff"/>
      <w:u w:val="single"/>
    </w:rPr>
  </w:style>
  <w:style w:type="paragraph" w:styleId="842">
    <w:name w:val="footnote text"/>
    <w:basedOn w:val="667"/>
    <w:link w:val="904"/>
    <w:uiPriority w:val="99"/>
  </w:style>
  <w:style w:type="character" w:styleId="843" w:customStyle="1">
    <w:name w:val="Footnote Text Char"/>
    <w:uiPriority w:val="99"/>
    <w:rPr>
      <w:sz w:val="18"/>
    </w:rPr>
  </w:style>
  <w:style w:type="character" w:styleId="844">
    <w:name w:val="footnote reference"/>
    <w:rPr>
      <w:vertAlign w:val="superscript"/>
    </w:rPr>
  </w:style>
  <w:style w:type="paragraph" w:styleId="845">
    <w:name w:val="endnote text"/>
    <w:basedOn w:val="667"/>
    <w:link w:val="903"/>
  </w:style>
  <w:style w:type="character" w:styleId="846" w:customStyle="1">
    <w:name w:val="Endnote Text Char"/>
    <w:uiPriority w:val="99"/>
    <w:rPr>
      <w:sz w:val="20"/>
    </w:rPr>
  </w:style>
  <w:style w:type="character" w:styleId="847">
    <w:name w:val="endnote reference"/>
    <w:rPr>
      <w:vertAlign w:val="superscript"/>
    </w:rPr>
  </w:style>
  <w:style w:type="paragraph" w:styleId="848">
    <w:name w:val="toc 1"/>
    <w:basedOn w:val="667"/>
    <w:next w:val="667"/>
    <w:uiPriority w:val="39"/>
    <w:unhideWhenUsed/>
    <w:pPr>
      <w:spacing w:after="57"/>
    </w:pPr>
  </w:style>
  <w:style w:type="paragraph" w:styleId="849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50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51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52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53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54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55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56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67"/>
    <w:next w:val="667"/>
    <w:uiPriority w:val="99"/>
    <w:unhideWhenUsed/>
  </w:style>
  <w:style w:type="paragraph" w:styleId="859">
    <w:name w:val="Body Text"/>
    <w:basedOn w:val="667"/>
    <w:link w:val="877"/>
    <w:pPr>
      <w:jc w:val="both"/>
    </w:pPr>
    <w:rPr>
      <w:sz w:val="24"/>
      <w:lang w:val="en-US" w:eastAsia="en-US"/>
    </w:rPr>
  </w:style>
  <w:style w:type="paragraph" w:styleId="860">
    <w:name w:val="Body Text Indent"/>
    <w:basedOn w:val="667"/>
    <w:link w:val="876"/>
    <w:pPr>
      <w:jc w:val="both"/>
    </w:pPr>
    <w:rPr>
      <w:sz w:val="26"/>
    </w:rPr>
  </w:style>
  <w:style w:type="paragraph" w:styleId="861">
    <w:name w:val="Balloon Text"/>
    <w:basedOn w:val="667"/>
    <w:semiHidden/>
    <w:rPr>
      <w:rFonts w:ascii="Tahoma" w:hAnsi="Tahoma" w:cs="Tahoma"/>
      <w:sz w:val="16"/>
      <w:szCs w:val="16"/>
    </w:rPr>
  </w:style>
  <w:style w:type="paragraph" w:styleId="862">
    <w:name w:val="Body Text 2"/>
    <w:basedOn w:val="667"/>
    <w:pPr>
      <w:jc w:val="center"/>
    </w:pPr>
    <w:rPr>
      <w:b/>
      <w:bCs/>
      <w:sz w:val="16"/>
    </w:rPr>
  </w:style>
  <w:style w:type="paragraph" w:styleId="863" w:customStyle="1">
    <w:name w:val="Знак Знак Знак Знак Знак Знак1 Знак Знак Знак Знак Знак Знак Знак Знак Знак Знак Знак Знак Знак"/>
    <w:basedOn w:val="667"/>
    <w:pPr>
      <w:spacing w:after="160" w:line="240" w:lineRule="exact"/>
    </w:pPr>
    <w:rPr>
      <w:rFonts w:ascii="Verdana" w:hAnsi="Verdana"/>
      <w:lang w:val="en-US" w:eastAsia="en-US"/>
    </w:rPr>
  </w:style>
  <w:style w:type="paragraph" w:styleId="864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865" w:customStyle="1">
    <w:name w:val="ConsPlusNormal"/>
    <w:link w:val="881"/>
    <w:uiPriority w:val="99"/>
    <w:pPr>
      <w:ind w:firstLine="720"/>
      <w:widowControl w:val="off"/>
    </w:pPr>
    <w:rPr>
      <w:rFonts w:ascii="Arial" w:hAnsi="Arial" w:cs="Arial"/>
      <w:lang w:eastAsia="ru-RU"/>
    </w:rPr>
  </w:style>
  <w:style w:type="paragraph" w:styleId="866" w:customStyle="1">
    <w:name w:val="ConsPlusTitle"/>
    <w:pPr>
      <w:widowControl w:val="off"/>
    </w:pPr>
    <w:rPr>
      <w:rFonts w:ascii="Arial" w:hAnsi="Arial" w:cs="Arial"/>
      <w:b/>
      <w:bCs/>
      <w:lang w:eastAsia="ru-RU"/>
    </w:rPr>
  </w:style>
  <w:style w:type="paragraph" w:styleId="867" w:customStyle="1">
    <w:name w:val="ConsNormal"/>
    <w:link w:val="878"/>
    <w:pPr>
      <w:ind w:firstLine="720"/>
      <w:widowControl w:val="off"/>
    </w:pPr>
    <w:rPr>
      <w:rFonts w:ascii="Arial" w:hAnsi="Arial"/>
      <w:sz w:val="22"/>
      <w:szCs w:val="22"/>
      <w:lang w:eastAsia="ru-RU"/>
    </w:rPr>
  </w:style>
  <w:style w:type="paragraph" w:styleId="868">
    <w:name w:val="Footer"/>
    <w:basedOn w:val="667"/>
    <w:link w:val="890"/>
    <w:uiPriority w:val="99"/>
    <w:pPr>
      <w:tabs>
        <w:tab w:val="center" w:pos="4677" w:leader="none"/>
        <w:tab w:val="right" w:pos="9355" w:leader="none"/>
      </w:tabs>
    </w:pPr>
  </w:style>
  <w:style w:type="character" w:styleId="869">
    <w:name w:val="page number"/>
    <w:basedOn w:val="677"/>
  </w:style>
  <w:style w:type="paragraph" w:styleId="870" w:customStyle="1">
    <w:name w:val="Normal1"/>
    <w:pPr>
      <w:spacing w:before="100" w:after="100"/>
    </w:pPr>
    <w:rPr>
      <w:sz w:val="24"/>
      <w:lang w:eastAsia="ru-RU"/>
    </w:rPr>
  </w:style>
  <w:style w:type="character" w:styleId="871">
    <w:name w:val="Strong"/>
    <w:qFormat/>
    <w:rPr>
      <w:b/>
      <w:bCs/>
    </w:rPr>
  </w:style>
  <w:style w:type="paragraph" w:styleId="872" w:customStyle="1">
    <w:name w:val="Знак Знак Знак Знак"/>
    <w:basedOn w:val="66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873">
    <w:name w:val="Header"/>
    <w:basedOn w:val="667"/>
    <w:pPr>
      <w:tabs>
        <w:tab w:val="center" w:pos="4677" w:leader="none"/>
        <w:tab w:val="right" w:pos="9355" w:leader="none"/>
      </w:tabs>
    </w:pPr>
  </w:style>
  <w:style w:type="paragraph" w:styleId="874" w:customStyle="1">
    <w:name w:val="Default"/>
    <w:rPr>
      <w:rFonts w:ascii="GaramondC" w:hAnsi="GaramondC"/>
      <w:color w:val="000000"/>
      <w:sz w:val="24"/>
      <w:szCs w:val="24"/>
      <w:lang w:eastAsia="ru-RU"/>
    </w:rPr>
  </w:style>
  <w:style w:type="paragraph" w:styleId="875" w:customStyle="1">
    <w:name w:val="Знак Знак Знак Знак Знак Знак1 Знак Знак Знак Знак Знак Знак Знак Знак Знак Знак Знак Знак Знак"/>
    <w:basedOn w:val="667"/>
    <w:pPr>
      <w:spacing w:after="160" w:line="240" w:lineRule="exact"/>
    </w:pPr>
    <w:rPr>
      <w:rFonts w:ascii="Verdana" w:hAnsi="Verdana"/>
      <w:lang w:val="en-US" w:eastAsia="en-US"/>
    </w:rPr>
  </w:style>
  <w:style w:type="character" w:styleId="876" w:customStyle="1">
    <w:name w:val="Основной текст с отступом Знак"/>
    <w:link w:val="860"/>
    <w:rPr>
      <w:sz w:val="26"/>
      <w:lang w:val="ru-RU" w:eastAsia="ru-RU" w:bidi="ar-SA"/>
    </w:rPr>
  </w:style>
  <w:style w:type="character" w:styleId="877" w:customStyle="1">
    <w:name w:val="Основной текст Знак"/>
    <w:link w:val="859"/>
    <w:rPr>
      <w:sz w:val="24"/>
    </w:rPr>
  </w:style>
  <w:style w:type="character" w:styleId="878" w:customStyle="1">
    <w:name w:val="ConsNormal Знак"/>
    <w:link w:val="867"/>
    <w:rPr>
      <w:rFonts w:ascii="Arial" w:hAnsi="Arial"/>
      <w:sz w:val="22"/>
      <w:szCs w:val="22"/>
      <w:lang w:bidi="ar-SA"/>
    </w:rPr>
  </w:style>
  <w:style w:type="paragraph" w:styleId="879">
    <w:name w:val="HTML Preformatted"/>
    <w:basedOn w:val="667"/>
    <w:link w:val="88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880" w:customStyle="1">
    <w:name w:val="Стандартный HTML Знак"/>
    <w:link w:val="879"/>
    <w:rPr>
      <w:rFonts w:ascii="Courier New" w:hAnsi="Courier New" w:cs="Courier New"/>
    </w:rPr>
  </w:style>
  <w:style w:type="character" w:styleId="881" w:customStyle="1">
    <w:name w:val="ConsPlusNormal Знак"/>
    <w:link w:val="865"/>
    <w:uiPriority w:val="99"/>
    <w:rPr>
      <w:rFonts w:ascii="Arial" w:hAnsi="Arial" w:cs="Arial"/>
      <w:lang w:val="ru-RU" w:eastAsia="ru-RU" w:bidi="ar-SA"/>
    </w:rPr>
  </w:style>
  <w:style w:type="paragraph" w:styleId="882" w:customStyle="1">
    <w:name w:val="Пункт"/>
    <w:basedOn w:val="667"/>
    <w:pPr>
      <w:ind w:left="1404" w:hanging="504"/>
      <w:jc w:val="both"/>
      <w:tabs>
        <w:tab w:val="num" w:pos="1980" w:leader="none"/>
      </w:tabs>
    </w:pPr>
    <w:rPr>
      <w:sz w:val="24"/>
      <w:szCs w:val="28"/>
    </w:rPr>
  </w:style>
  <w:style w:type="paragraph" w:styleId="883" w:customStyle="1">
    <w:name w:val="ConsNonformat"/>
    <w:link w:val="884"/>
    <w:pPr>
      <w:ind w:right="19772"/>
      <w:widowControl w:val="off"/>
    </w:pPr>
    <w:rPr>
      <w:rFonts w:ascii="Courier New" w:hAnsi="Courier New" w:cs="Courier New"/>
      <w:lang w:eastAsia="ru-RU"/>
    </w:rPr>
  </w:style>
  <w:style w:type="character" w:styleId="884" w:customStyle="1">
    <w:name w:val="ConsNonformat Знак"/>
    <w:link w:val="883"/>
    <w:rPr>
      <w:rFonts w:ascii="Courier New" w:hAnsi="Courier New" w:cs="Courier New"/>
      <w:lang w:val="ru-RU" w:eastAsia="ru-RU" w:bidi="ar-SA"/>
    </w:rPr>
  </w:style>
  <w:style w:type="character" w:styleId="885">
    <w:name w:val="Book Title"/>
    <w:uiPriority w:val="33"/>
    <w:qFormat/>
    <w:rPr>
      <w:b/>
      <w:bCs/>
      <w:smallCaps/>
      <w:spacing w:val="5"/>
    </w:rPr>
  </w:style>
  <w:style w:type="paragraph" w:styleId="886">
    <w:name w:val="Normal (Web)"/>
    <w:basedOn w:val="667"/>
    <w:pPr>
      <w:jc w:val="both"/>
      <w:spacing w:before="100" w:beforeAutospacing="1" w:after="100" w:afterAutospacing="1"/>
    </w:pPr>
    <w:rPr>
      <w:sz w:val="24"/>
      <w:szCs w:val="24"/>
    </w:rPr>
  </w:style>
  <w:style w:type="paragraph" w:styleId="887">
    <w:name w:val="Body Text Indent 2"/>
    <w:basedOn w:val="667"/>
    <w:link w:val="888"/>
    <w:pPr>
      <w:ind w:left="283"/>
      <w:spacing w:after="120" w:line="480" w:lineRule="auto"/>
    </w:pPr>
  </w:style>
  <w:style w:type="character" w:styleId="888" w:customStyle="1">
    <w:name w:val="Основной текст с отступом 2 Знак"/>
    <w:basedOn w:val="677"/>
    <w:link w:val="887"/>
  </w:style>
  <w:style w:type="paragraph" w:styleId="889" w:customStyle="1">
    <w:name w:val="ConsCell"/>
    <w:uiPriority w:val="99"/>
    <w:pPr>
      <w:ind w:right="19772"/>
      <w:widowControl w:val="off"/>
    </w:pPr>
    <w:rPr>
      <w:rFonts w:ascii="Calibri" w:hAnsi="Calibri" w:cs="Calibri"/>
      <w:sz w:val="32"/>
      <w:szCs w:val="32"/>
      <w:lang w:eastAsia="ru-RU"/>
    </w:rPr>
  </w:style>
  <w:style w:type="character" w:styleId="890" w:customStyle="1">
    <w:name w:val="Нижний колонтитул Знак"/>
    <w:basedOn w:val="677"/>
    <w:link w:val="868"/>
    <w:uiPriority w:val="99"/>
  </w:style>
  <w:style w:type="paragraph" w:styleId="891" w:customStyle="1">
    <w:name w:val="Текст1"/>
    <w:basedOn w:val="667"/>
    <w:rPr>
      <w:rFonts w:ascii="Courier New" w:hAnsi="Courier New"/>
    </w:rPr>
  </w:style>
  <w:style w:type="paragraph" w:styleId="892" w:customStyle="1">
    <w:name w:val="Обычный + по ширине"/>
    <w:basedOn w:val="667"/>
    <w:uiPriority w:val="99"/>
    <w:pPr>
      <w:jc w:val="both"/>
    </w:pPr>
    <w:rPr>
      <w:sz w:val="24"/>
      <w:szCs w:val="24"/>
    </w:rPr>
  </w:style>
  <w:style w:type="character" w:styleId="893" w:customStyle="1">
    <w:name w:val="Гипертекстовая ссылка"/>
    <w:rPr>
      <w:b/>
      <w:bCs/>
      <w:color w:val="008000"/>
      <w:sz w:val="20"/>
      <w:szCs w:val="20"/>
      <w:u w:val="single"/>
    </w:rPr>
  </w:style>
  <w:style w:type="paragraph" w:styleId="894" w:customStyle="1">
    <w:name w:val="Знак2 Знак Знак Знак Знак Знак Знак"/>
    <w:basedOn w:val="667"/>
    <w:pPr>
      <w:spacing w:after="160" w:line="240" w:lineRule="exact"/>
    </w:pPr>
    <w:rPr>
      <w:rFonts w:ascii="Verdana" w:hAnsi="Verdana"/>
      <w:lang w:val="en-US" w:eastAsia="en-US"/>
    </w:rPr>
  </w:style>
  <w:style w:type="character" w:styleId="895" w:customStyle="1">
    <w:name w:val="Font Style14"/>
    <w:rPr>
      <w:rFonts w:ascii="Times New Roman" w:hAnsi="Times New Roman" w:cs="Times New Roman"/>
      <w:sz w:val="22"/>
      <w:szCs w:val="22"/>
    </w:rPr>
  </w:style>
  <w:style w:type="character" w:styleId="896" w:customStyle="1">
    <w:name w:val="Заголовок Знак"/>
    <w:link w:val="701"/>
    <w:uiPriority w:val="99"/>
    <w:rPr>
      <w:b/>
      <w:sz w:val="28"/>
    </w:rPr>
  </w:style>
  <w:style w:type="paragraph" w:styleId="897" w:customStyle="1">
    <w:name w:val="Знак"/>
    <w:basedOn w:val="667"/>
    <w:pPr>
      <w:spacing w:after="160" w:line="240" w:lineRule="exact"/>
    </w:pPr>
    <w:rPr>
      <w:rFonts w:ascii="Verdana" w:hAnsi="Verdana"/>
      <w:lang w:val="en-US" w:eastAsia="en-US"/>
    </w:rPr>
  </w:style>
  <w:style w:type="character" w:styleId="898">
    <w:name w:val="annotation reference"/>
    <w:rPr>
      <w:sz w:val="16"/>
      <w:szCs w:val="16"/>
    </w:rPr>
  </w:style>
  <w:style w:type="paragraph" w:styleId="899">
    <w:name w:val="annotation text"/>
    <w:basedOn w:val="667"/>
    <w:link w:val="900"/>
  </w:style>
  <w:style w:type="character" w:styleId="900" w:customStyle="1">
    <w:name w:val="Текст примечания Знак"/>
    <w:basedOn w:val="677"/>
    <w:link w:val="899"/>
  </w:style>
  <w:style w:type="paragraph" w:styleId="901">
    <w:name w:val="annotation subject"/>
    <w:basedOn w:val="899"/>
    <w:next w:val="899"/>
    <w:link w:val="902"/>
    <w:rPr>
      <w:b/>
      <w:bCs/>
      <w:lang w:val="en-US" w:eastAsia="en-US"/>
    </w:rPr>
  </w:style>
  <w:style w:type="character" w:styleId="902" w:customStyle="1">
    <w:name w:val="Тема примечания Знак"/>
    <w:link w:val="901"/>
    <w:rPr>
      <w:b/>
      <w:bCs/>
    </w:rPr>
  </w:style>
  <w:style w:type="character" w:styleId="903" w:customStyle="1">
    <w:name w:val="Текст концевой сноски Знак"/>
    <w:basedOn w:val="677"/>
    <w:link w:val="845"/>
  </w:style>
  <w:style w:type="character" w:styleId="904" w:customStyle="1">
    <w:name w:val="Текст сноски Знак"/>
    <w:basedOn w:val="677"/>
    <w:link w:val="842"/>
    <w:uiPriority w:val="99"/>
  </w:style>
  <w:style w:type="character" w:styleId="905" w:customStyle="1">
    <w:name w:val="Font Style21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906" w:customStyle="1">
    <w:name w:val="Выделенная цитата Знак"/>
    <w:link w:val="707"/>
    <w:uiPriority w:val="30"/>
    <w:rPr>
      <w:b/>
      <w:bCs/>
      <w:i/>
      <w:iCs/>
      <w:color w:val="4f81bd"/>
      <w:sz w:val="24"/>
      <w:szCs w:val="24"/>
      <w:lang w:val="en-US" w:eastAsia="en-US"/>
    </w:rPr>
  </w:style>
  <w:style w:type="character" w:styleId="907" w:customStyle="1">
    <w:name w:val="Цитата 2 Знак"/>
    <w:link w:val="705"/>
    <w:uiPriority w:val="29"/>
    <w:rPr>
      <w:i/>
      <w:iCs/>
      <w:color w:val="000000"/>
      <w:sz w:val="24"/>
      <w:szCs w:val="24"/>
      <w:lang w:val="en-US" w:eastAsia="en-US"/>
    </w:rPr>
  </w:style>
  <w:style w:type="character" w:styleId="908" w:customStyle="1">
    <w:name w:val="blk"/>
  </w:style>
  <w:style w:type="paragraph" w:styleId="909" w:customStyle="1">
    <w:name w:val="Table Paragraph"/>
    <w:uiPriority w:val="1"/>
    <w:qFormat/>
    <w:pPr>
      <w:ind w:left="107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94E9-68ED-48EB-9CA2-4959B5A6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6 - OGPS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dc:description>DOC-MARKER-Hv14pNblHVJqac10bBS1Eg</dc:description>
  <cp:lastModifiedBy>user</cp:lastModifiedBy>
  <cp:revision>5</cp:revision>
  <dcterms:created xsi:type="dcterms:W3CDTF">2026-07-09T18:27:00Z</dcterms:created>
  <dcterms:modified xsi:type="dcterms:W3CDTF">2026-07-13T12:25:49Z</dcterms:modified>
  <cp:version>917504</cp:version>
</cp:coreProperties>
</file>