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3"/>
        <w:rPr>
          <w:b w:val="0"/>
          <w:color w:val="000000" w:themeColor="text1"/>
          <w:highlight w:val="white"/>
        </w:rPr>
      </w:pPr>
      <w:r>
        <w:rPr>
          <w:b w:val="0"/>
          <w:color w:val="000000" w:themeColor="text1"/>
          <w:highlight w:val="white"/>
        </w:rPr>
        <w:t xml:space="preserve">ДОГОВОР № </w:t>
      </w:r>
      <w:bookmarkStart w:id="0" w:name="НомерДоговора"/>
      <w:r/>
      <w:bookmarkEnd w:id="0"/>
      <w:r/>
      <w:r>
        <w:rPr>
          <w:b w:val="0"/>
          <w:color w:val="000000" w:themeColor="text1"/>
          <w:highlight w:val="white"/>
        </w:rPr>
      </w:r>
    </w:p>
    <w:p>
      <w:pPr>
        <w:pStyle w:val="905"/>
        <w:jc w:val="center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ПОСТАВКИ, АДАПТАЦИИ И СОПРОВОЖДЕНИЯ ЭКЗЕМПЛЯРОВ СИСТЕМ КОНСУЛЬТАНТПЛЮС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39"/>
        <w:jc w:val="center"/>
        <w:rPr>
          <w:color w:val="000000" w:themeColor="text1"/>
          <w:highlight w:val="white"/>
        </w:rPr>
      </w:pPr>
      <w:r>
        <w:rPr>
          <w:bCs/>
        </w:rPr>
        <w:t xml:space="preserve">(в том числе специальной копией Системы </w:t>
      </w:r>
      <w:r>
        <w:rPr>
          <w:bCs/>
        </w:rPr>
        <w:t xml:space="preserve">Консульт</w:t>
      </w:r>
      <w:r>
        <w:rPr>
          <w:bCs/>
        </w:rPr>
        <w:t xml:space="preserve">⁠﻿‌‍‌⁠﻿⁠​‍﻿﻿‍‌‍‌⁠﻿‌​​﻿‌‍‌‌⁠‌‌⁠​⁠‍‌‍﻿⁠​‌⁠​﻿‍‌</w:t>
      </w:r>
      <w:r>
        <w:rPr>
          <w:bCs/>
        </w:rPr>
        <w:t xml:space="preserve">антПлюс</w:t>
      </w:r>
      <w:r>
        <w:rPr>
          <w:bCs/>
        </w:rPr>
        <w:t xml:space="preserve">)</w:t>
      </w:r>
      <w:r>
        <w:rPr>
          <w:color w:val="000000" w:themeColor="text1"/>
          <w:highlight w:val="white"/>
        </w:rPr>
      </w:r>
    </w:p>
    <w:p>
      <w:pPr>
        <w:pStyle w:val="905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fldChar w:fldCharType="begin"/>
      </w:r>
      <w:r>
        <w:rPr>
          <w:rFonts w:ascii="Times New Roman" w:hAnsi="Times New Roman" w:cs="Times New Roman"/>
          <w:color w:val="000000" w:themeColor="text1"/>
          <w:highlight w:val="white"/>
        </w:rPr>
        <w:instrText xml:space="preserve"> DOCVARIABLE ВИДПЕРЕДАЧИ_ЕСТЬЭДО_УДАЛИТЬ[НАЧАЛО] </w:instrText>
      </w:r>
      <w:r>
        <w:rPr>
          <w:rFonts w:ascii="Times New Roman" w:hAnsi="Times New Roman" w:cs="Times New Roman"/>
          <w:color w:val="000000" w:themeColor="text1"/>
          <w:highlight w:val="white"/>
        </w:rPr>
        <w:fldChar w:fldCharType="separate"/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highlight w:val="white"/>
        </w:rPr>
        <w:fldChar w:fldCharType="end"/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г. __________________                                                                                                            «___» _________ 202__ г.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36"/>
        <w:rPr>
          <w:color w:val="000000" w:themeColor="text1"/>
          <w:sz w:val="20"/>
          <w:szCs w:val="20"/>
          <w:highlight w:val="white"/>
          <w:lang w:val="ru-RU"/>
        </w:rPr>
      </w:pPr>
      <w:r>
        <w:rPr>
          <w:color w:val="000000" w:themeColor="text1"/>
          <w:sz w:val="20"/>
          <w:szCs w:val="20"/>
          <w:highlight w:val="white"/>
          <w:lang w:val="ru-RU"/>
        </w:rPr>
        <w:t xml:space="preserve">____________________________________________________, именуемое в дальнейшем Исполнитель, в лице ___</w:t>
      </w:r>
      <w:r>
        <w:rPr>
          <w:color w:val="000000" w:themeColor="text1"/>
          <w:sz w:val="20"/>
          <w:szCs w:val="20"/>
          <w:highlight w:val="white"/>
          <w:lang w:val="ru-RU"/>
        </w:rPr>
        <w:t xml:space="preserve">______________________, действующего на основании _____________, с одной стороны, и</w:t>
      </w:r>
      <w:r>
        <w:rPr>
          <w:b/>
          <w:color w:val="000000" w:themeColor="text1"/>
          <w:sz w:val="20"/>
          <w:szCs w:val="20"/>
          <w:highlight w:val="white"/>
          <w:lang w:val="ru-RU"/>
        </w:rPr>
        <w:t xml:space="preserve"> ________________________</w:t>
      </w:r>
      <w:r>
        <w:rPr>
          <w:color w:val="000000" w:themeColor="text1"/>
          <w:sz w:val="20"/>
          <w:szCs w:val="20"/>
          <w:highlight w:val="white"/>
          <w:lang w:val="ru-RU"/>
        </w:rPr>
        <w:t xml:space="preserve">, именуемый (-</w:t>
      </w:r>
      <w:r>
        <w:rPr>
          <w:color w:val="000000" w:themeColor="text1"/>
          <w:sz w:val="20"/>
          <w:szCs w:val="20"/>
          <w:highlight w:val="white"/>
          <w:lang w:val="ru-RU"/>
        </w:rPr>
        <w:t xml:space="preserve">ая</w:t>
      </w:r>
      <w:r>
        <w:rPr>
          <w:color w:val="000000" w:themeColor="text1"/>
          <w:sz w:val="20"/>
          <w:szCs w:val="20"/>
          <w:highlight w:val="white"/>
          <w:lang w:val="ru-RU"/>
        </w:rPr>
        <w:t xml:space="preserve">, </w:t>
      </w:r>
      <w:r>
        <w:rPr>
          <w:color w:val="000000" w:themeColor="text1"/>
          <w:sz w:val="20"/>
          <w:szCs w:val="20"/>
          <w:highlight w:val="white"/>
          <w:lang w:val="ru-RU"/>
        </w:rPr>
        <w:t xml:space="preserve">-</w:t>
      </w:r>
      <w:r>
        <w:rPr>
          <w:color w:val="000000" w:themeColor="text1"/>
          <w:sz w:val="20"/>
          <w:szCs w:val="20"/>
          <w:highlight w:val="white"/>
          <w:lang w:val="ru-RU"/>
        </w:rPr>
        <w:t xml:space="preserve">о</w:t>
      </w:r>
      <w:r>
        <w:rPr>
          <w:color w:val="000000" w:themeColor="text1"/>
          <w:sz w:val="20"/>
          <w:szCs w:val="20"/>
          <w:highlight w:val="white"/>
          <w:lang w:val="ru-RU"/>
        </w:rPr>
        <w:t xml:space="preserve">е</w:t>
      </w:r>
      <w:r>
        <w:rPr>
          <w:color w:val="000000" w:themeColor="text1"/>
          <w:sz w:val="20"/>
          <w:szCs w:val="20"/>
          <w:highlight w:val="white"/>
          <w:lang w:val="ru-RU"/>
        </w:rPr>
        <w:t xml:space="preserve">) в дальнейшем Заказчик, в лице _________________________________, действующего на основании __________, с другой стороны, вмес</w:t>
      </w:r>
      <w:r>
        <w:rPr>
          <w:color w:val="000000" w:themeColor="text1"/>
          <w:sz w:val="20"/>
          <w:szCs w:val="20"/>
          <w:highlight w:val="white"/>
          <w:lang w:val="ru-RU"/>
        </w:rPr>
        <w:t xml:space="preserve">те именуемые Стороны, по результатам проведения ценового запроса в электронном виде в соответствии  с Федеральным  законом от 18 июля 2011 года № 223-ФЗ «О закупках товаров, работ, услуг отдельными видами юридических лиц», Положением о закупке товаров, раб</w:t>
      </w:r>
      <w:r>
        <w:rPr>
          <w:color w:val="000000" w:themeColor="text1"/>
          <w:sz w:val="20"/>
          <w:szCs w:val="20"/>
          <w:highlight w:val="white"/>
          <w:lang w:val="ru-RU"/>
        </w:rPr>
        <w:t xml:space="preserve">от, услуг для нужд _____________________, заключили настоящий Договор о нижеследующем.</w:t>
      </w:r>
      <w:r>
        <w:rPr>
          <w:color w:val="000000" w:themeColor="text1"/>
          <w:sz w:val="20"/>
          <w:szCs w:val="20"/>
          <w:highlight w:val="white"/>
          <w:lang w:val="ru-RU"/>
        </w:rPr>
      </w:r>
    </w:p>
    <w:p>
      <w:pPr>
        <w:pStyle w:val="905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numPr>
          <w:ilvl w:val="0"/>
          <w:numId w:val="2"/>
        </w:numPr>
        <w:ind w:left="0"/>
        <w:jc w:val="center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/>
      <w:bookmarkStart w:id="1" w:name="раздел_1"/>
      <w:r/>
      <w:bookmarkEnd w:id="1"/>
      <w:r>
        <w:rPr>
          <w:rFonts w:ascii="Times New Roman" w:hAnsi="Times New Roman" w:cs="Times New Roman"/>
          <w:color w:val="000000" w:themeColor="text1"/>
          <w:highlight w:val="white"/>
        </w:rPr>
        <w:t xml:space="preserve">ОСНОВНЫЕ ПОНЯТИЯ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/>
      <w:bookmarkStart w:id="2" w:name="ДатаДоговора2"/>
      <w:r/>
      <w:bookmarkEnd w:id="2"/>
      <w:r>
        <w:rPr>
          <w:rFonts w:ascii="Times New Roman" w:hAnsi="Times New Roman" w:cs="Times New Roman"/>
          <w:color w:val="000000" w:themeColor="text1"/>
          <w:highlight w:val="white"/>
        </w:rPr>
        <w:t xml:space="preserve">Справочная Правовая Система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КонсультантПлюс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(далее - Система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КонсультантПлюс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или Система) - совокупность многофункциональной программы для ЭВМ и набо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ра текстовой информации (программное средство, информационный продукт вычислительной техники).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Экземпляр Системы - копия Системы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КонсультантПлюс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на материальном носителе, позволяющая Заказчику получать необходимую информацию. Экземпляр Системы не позволяет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изменять и передавать полученную информацию.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Порядок использования Систем - совокупность технических параметров, разрешенных способов и условий использования комплекта Систем.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Уникальный пользователь - физическое лицо, состоящее в трудовых отношениях с За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казчиком (Работник), являющееся пользователем Системы.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Регистрация - процедура, при которой запоминаются параметры конкретного электронного устройства и в экземпляр Системы вносятся определенные изменения (адаптация Системы), после чего становится возможны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м использование экземпляра Системы. По выбору Заказчика экземпляр Системы может быть зарегистрирован на ЭВМ Заказчика, на ЭВМ Исполнителя, на ЭВМ Разработчика Систем. Особенности регистрации определяются настоящим Договором.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КЦ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КонсультантПлюс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- организаци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я, на основании договора с которой Дистрибьютор осуществляет поставку и оказание услуг по адаптации и сопровождению экземпляров Систем.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Правомерный приобретатель экземпляра Системы (Заказчик) - физическое/юридическое лицо, приобретшее экземпляр Системы у о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фициального Представителя Сети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КонсультантПлюс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или получившее на законных основаниях от физического/юридического лица экземпляр Системы, ранее приобретенный у официального Представителя Сети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КонсультантПлюс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(от правомерного приобретателя экземпляра Системы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).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Разработчик (правообладатель) Систем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КонсультантПлюс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– ЗАО «Консультант Плюс».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jc w:val="center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numPr>
          <w:ilvl w:val="0"/>
          <w:numId w:val="2"/>
        </w:numPr>
        <w:ind w:left="0"/>
        <w:jc w:val="center"/>
        <w:widowControl/>
        <w:rPr>
          <w:rFonts w:ascii="Times New Roman" w:hAnsi="Times New Roman" w:cs="Times New Roman"/>
          <w:color w:val="000000" w:themeColor="text1"/>
          <w:highlight w:val="white"/>
        </w:rPr>
        <w:sectPr>
          <w:headerReference w:type="default" r:id="rId9"/>
          <w:footerReference w:type="default" r:id="rId10"/>
          <w:footnotePr/>
          <w:endnotePr/>
          <w:type w:val="nextPage"/>
          <w:pgSz w:w="11906" w:h="16838" w:orient="portrait"/>
          <w:pgMar w:top="567" w:right="1134" w:bottom="567" w:left="1134" w:header="0" w:footer="0" w:gutter="0"/>
          <w:cols w:num="1" w:sep="0" w:space="708" w:equalWidth="1"/>
          <w:docGrid w:linePitch="360"/>
        </w:sectPr>
      </w:pPr>
      <w:r/>
      <w:bookmarkStart w:id="3" w:name="раздел_2"/>
      <w:r/>
      <w:bookmarkEnd w:id="3"/>
      <w:r>
        <w:rPr>
          <w:rFonts w:ascii="Times New Roman" w:hAnsi="Times New Roman" w:cs="Times New Roman"/>
          <w:color w:val="000000" w:themeColor="text1"/>
          <w:highlight w:val="white"/>
        </w:rPr>
        <w:t xml:space="preserve">ПРЕДМЕТ ДОГОВОРА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jc w:val="center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По настоящему Договору Стороны принимают на себя исполнение следующих обязательств: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numPr>
          <w:ilvl w:val="2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Исполнитель обязуется передавать Заказчику и адаптировать (устанавливать, регистрировать, тестировать, формировать в комплекты и вносить другие изменения, необходимые для р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аботоспособности на оборудовании Заказчика), а Заказчик обязуется принимать и оплачивать экземпляры Систем, иного программного обеспечения, если это предусмотрено условиями настоящего Договора.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numPr>
          <w:ilvl w:val="2"/>
          <w:numId w:val="5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/>
      <w:bookmarkStart w:id="4" w:name="п_2_1_2"/>
      <w:r/>
      <w:bookmarkEnd w:id="4"/>
      <w:r>
        <w:rPr>
          <w:rFonts w:ascii="Times New Roman" w:hAnsi="Times New Roman" w:cs="Times New Roman"/>
          <w:color w:val="000000" w:themeColor="text1"/>
          <w:highlight w:val="white"/>
        </w:rPr>
        <w:t xml:space="preserve">Исполнитель обязуется оказывать Заказчику платные услуги по ад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аптации и сопровождению экземпляров Систем, иного программного обеспечения в течение срока действия настоящего Договора в соответствии с условиями раздела 3 настоящего Договора. Порядок использования экземпляров Систем определяется настоящим Договором.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numPr>
          <w:ilvl w:val="2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Исп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олнитель обязуется оказывать Заказчику иные платные услуги, предусмотренные настоящим Договором. 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/>
      <w:bookmarkStart w:id="5" w:name="Раздел_3"/>
      <w:r/>
      <w:bookmarkStart w:id="6" w:name="п_3_1"/>
      <w:r/>
      <w:bookmarkStart w:id="7" w:name="п_3_3"/>
      <w:r/>
      <w:bookmarkEnd w:id="5"/>
      <w:r/>
      <w:bookmarkEnd w:id="6"/>
      <w:r/>
      <w:bookmarkEnd w:id="7"/>
      <w:r/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numPr>
          <w:ilvl w:val="0"/>
          <w:numId w:val="2"/>
        </w:numPr>
        <w:ind w:left="0"/>
        <w:jc w:val="center"/>
        <w:widowControl/>
        <w:rPr>
          <w:rFonts w:ascii="Times New Roman" w:hAnsi="Times New Roman" w:cs="Times New Roman"/>
          <w:color w:val="000000" w:themeColor="text1"/>
          <w:highlight w:val="white"/>
        </w:rPr>
        <w:sectPr>
          <w:footnotePr/>
          <w:endnotePr/>
          <w:type w:val="continuous"/>
          <w:pgSz w:w="11906" w:h="16838" w:orient="portrait"/>
          <w:pgMar w:top="567" w:right="1134" w:bottom="567" w:left="1134" w:header="0" w:footer="1" w:gutter="0"/>
          <w:cols w:num="1" w:sep="0" w:space="708" w:equalWidth="1"/>
          <w:docGrid w:linePitch="360"/>
        </w:sectPr>
      </w:pPr>
      <w:r/>
      <w:bookmarkStart w:id="8" w:name="раздел_4"/>
      <w:r/>
      <w:bookmarkEnd w:id="8"/>
      <w:r>
        <w:rPr>
          <w:rFonts w:ascii="Times New Roman" w:hAnsi="Times New Roman" w:cs="Times New Roman"/>
          <w:color w:val="000000" w:themeColor="text1"/>
          <w:highlight w:val="white"/>
        </w:rPr>
        <w:t xml:space="preserve">ПОРЯДОК ПОСТАВКИ ЭКЗЕМПЛЯРА СИСТЕМЫ И ОКАЗАНИЯ УСЛУГ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По факту передачи экземпляра Системы составляется товарная накладная (двусторонн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ий Акт приемки-передачи, УПД).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/>
      <w:bookmarkStart w:id="9" w:name="п_4_3"/>
      <w:r/>
      <w:bookmarkStart w:id="10" w:name="п_4_4"/>
      <w:r/>
      <w:bookmarkStart w:id="11" w:name="п_4_6"/>
      <w:r/>
      <w:bookmarkStart w:id="12" w:name="п_4_7"/>
      <w:r/>
      <w:bookmarkStart w:id="13" w:name="раздел_5"/>
      <w:r/>
      <w:bookmarkEnd w:id="9"/>
      <w:r/>
      <w:bookmarkEnd w:id="10"/>
      <w:r/>
      <w:bookmarkEnd w:id="11"/>
      <w:r/>
      <w:bookmarkEnd w:id="12"/>
      <w:r/>
      <w:bookmarkEnd w:id="13"/>
      <w:r>
        <w:rPr>
          <w:rFonts w:ascii="Times New Roman" w:hAnsi="Times New Roman" w:cs="Times New Roman"/>
          <w:color w:val="000000" w:themeColor="text1"/>
          <w:highlight w:val="white"/>
        </w:rPr>
        <w:t xml:space="preserve">Оказание услуг предусматривает: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numPr>
          <w:ilvl w:val="2"/>
          <w:numId w:val="5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 Адаптацию (установку, тестирование, регистрацию, формирование в комплекты, внесение других изменений необходимых для работоспособности на оборудовании Заказчика) экземпляров Систем; 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numPr>
          <w:ilvl w:val="2"/>
          <w:numId w:val="5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Сопровожд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ение адаптированных Исполнителем экземпляров Систем, в т.ч.: 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numPr>
          <w:ilvl w:val="3"/>
          <w:numId w:val="5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Передачу Заказчику актуальной информации (актуальных наборов текстовой информации, адаптированных к имеющимся у Заказчика экземплярам Систем);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numPr>
          <w:ilvl w:val="3"/>
          <w:numId w:val="5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Техническую профилактику работоспособности Систем и восстановление работоспособности Систем в случае сбоев компьютерного оборудования после их устранения Заказчиком (тестирование, переустановка);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numPr>
          <w:ilvl w:val="3"/>
          <w:numId w:val="5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Предоставление дополнительной информации и возможностей, сос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тав которых определяется Исполнителем;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numPr>
          <w:ilvl w:val="3"/>
          <w:numId w:val="5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Мониторинг данных об использовании Систем с целью предотвращения их противоправного и контрафактного использования, а также замедления работы; 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numPr>
          <w:ilvl w:val="3"/>
          <w:numId w:val="5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Консультирование по работе с Системами, в т.ч. обучение Заказчика работе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с Системами по методикам Сети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КонсультантПлюс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с возможностью получения специального сертификата об обучении; 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numPr>
          <w:ilvl w:val="3"/>
          <w:numId w:val="5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Предоставление возможности получения Заказчиком консультаций по работе Систем по телефону, по электронной почте, </w:t>
      </w:r>
      <w:bookmarkStart w:id="14" w:name="_Hlk52049394"/>
      <w:r>
        <w:rPr>
          <w:rFonts w:ascii="Times New Roman" w:hAnsi="Times New Roman" w:cs="Times New Roman"/>
          <w:color w:val="000000" w:themeColor="text1"/>
          <w:highlight w:val="white"/>
        </w:rPr>
        <w:t xml:space="preserve">через специальные сервисы </w:t>
      </w:r>
      <w:bookmarkEnd w:id="14"/>
      <w:r>
        <w:rPr>
          <w:rFonts w:ascii="Times New Roman" w:hAnsi="Times New Roman" w:cs="Times New Roman"/>
          <w:color w:val="000000" w:themeColor="text1"/>
          <w:highlight w:val="white"/>
        </w:rPr>
        <w:t xml:space="preserve">и базы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данных либо в офисе Исполнителя; 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numPr>
          <w:ilvl w:val="3"/>
          <w:numId w:val="5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Предоставление другой информации и материалов; 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numPr>
          <w:ilvl w:val="3"/>
          <w:numId w:val="5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Предоставление иных услуг по сопровождению адаптированных Исполнителем экземпляров Систем.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Оказание Заказчику текущих услуг с использованием экземпляров Систем осуществляется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без выбора документов.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numPr>
          <w:ilvl w:val="0"/>
          <w:numId w:val="2"/>
        </w:numPr>
        <w:ind w:left="0"/>
        <w:jc w:val="center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/>
      <w:bookmarkStart w:id="15" w:name="раздел_6"/>
      <w:r/>
      <w:bookmarkEnd w:id="15"/>
      <w:r>
        <w:rPr>
          <w:rFonts w:ascii="Times New Roman" w:hAnsi="Times New Roman" w:cs="Times New Roman"/>
          <w:color w:val="000000" w:themeColor="text1"/>
          <w:highlight w:val="white"/>
        </w:rPr>
        <w:t xml:space="preserve">СТОИМОСТЬ ПОСТАВКИ И УСЛУГ. ПОРЯДОК РАСЧЕТОВ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spacing w:line="240" w:lineRule="auto"/>
        <w:rPr>
          <w:color w:val="000000" w:themeColor="text1"/>
          <w:sz w:val="20"/>
          <w:szCs w:val="20"/>
          <w:highlight w:val="white"/>
        </w:rPr>
      </w:pPr>
      <w:r>
        <w:rPr>
          <w:b/>
          <w:color w:val="000000" w:themeColor="text1"/>
          <w:sz w:val="20"/>
          <w:szCs w:val="20"/>
          <w:highlight w:val="white"/>
        </w:rPr>
        <w:t xml:space="preserve">4.1.</w:t>
      </w:r>
      <w:r>
        <w:rPr>
          <w:color w:val="000000" w:themeColor="text1"/>
          <w:sz w:val="20"/>
          <w:szCs w:val="20"/>
          <w:highlight w:val="white"/>
        </w:rPr>
        <w:t xml:space="preserve"> </w:t>
      </w:r>
      <w:r>
        <w:rPr>
          <w:color w:val="000000" w:themeColor="text1"/>
          <w:sz w:val="20"/>
          <w:szCs w:val="20"/>
          <w:highlight w:val="white"/>
        </w:rPr>
        <w:t xml:space="preserve">Стоимос</w:t>
      </w:r>
      <w:r>
        <w:rPr>
          <w:color w:val="000000" w:themeColor="text1"/>
          <w:sz w:val="20"/>
          <w:szCs w:val="20"/>
          <w:highlight w:val="white"/>
        </w:rPr>
        <w:t xml:space="preserve">ть</w:t>
      </w:r>
      <w:r>
        <w:rPr>
          <w:color w:val="000000" w:themeColor="text1"/>
          <w:sz w:val="20"/>
          <w:szCs w:val="20"/>
          <w:highlight w:val="white"/>
        </w:rPr>
        <w:t xml:space="preserve"> </w:t>
      </w:r>
      <w:r>
        <w:rPr>
          <w:color w:val="000000" w:themeColor="text1"/>
          <w:sz w:val="20"/>
          <w:szCs w:val="20"/>
          <w:highlight w:val="white"/>
        </w:rPr>
        <w:t xml:space="preserve">услуг по адаптации и сопровождения </w:t>
      </w:r>
      <w:r>
        <w:rPr>
          <w:color w:val="000000" w:themeColor="text1"/>
          <w:sz w:val="20"/>
          <w:szCs w:val="20"/>
          <w:highlight w:val="white"/>
        </w:rPr>
        <w:t xml:space="preserve">по настоящему договору в месяц составляет </w:t>
      </w:r>
      <w:r>
        <w:rPr>
          <w:b/>
          <w:color w:val="000000" w:themeColor="text1"/>
          <w:sz w:val="20"/>
          <w:szCs w:val="20"/>
          <w:highlight w:val="white"/>
          <w:u w:val="single"/>
        </w:rPr>
        <w:t xml:space="preserve">___________</w:t>
      </w:r>
      <w:r>
        <w:rPr>
          <w:color w:val="000000" w:themeColor="text1"/>
          <w:sz w:val="20"/>
          <w:szCs w:val="20"/>
          <w:highlight w:val="white"/>
        </w:rPr>
        <w:t xml:space="preserve">. В т.ч. </w:t>
      </w:r>
      <w:r>
        <w:rPr>
          <w:color w:val="000000" w:themeColor="text1"/>
          <w:sz w:val="20"/>
          <w:szCs w:val="20"/>
          <w:highlight w:val="white"/>
        </w:rPr>
        <w:t xml:space="preserve">НДС___руб</w:t>
      </w:r>
      <w:r>
        <w:rPr>
          <w:color w:val="000000" w:themeColor="text1"/>
          <w:sz w:val="20"/>
          <w:szCs w:val="20"/>
          <w:highlight w:val="white"/>
        </w:rPr>
        <w:t xml:space="preserve">./ Цена включает все налоги.</w:t>
      </w:r>
      <w:r>
        <w:rPr>
          <w:color w:val="000000" w:themeColor="text1"/>
          <w:sz w:val="20"/>
          <w:szCs w:val="20"/>
          <w:highlight w:val="white"/>
        </w:rPr>
      </w:r>
    </w:p>
    <w:p>
      <w:pPr>
        <w:pStyle w:val="937"/>
        <w:ind w:right="0" w:firstLine="0"/>
        <w:jc w:val="both"/>
        <w:spacing w:line="240" w:lineRule="auto"/>
        <w:widowControl/>
        <w:rPr>
          <w:rFonts w:ascii="Times New Roman" w:hAnsi="Times New Roman"/>
          <w:color w:val="000000" w:themeColor="text1"/>
          <w:highlight w:val="white"/>
        </w:rPr>
      </w:pPr>
      <w:r>
        <w:rPr>
          <w:rFonts w:ascii="Times New Roman" w:hAnsi="Times New Roman"/>
          <w:color w:val="000000" w:themeColor="text1"/>
          <w:highlight w:val="white"/>
        </w:rPr>
        <w:t xml:space="preserve">Общая стоимость </w:t>
      </w:r>
      <w:r>
        <w:rPr>
          <w:rFonts w:ascii="Times New Roman" w:hAnsi="Times New Roman"/>
          <w:color w:val="000000" w:themeColor="text1"/>
          <w:highlight w:val="white"/>
        </w:rPr>
        <w:t xml:space="preserve">поставки, подключения и оказания</w:t>
      </w:r>
      <w:r>
        <w:rPr>
          <w:rFonts w:ascii="Times New Roman" w:hAnsi="Times New Roman"/>
          <w:color w:val="000000" w:themeColor="text1"/>
          <w:highlight w:val="white"/>
        </w:rPr>
        <w:t xml:space="preserve"> у</w:t>
      </w:r>
      <w:r>
        <w:rPr>
          <w:rFonts w:ascii="Times New Roman" w:hAnsi="Times New Roman"/>
          <w:color w:val="000000" w:themeColor="text1"/>
          <w:highlight w:val="white"/>
        </w:rPr>
        <w:t xml:space="preserve">слуг по настоящему договору составляет </w:t>
      </w:r>
      <w:r>
        <w:rPr>
          <w:rFonts w:ascii="Times New Roman" w:hAnsi="Times New Roman"/>
          <w:b/>
          <w:color w:val="000000" w:themeColor="text1"/>
          <w:highlight w:val="white"/>
          <w:u w:val="single"/>
        </w:rPr>
        <w:t xml:space="preserve">_______</w:t>
      </w:r>
      <w:r>
        <w:rPr>
          <w:rFonts w:ascii="Times New Roman" w:hAnsi="Times New Roman"/>
          <w:b/>
          <w:color w:val="000000" w:themeColor="text1"/>
          <w:highlight w:val="white"/>
          <w:u w:val="single"/>
        </w:rPr>
        <w:t xml:space="preserve">______</w:t>
      </w:r>
      <w:r>
        <w:rPr>
          <w:rFonts w:ascii="Times New Roman" w:hAnsi="Times New Roman"/>
          <w:color w:val="000000" w:themeColor="text1"/>
          <w:highlight w:val="white"/>
        </w:rPr>
        <w:t xml:space="preserve">. В т.ч. </w:t>
      </w:r>
      <w:r>
        <w:rPr>
          <w:rFonts w:ascii="Times New Roman" w:hAnsi="Times New Roman"/>
          <w:color w:val="000000" w:themeColor="text1"/>
          <w:highlight w:val="white"/>
        </w:rPr>
        <w:t xml:space="preserve">НДС___руб</w:t>
      </w:r>
      <w:r>
        <w:rPr>
          <w:rFonts w:ascii="Times New Roman" w:hAnsi="Times New Roman"/>
          <w:color w:val="000000" w:themeColor="text1"/>
          <w:highlight w:val="white"/>
        </w:rPr>
        <w:t xml:space="preserve">./ Цена включает все налоги.</w:t>
      </w:r>
      <w:r>
        <w:rPr>
          <w:rFonts w:ascii="Times New Roman" w:hAnsi="Times New Roman"/>
          <w:color w:val="000000" w:themeColor="text1"/>
          <w:highlight w:val="white"/>
        </w:rPr>
      </w:r>
    </w:p>
    <w:p>
      <w:pPr>
        <w:ind w:firstLine="708"/>
        <w:jc w:val="left"/>
        <w:spacing w:line="240" w:lineRule="auto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none"/>
        </w:rPr>
      </w:r>
      <w:r>
        <w:rPr>
          <w:color w:val="000000" w:themeColor="text1"/>
          <w:sz w:val="20"/>
          <w:szCs w:val="20"/>
          <w:highlight w:val="none"/>
        </w:rPr>
      </w:r>
    </w:p>
    <w:p>
      <w:pPr>
        <w:ind w:firstLine="708"/>
        <w:jc w:val="left"/>
        <w:spacing w:line="240" w:lineRule="auto"/>
        <w:rPr>
          <w:color w:val="000000" w:themeColor="text1"/>
          <w:sz w:val="20"/>
          <w:szCs w:val="20"/>
          <w:highlight w:val="none"/>
        </w:rPr>
      </w:pPr>
      <w:r>
        <w:rPr>
          <w:color w:val="000000" w:themeColor="text1"/>
          <w:sz w:val="20"/>
          <w:szCs w:val="20"/>
          <w:highlight w:val="white"/>
        </w:rPr>
        <w:t xml:space="preserve">Источник финансирования: бюджетные средства учреждения , а  именно: субсидия на выполнение государственного </w:t>
      </w:r>
      <w:r>
        <w:rPr>
          <w:color w:val="000000" w:themeColor="text1"/>
          <w:sz w:val="20"/>
          <w:szCs w:val="20"/>
          <w:highlight w:val="white"/>
        </w:rPr>
        <w:t xml:space="preserve">задания</w:t>
      </w:r>
      <w:r>
        <w:rPr>
          <w:color w:val="000000" w:themeColor="text1"/>
          <w:sz w:val="20"/>
          <w:szCs w:val="20"/>
          <w:highlight w:val="white"/>
        </w:rPr>
        <w:t xml:space="preserve">.</w:t>
        <w:tab/>
      </w:r>
      <w:r>
        <w:rPr>
          <w:color w:val="000000" w:themeColor="text1"/>
          <w:sz w:val="20"/>
          <w:szCs w:val="20"/>
          <w:highlight w:val="white"/>
        </w:rPr>
      </w:r>
    </w:p>
    <w:p>
      <w:pPr>
        <w:ind w:firstLine="708"/>
        <w:jc w:val="left"/>
        <w:spacing w:line="240" w:lineRule="auto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  <w:t xml:space="preserve">Ц</w:t>
      </w:r>
      <w:r>
        <w:rPr>
          <w:color w:val="000000" w:themeColor="text1"/>
          <w:sz w:val="20"/>
          <w:szCs w:val="20"/>
          <w:highlight w:val="white"/>
        </w:rPr>
        <w:t xml:space="preserve">ена</w:t>
      </w:r>
      <w:r>
        <w:rPr>
          <w:color w:val="000000" w:themeColor="text1"/>
          <w:sz w:val="20"/>
          <w:szCs w:val="20"/>
          <w:highlight w:val="white"/>
        </w:rPr>
        <w:t xml:space="preserve"> Договора является твердой и определяется на весь срок исполнения Контракта, кроме случаев, установленных законодательством Российской </w:t>
      </w:r>
      <w:r>
        <w:rPr>
          <w:color w:val="000000" w:themeColor="text1"/>
          <w:sz w:val="20"/>
          <w:szCs w:val="20"/>
          <w:highlight w:val="white"/>
        </w:rPr>
        <w:t xml:space="preserve">Федерации.</w:t>
      </w:r>
      <w:r>
        <w:rPr>
          <w:color w:val="000000" w:themeColor="text1"/>
          <w:sz w:val="20"/>
          <w:szCs w:val="20"/>
          <w:highlight w:val="white"/>
        </w:rPr>
        <w:t xml:space="preserve">Подлежащая</w:t>
      </w:r>
      <w:r>
        <w:rPr>
          <w:color w:val="000000" w:themeColor="text1"/>
          <w:sz w:val="20"/>
          <w:szCs w:val="20"/>
          <w:highlight w:val="white"/>
        </w:rPr>
        <w:t xml:space="preserve"> уплате заказчиком юридическому лицу или физическому лицу, в том числе зарегистрированному в кач</w:t>
      </w:r>
      <w:r>
        <w:rPr>
          <w:color w:val="000000" w:themeColor="text1"/>
          <w:sz w:val="20"/>
          <w:szCs w:val="20"/>
          <w:highlight w:val="white"/>
        </w:rPr>
        <w:t xml:space="preserve">естве индивидуального предпринимателя сумма,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</w:t>
      </w:r>
      <w:r>
        <w:rPr>
          <w:color w:val="000000" w:themeColor="text1"/>
          <w:sz w:val="20"/>
          <w:szCs w:val="20"/>
          <w:highlight w:val="white"/>
        </w:rPr>
        <w:t xml:space="preserve">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color w:val="000000" w:themeColor="text1"/>
          <w:sz w:val="20"/>
          <w:szCs w:val="20"/>
          <w:highlight w:val="white"/>
        </w:rPr>
      </w:r>
      <w:r/>
    </w:p>
    <w:p>
      <w:pPr>
        <w:rPr>
          <w:color w:val="000000" w:themeColor="text1"/>
          <w:sz w:val="20"/>
          <w:szCs w:val="20"/>
          <w:highlight w:val="white"/>
        </w:rPr>
      </w:pPr>
      <w:r>
        <w:rPr>
          <w:b/>
          <w:color w:val="000000" w:themeColor="text1"/>
          <w:sz w:val="20"/>
          <w:szCs w:val="20"/>
          <w:highlight w:val="white"/>
        </w:rPr>
        <w:t xml:space="preserve">4.2.</w:t>
      </w:r>
      <w:r>
        <w:rPr>
          <w:color w:val="000000" w:themeColor="text1"/>
          <w:sz w:val="20"/>
          <w:szCs w:val="20"/>
          <w:highlight w:val="white"/>
        </w:rPr>
        <w:t xml:space="preserve"> </w:t>
      </w:r>
      <w:r>
        <w:rPr>
          <w:color w:val="000000" w:themeColor="text1"/>
          <w:sz w:val="20"/>
          <w:szCs w:val="20"/>
          <w:highlight w:val="white"/>
        </w:rPr>
        <w:t xml:space="preserve">Заказчик </w:t>
      </w:r>
      <w:r>
        <w:rPr>
          <w:color w:val="000000" w:themeColor="text1"/>
          <w:sz w:val="20"/>
          <w:szCs w:val="20"/>
          <w:highlight w:val="white"/>
        </w:rPr>
        <w:t xml:space="preserve">оплачивает стоимость </w:t>
      </w:r>
      <w:r>
        <w:rPr>
          <w:color w:val="000000" w:themeColor="text1"/>
          <w:sz w:val="20"/>
          <w:szCs w:val="20"/>
          <w:highlight w:val="white"/>
        </w:rPr>
        <w:t xml:space="preserve"> поставки</w:t>
      </w:r>
      <w:r>
        <w:rPr>
          <w:color w:val="000000" w:themeColor="text1"/>
          <w:sz w:val="20"/>
          <w:szCs w:val="20"/>
          <w:highlight w:val="white"/>
        </w:rPr>
        <w:t xml:space="preserve">, подключения к экземпляру систем </w:t>
      </w:r>
      <w:r>
        <w:rPr>
          <w:color w:val="000000" w:themeColor="text1"/>
          <w:sz w:val="20"/>
          <w:szCs w:val="20"/>
          <w:highlight w:val="white"/>
        </w:rPr>
        <w:t xml:space="preserve"> в течение 7 (семи) рабочих дней со дня </w:t>
      </w:r>
      <w:r>
        <w:rPr>
          <w:color w:val="000000" w:themeColor="text1"/>
          <w:sz w:val="20"/>
          <w:szCs w:val="20"/>
          <w:highlight w:val="white"/>
        </w:rPr>
        <w:t xml:space="preserve">предоставления счета</w:t>
      </w:r>
      <w:r>
        <w:rPr>
          <w:color w:val="000000" w:themeColor="text1"/>
          <w:sz w:val="20"/>
          <w:szCs w:val="20"/>
          <w:highlight w:val="white"/>
        </w:rPr>
        <w:t xml:space="preserve">. Под датой оплаты понимается дата поступления денежных средств на расчетный счет Исполнителя.</w:t>
      </w:r>
      <w:r>
        <w:rPr>
          <w:color w:val="000000" w:themeColor="text1"/>
          <w:sz w:val="20"/>
          <w:szCs w:val="20"/>
          <w:highlight w:val="white"/>
        </w:rPr>
      </w:r>
    </w:p>
    <w:p>
      <w:pPr>
        <w:rPr>
          <w:color w:val="000000" w:themeColor="text1"/>
          <w:sz w:val="20"/>
          <w:szCs w:val="20"/>
          <w:highlight w:val="white"/>
        </w:rPr>
      </w:pPr>
      <w:r>
        <w:rPr>
          <w:b/>
          <w:color w:val="000000" w:themeColor="text1"/>
          <w:sz w:val="20"/>
          <w:szCs w:val="20"/>
          <w:highlight w:val="white"/>
        </w:rPr>
        <w:t xml:space="preserve">4.3.</w:t>
      </w:r>
      <w:r>
        <w:rPr>
          <w:color w:val="000000" w:themeColor="text1"/>
          <w:sz w:val="20"/>
          <w:szCs w:val="20"/>
          <w:highlight w:val="white"/>
        </w:rPr>
        <w:t xml:space="preserve"> Основанием для расчетов являетс</w:t>
      </w:r>
      <w:r>
        <w:rPr>
          <w:color w:val="000000" w:themeColor="text1"/>
          <w:sz w:val="20"/>
          <w:szCs w:val="20"/>
          <w:highlight w:val="white"/>
        </w:rPr>
        <w:t xml:space="preserve">я Документ о приемке, который Исполнитель предоставляет Заказчику. В Документе о приемке указывается стоимость Услуг за месяц.</w:t>
      </w:r>
      <w:r>
        <w:rPr>
          <w:color w:val="000000" w:themeColor="text1"/>
          <w:sz w:val="20"/>
          <w:szCs w:val="20"/>
          <w:highlight w:val="white"/>
        </w:rPr>
      </w:r>
    </w:p>
    <w:p>
      <w:pPr>
        <w:pStyle w:val="937"/>
        <w:ind w:right="0" w:firstLine="0"/>
        <w:jc w:val="both"/>
        <w:widowControl/>
        <w:rPr>
          <w:rFonts w:ascii="Times New Roman" w:hAnsi="Times New Roman"/>
          <w:color w:val="000000" w:themeColor="text1"/>
          <w:highlight w:val="white"/>
        </w:rPr>
      </w:pPr>
      <w:r>
        <w:rPr>
          <w:rFonts w:ascii="Times New Roman" w:hAnsi="Times New Roman"/>
          <w:b/>
          <w:color w:val="000000" w:themeColor="text1"/>
          <w:highlight w:val="white"/>
        </w:rPr>
        <w:t xml:space="preserve">4.4.</w:t>
      </w:r>
      <w:r>
        <w:rPr>
          <w:rFonts w:ascii="Times New Roman" w:hAnsi="Times New Roman"/>
          <w:color w:val="000000" w:themeColor="text1"/>
          <w:highlight w:val="white"/>
        </w:rPr>
        <w:t xml:space="preserve"> Если Заказчик произвел платеж, сумма которого недостаточна для погашения д</w:t>
      </w:r>
      <w:r>
        <w:rPr>
          <w:rFonts w:ascii="Times New Roman" w:hAnsi="Times New Roman"/>
          <w:color w:val="000000" w:themeColor="text1"/>
          <w:highlight w:val="white"/>
        </w:rPr>
        <w:t xml:space="preserve">енежного обязательства полностью, то в первую очер</w:t>
      </w:r>
      <w:r>
        <w:rPr>
          <w:rFonts w:ascii="Times New Roman" w:hAnsi="Times New Roman"/>
          <w:color w:val="000000" w:themeColor="text1"/>
          <w:highlight w:val="white"/>
        </w:rPr>
        <w:t xml:space="preserve">едь погашается задолженность за наиболее ранний месяц. При оплате за конкретный месяц в первую очередь погашается задолженность за фактически оказанные услуги.</w:t>
      </w:r>
      <w:r>
        <w:rPr>
          <w:rFonts w:ascii="Times New Roman" w:hAnsi="Times New Roman"/>
          <w:color w:val="000000" w:themeColor="text1"/>
          <w:highlight w:val="white"/>
        </w:rPr>
      </w:r>
    </w:p>
    <w:p>
      <w:pPr>
        <w:pStyle w:val="937"/>
        <w:ind w:right="0" w:firstLine="0"/>
        <w:jc w:val="both"/>
        <w:widowControl/>
        <w:rPr>
          <w:rFonts w:ascii="Times New Roman" w:hAnsi="Times New Roman"/>
          <w:bCs/>
          <w:color w:val="000000" w:themeColor="text1"/>
          <w:highlight w:val="white"/>
        </w:rPr>
      </w:pPr>
      <w:r>
        <w:rPr>
          <w:rFonts w:ascii="Times New Roman" w:hAnsi="Times New Roman"/>
          <w:b/>
          <w:color w:val="000000" w:themeColor="text1"/>
          <w:highlight w:val="white"/>
        </w:rPr>
        <w:t xml:space="preserve">4.5.</w:t>
      </w:r>
      <w:r>
        <w:rPr>
          <w:rFonts w:ascii="Times New Roman" w:hAnsi="Times New Roman"/>
          <w:color w:val="000000" w:themeColor="text1"/>
          <w:highlight w:val="white"/>
        </w:rPr>
        <w:t xml:space="preserve"> Заказчик</w:t>
      </w:r>
      <w:r>
        <w:rPr>
          <w:rFonts w:ascii="Times New Roman" w:hAnsi="Times New Roman"/>
          <w:b/>
          <w:color w:val="000000" w:themeColor="text1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highlight w:val="white"/>
        </w:rPr>
        <w:t xml:space="preserve">по согласованию</w:t>
      </w:r>
      <w:r>
        <w:rPr>
          <w:rFonts w:ascii="Times New Roman" w:hAnsi="Times New Roman"/>
          <w:b/>
          <w:bCs/>
          <w:color w:val="000000" w:themeColor="text1"/>
          <w:highlight w:val="white"/>
        </w:rPr>
        <w:t xml:space="preserve"> </w:t>
      </w:r>
      <w:r>
        <w:rPr>
          <w:rFonts w:ascii="Times New Roman" w:hAnsi="Times New Roman"/>
          <w:bCs/>
          <w:color w:val="000000" w:themeColor="text1"/>
          <w:highlight w:val="white"/>
        </w:rPr>
        <w:t xml:space="preserve">с Исполнителем вправе снизить цену договора без изменения предусмо</w:t>
      </w:r>
      <w:r>
        <w:rPr>
          <w:rFonts w:ascii="Times New Roman" w:hAnsi="Times New Roman"/>
          <w:bCs/>
          <w:color w:val="000000" w:themeColor="text1"/>
          <w:highlight w:val="white"/>
        </w:rPr>
        <w:t xml:space="preserve">тренных договором количества товара, объема работы или услуги, качества поставляемого товара, выполняемой работы, оказываемой услуги и иных условий настоящего договора.</w:t>
      </w:r>
      <w:r>
        <w:rPr>
          <w:rFonts w:ascii="Times New Roman" w:hAnsi="Times New Roman"/>
          <w:bCs/>
          <w:color w:val="000000" w:themeColor="text1"/>
          <w:highlight w:val="white"/>
        </w:rPr>
      </w:r>
    </w:p>
    <w:p>
      <w:pPr>
        <w:pStyle w:val="905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b/>
          <w:bCs/>
          <w:color w:val="000000" w:themeColor="text1"/>
          <w:highlight w:val="white"/>
        </w:rPr>
        <w:t xml:space="preserve">4.</w:t>
      </w:r>
      <w:r>
        <w:rPr>
          <w:rFonts w:ascii="Times New Roman" w:hAnsi="Times New Roman" w:cs="Times New Roman"/>
          <w:bCs/>
          <w:color w:val="000000" w:themeColor="text1"/>
          <w:highlight w:val="white"/>
        </w:rPr>
        <w:t xml:space="preserve">6.</w:t>
      </w:r>
      <w:r>
        <w:rPr>
          <w:rFonts w:ascii="Times New Roman" w:hAnsi="Times New Roman" w:cs="Times New Roman"/>
          <w:highlight w:val="white"/>
        </w:rPr>
        <w:t xml:space="preserve"> </w:t>
      </w:r>
      <w:r>
        <w:rPr>
          <w:rFonts w:ascii="Times New Roman" w:hAnsi="Times New Roman" w:cs="Times New Roman"/>
          <w:highlight w:val="white"/>
        </w:rPr>
        <w:t xml:space="preserve">Заказчик </w:t>
      </w:r>
      <w:r>
        <w:rPr>
          <w:rFonts w:ascii="Times New Roman" w:hAnsi="Times New Roman" w:cs="Times New Roman"/>
          <w:highlight w:val="white"/>
        </w:rPr>
        <w:t xml:space="preserve">оплачивает стоимость услуг</w:t>
      </w:r>
      <w:r>
        <w:rPr>
          <w:rFonts w:ascii="Times New Roman" w:hAnsi="Times New Roman" w:cs="Times New Roman"/>
          <w:highlight w:val="white"/>
        </w:rPr>
        <w:t xml:space="preserve"> в текущем месяце до 20 (Двадцатого) числа месяца оказания услуг.</w:t>
      </w:r>
      <w:r>
        <w:rPr>
          <w:rFonts w:ascii="Times New Roman" w:hAnsi="Times New Roman" w:cs="Times New Roman"/>
          <w:highlight w:val="white"/>
        </w:rPr>
      </w:r>
    </w:p>
    <w:p>
      <w:pPr>
        <w:pStyle w:val="905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Под датой оплаты понимается дата списания денежных сре</w:t>
      </w:r>
      <w:r>
        <w:rPr>
          <w:rFonts w:ascii="Times New Roman" w:hAnsi="Times New Roman" w:cs="Times New Roman"/>
          <w:highlight w:val="white"/>
        </w:rPr>
        <w:t xml:space="preserve">дств с р</w:t>
      </w:r>
      <w:r>
        <w:rPr>
          <w:rFonts w:ascii="Times New Roman" w:hAnsi="Times New Roman" w:cs="Times New Roman"/>
          <w:highlight w:val="white"/>
        </w:rPr>
        <w:t xml:space="preserve">асчетного счета Заказчика.</w:t>
      </w:r>
      <w:r>
        <w:rPr>
          <w:rFonts w:ascii="Times New Roman" w:hAnsi="Times New Roman" w:cs="Times New Roman"/>
          <w:highlight w:val="white"/>
        </w:rPr>
      </w:r>
    </w:p>
    <w:p>
      <w:pPr>
        <w:pStyle w:val="937"/>
        <w:ind w:right="0" w:firstLine="0"/>
        <w:jc w:val="both"/>
        <w:widowControl/>
        <w:rPr>
          <w:rFonts w:ascii="Times New Roman" w:hAnsi="Times New Roman"/>
          <w:bCs/>
          <w:color w:val="000000" w:themeColor="text1"/>
          <w:highlight w:val="white"/>
        </w:rPr>
      </w:pPr>
      <w:r>
        <w:rPr>
          <w:rFonts w:ascii="Times New Roman" w:hAnsi="Times New Roman"/>
          <w:bCs/>
          <w:color w:val="000000" w:themeColor="text1"/>
          <w:highlight w:val="white"/>
        </w:rPr>
      </w:r>
      <w:r>
        <w:rPr>
          <w:rFonts w:ascii="Times New Roman" w:hAnsi="Times New Roman"/>
          <w:bCs/>
          <w:color w:val="000000" w:themeColor="text1"/>
          <w:highlight w:val="white"/>
        </w:rPr>
      </w:r>
    </w:p>
    <w:p>
      <w:pPr>
        <w:pStyle w:val="905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numPr>
          <w:ilvl w:val="0"/>
          <w:numId w:val="2"/>
        </w:numPr>
        <w:ind w:left="0"/>
        <w:jc w:val="center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СРОК ДЕЙСТВИЯ ДОГОВОРА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Настоящий Договор вступает в силу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с момента подписания Сторонами и действует 12 месяцев, а в части оплаты до полного  исполнения Сторонами своих обязательств. 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</w:rPr>
        <w:t xml:space="preserve">Поставка экземпляров справочной системы Консультант Плюс в течение </w:t>
      </w:r>
      <w:r>
        <w:rPr>
          <w:rFonts w:ascii="Times New Roman" w:hAnsi="Times New Roman" w:cs="Times New Roman"/>
        </w:rPr>
        <w:t xml:space="preserve">7</w:t>
      </w:r>
      <w:r>
        <w:rPr>
          <w:rFonts w:ascii="Times New Roman" w:hAnsi="Times New Roman" w:cs="Times New Roman"/>
        </w:rPr>
        <w:t xml:space="preserve"> рабочих дней с момента заключения договора</w:t>
      </w:r>
      <w:r>
        <w:rPr>
          <w:rFonts w:ascii="Times New Roman" w:hAnsi="Times New Roman" w:cs="Times New Roman"/>
        </w:rPr>
        <w:t xml:space="preserve"> и оплаты счета.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numPr>
          <w:ilvl w:val="0"/>
          <w:numId w:val="2"/>
        </w:numPr>
        <w:ind w:left="0"/>
        <w:jc w:val="center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ОТВЕТСТВЕННОСТЬ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СТОРОН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В случае если у Заказчика возникнут обоснованные претензии к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Системе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в частях качества включенной в нее информации и/или некорректной работы программных средств и/или иной предоставленной информации и материалов, подготовленных Исполнителем с испол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ьзованием экземпляра Системы, Исполнитель обязуется рассмотреть Претензию Заказчика в течение 15 (Пятнадцати) дней с момента ее получения. Претензии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принимаются Исполнителем только в оплаченном периоде пополнения экземпляра Системы. В случае признания Прет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ензии обоснованной, Исполнитель обязан устранить недостатки в разумный срок. В случае не устранения недостатков в указанный срок, Заказчик будет вправе потребовать выплаты исключительной неустойки (штрафа) в размере, не превышающем стоимости одного месяца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оказания услуг с использованием соответствующего экземпляра Системы, и/или досрочного расторжения настоящего Договора путем составления дополнительной Претензии. Исполнитель обязуется в пятнадцатидневный срок со дня получения дополнительной Претензии письм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енно ответить на нее. В случае признания дополнительной Претензии Заказчика обоснованной, Исполнитель обязан в зависимости от требований Заказчика перечислить Заказчику исключительную неустойку (штраф) и/или расторгнуть настоящий Договор.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Исполнитель не не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сет ответственности за качество отключенного от сопровождения экземпляра Системы.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При нарушении Заказчиком условий оплаты Исполнитель имеет право прекратить исполнение любых обязательств перед Заказчиком, в т.ч. блокировать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использование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Заказчиком любых с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ервисов, предварительно уведомив об этом Заказчика за 5 (Пять) дней.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Исполнитель имеет право отказаться от исполнения настоящего Договора в одностороннем внесудебном порядке в случаях: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numPr>
          <w:ilvl w:val="2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Внесения Заказчиком изменений в средства программной защиты Системы, пр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иводящих к ее декомпилированию или модификации;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numPr>
          <w:ilvl w:val="2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Изготовления, воспроизведения, распространения (любым способом) Заказчиком контрафактных экземпляров Систем.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numPr>
          <w:ilvl w:val="2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В иных случаях, установленных настоящим Договором.</w:t>
      </w:r>
      <w:bookmarkStart w:id="16" w:name="Par543"/>
      <w:r/>
      <w:bookmarkStart w:id="17" w:name="Par2212"/>
      <w:r/>
      <w:bookmarkEnd w:id="16"/>
      <w:r/>
      <w:bookmarkEnd w:id="17"/>
      <w:r/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Исполнитель не несет ответственности за невозмож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ность исполнения своих обязательств перед Заказчиком по причине неполадок в работе компьютерного, телекоммуникационного оборудования или каналов связи Заказчика и/или третьих лиц (в том числе оборудования оператора, предоставляющего Заказчику услуги связи)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, а также в иных согласованных Сторонами случаях.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Заказчик обязан оплачивать услуги Исполнителя, в том числе и за периоды, в которые Заказчик фактически не использовал Системы по не зависящим от Исполнителя причинам.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numPr>
          <w:ilvl w:val="0"/>
          <w:numId w:val="2"/>
        </w:numPr>
        <w:ind w:left="0"/>
        <w:jc w:val="center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ОСОБЫЕ УСЛОВИЯ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/>
      <w:bookmarkStart w:id="18" w:name="п_9_1"/>
      <w:r/>
      <w:bookmarkEnd w:id="18"/>
      <w:r>
        <w:rPr>
          <w:rFonts w:ascii="Times New Roman" w:hAnsi="Times New Roman" w:cs="Times New Roman"/>
          <w:color w:val="000000" w:themeColor="text1"/>
          <w:highlight w:val="white"/>
        </w:rPr>
        <w:t xml:space="preserve">Заказчик имеет право отказаться от услуг, оказываемых Исполнителем согласно п. 2.1.2 настоящего Договора, до истечения срока действия Договора. Заказчик обязан уведомить Исполнителя о таком отказе не менее чем за 30 (Тридцать) дней.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/>
      <w:bookmarkStart w:id="19" w:name="п_9_2"/>
      <w:r/>
      <w:bookmarkEnd w:id="19"/>
      <w:r>
        <w:rPr>
          <w:rFonts w:ascii="Times New Roman" w:hAnsi="Times New Roman" w:cs="Times New Roman"/>
          <w:color w:val="000000" w:themeColor="text1"/>
          <w:highlight w:val="white"/>
        </w:rPr>
        <w:t xml:space="preserve">Оказание услуг, отменен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ное Заказчиком в соответствии с п. 7.1 настоящего Договора, может быть продолжено Исполнителем после оплаты Заказчиком стоимости возобновления обслуживания по Прейскуранту Исполнителя.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Заказчик обязан обеспечить соблюдение Уникальными пользователями положе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ний настоящего Договора.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Условия настоящего Договора являются конфиденциальными и не подлежат разглашению, за исключением случаев, когда иное предусмотрено законодательством Российской Федерации.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Исполнитель вправе передать все права и обязанности по насто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ящему Договору другому официальному Дистрибьютору Сети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КонсультантПлюс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с уведомлением Заказчика за 10 (Десять) дней до момента передачи.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Экземпляры Систем передаются и сопровождаются Исполнителем в виде «как есть» с параметрами информационного содержания,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определяемыми разработчиком, и не подлежат изменению по желанию Заказчика, если иное не предусмотрено соглашением Сторон. Разработчик Систем вправе самостоятельно определять информационное содержание Систем в рамках их общей направленности.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Информация, сод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ержащаяся в Системе, включая авторские материалы (комментарии, книги, статьи, ответы на вопросы и т.д.), имеет справочный характер.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Разработчик не несет ответственности за правильность информации, изложенной в авторских материалах.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В случае если в силу тех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нических особенностей определенной Системы какие-либо условия настоящего Договора выполнить невозможно, то эти условия и ответственность за невыполнение этих условий, если она предусмотрена, считаются недействующими в отношении экземпляров данной Системы.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Исполнитель может исполнять свои обязательства по настоящему Договору с привлечением третьих лиц.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Исполнитель может получать служебные файлы и информацию с компьютера Заказчика, необходимые для надлежащего исполнения обязательств перед Заказчиком.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С соглас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ия Заказчика Исполнитель вправе изменить параметры и/или название экземпляра Системы, сопровождаемого по настоящему Договору, путем передачи в адрес Заказчика письма с указанием новых параметров и/или названия экземпляра Системы. Соответствующие изменения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в Договор вступают в силу с момента получения Заказчиком указанного письма или иного момента, указанного в письме.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Заказчик обязан обеспечить правомерность использования Исполнителем персональных данных физических лиц, которые Заказчик передает Исполнителю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по настоящему Договору.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Заказчик уведомлен, что Разработчиком для отдельных Систем и сервисов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КонсультантПлюс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применяются технические средства защиты авторских прав (ст. 1299 ГК РФ), в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связи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с чем для использования Систем и сервисов может быть необходима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регистрация и/или авторизация Уникальных пользователей на электронных ресурсах Исполнителя и передача соответствующих данных.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В указанных случаях использование пользователями Систем и сервисов без регистрации и/или авторизации может быть невозможным, что н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е будет являться нарушением настоящего Договора со стороны Исполнителя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и/или основанием для ответственности Исполнителя по настоящему Договору и/или основанием для изменения цены настоящего Договора.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В случае заключения </w:t>
      </w:r>
      <w:bookmarkStart w:id="20" w:name="_Hlk132721951"/>
      <w:r>
        <w:rPr>
          <w:rFonts w:ascii="Times New Roman" w:hAnsi="Times New Roman" w:cs="Times New Roman"/>
          <w:color w:val="000000" w:themeColor="text1"/>
          <w:highlight w:val="white"/>
        </w:rPr>
        <w:t xml:space="preserve">дополнительного соглашения к настоящ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ему Договору Стороны могут установить приоритет условий дополнительного соглашения над условиями настоящего Договора</w:t>
      </w:r>
      <w:bookmarkEnd w:id="20"/>
      <w:r>
        <w:rPr>
          <w:rFonts w:ascii="Times New Roman" w:hAnsi="Times New Roman" w:cs="Times New Roman"/>
          <w:color w:val="000000" w:themeColor="text1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У любой из Сторон, которая является кредитором по денежному обязательству другой Стороны (должника), возникшему в связи с действием настоя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щего Договора, не возникает права на получение с должника процентов на сумму долга за период пользования денежными средствами по ст. 317.1 Гражданского кодекса РФ.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Оформление и обмен любыми документами по настоящему Договору (включая,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но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не ограничиваясь,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счета, акты, накладные, счета-фактуры, УПД, акты сверок) допускаются в электронном виде, с использованием электронного документооборота. Такие документы оформляются в соответствии с требованиями действующих нормативно-правовых актов, в т.ч. Федерального за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кона от 6 апреля 2011 г. N 63-ФЗ "Об электронной подписи", и подписываются квалифицированной электронной подписью. Заказчик и Исполнитель признают указанные документы равнозначными документам на бумажном носителе, подписанным соответствующими собственноруч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ными подписями своих уполномоченных представителей и заверенным печатями (при необходимости). Стороны несут ответственность за обеспечение конфиденциальности ключей электронной подписи и за их несанкционированное использование. Стороны также вправе произво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дить оформление и обмен документами по настоящему Договору на бумажном носителе с подписанием собственноручной подписью уполномоченных представителей и приложением оттиска печати (при необходимости), при этом по требованию любой из Сторон оформление и обме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н такими документами и/или дубликатами документов являются обязательными. Стороны соглашаются применять электронный документооборот в рамках настоящего договора с момента подписания «Соглашения о применении электронного документооборота» в системе электрон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ного документооборота.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Системы по заказу Разработчика Систем могут модифицироваться официальными Представителями Сети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КонсультантПлюс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либо иными организациями в соответствии с технологическими процедурами и политикой Разработчика Систем. Исполнитель оказыв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ает Заказчику услуги по адаптации и сопровождению Систем, модифицированных Исполнителем.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/>
      <w:bookmarkStart w:id="21" w:name="_GoBack"/>
      <w:r>
        <w:rPr>
          <w:rFonts w:ascii="Times New Roman" w:hAnsi="Times New Roman" w:cs="Times New Roman"/>
          <w:color w:val="333333"/>
        </w:rPr>
        <w:t xml:space="preserve">Настоящий Договор заключен на электронной торговой площадке и подписан электронными подписями. Стороны вправе изготовить копии настоящего Договора в письменном виде.</w:t>
      </w:r>
      <w:bookmarkEnd w:id="21"/>
      <w:r/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numPr>
          <w:ilvl w:val="0"/>
          <w:numId w:val="2"/>
        </w:numPr>
        <w:ind w:left="0"/>
        <w:jc w:val="center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РЕКВИЗИТЫ СТОРОН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jc w:val="both"/>
        <w:keepLines/>
        <w:keepNext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tbl>
      <w:tblPr>
        <w:tblW w:w="4986" w:type="pct"/>
        <w:tblLayout w:type="fixed"/>
        <w:tblCellMar>
          <w:left w:w="113" w:type="dxa"/>
          <w:right w:w="28" w:type="dxa"/>
        </w:tblCellMar>
        <w:tblLook w:val="00A0" w:firstRow="1" w:lastRow="0" w:firstColumn="1" w:lastColumn="0" w:noHBand="0" w:noVBand="0"/>
      </w:tblPr>
      <w:tblGrid>
        <w:gridCol w:w="5041"/>
        <w:gridCol w:w="4711"/>
      </w:tblGrid>
      <w:tr>
        <w:tblPrEx/>
        <w:trPr/>
        <w:tc>
          <w:tcPr>
            <w:tcW w:w="5040" w:type="dxa"/>
            <w:textDirection w:val="lrTb"/>
            <w:noWrap w:val="false"/>
          </w:tcPr>
          <w:p>
            <w:pPr>
              <w:pStyle w:val="931"/>
              <w:jc w:val="left"/>
              <w:keepLines/>
              <w:keepNext/>
              <w:rPr>
                <w:b/>
                <w:bCs/>
                <w:color w:val="000000" w:themeColor="text1"/>
                <w:highlight w:val="white"/>
              </w:rPr>
            </w:pPr>
            <w:r>
              <w:rPr>
                <w:b/>
                <w:bCs/>
                <w:color w:val="000000" w:themeColor="text1"/>
                <w:highlight w:val="white"/>
              </w:rPr>
              <w:t xml:space="preserve">ЗАКАЗЧИК:</w:t>
            </w:r>
            <w:r>
              <w:rPr>
                <w:b/>
                <w:bCs/>
                <w:color w:val="000000" w:themeColor="text1"/>
                <w:highlight w:val="white"/>
              </w:rPr>
            </w:r>
          </w:p>
        </w:tc>
        <w:tc>
          <w:tcPr>
            <w:tcW w:w="4711" w:type="dxa"/>
            <w:textDirection w:val="lrTb"/>
            <w:noWrap w:val="false"/>
          </w:tcPr>
          <w:p>
            <w:pPr>
              <w:pStyle w:val="931"/>
              <w:jc w:val="left"/>
              <w:keepLines/>
              <w:keepNext/>
              <w:rPr>
                <w:b/>
                <w:bCs/>
                <w:color w:val="000000" w:themeColor="text1"/>
                <w:highlight w:val="white"/>
              </w:rPr>
            </w:pPr>
            <w:r>
              <w:rPr>
                <w:b/>
                <w:bCs/>
                <w:color w:val="000000" w:themeColor="text1"/>
                <w:highlight w:val="white"/>
              </w:rPr>
              <w:t xml:space="preserve">ИСПОЛНИТЕЛЬ:</w:t>
            </w:r>
            <w:r>
              <w:rPr>
                <w:b/>
                <w:bCs/>
                <w:color w:val="000000" w:themeColor="text1"/>
                <w:highlight w:val="white"/>
              </w:rPr>
            </w:r>
          </w:p>
        </w:tc>
      </w:tr>
      <w:tr>
        <w:tblPrEx/>
        <w:trPr/>
        <w:tc>
          <w:tcPr>
            <w:tcW w:w="5040" w:type="dxa"/>
            <w:textDirection w:val="lrTb"/>
            <w:noWrap w:val="false"/>
          </w:tcPr>
          <w:p>
            <w:pPr>
              <w:pStyle w:val="931"/>
              <w:jc w:val="left"/>
              <w:keepLines/>
              <w:keepNext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4711" w:type="dxa"/>
            <w:textDirection w:val="lrTb"/>
            <w:noWrap w:val="false"/>
          </w:tcPr>
          <w:p>
            <w:pPr>
              <w:pStyle w:val="931"/>
              <w:jc w:val="left"/>
              <w:keepLines/>
              <w:keepNext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/>
        <w:tc>
          <w:tcPr>
            <w:tcW w:w="5040" w:type="dxa"/>
            <w:textDirection w:val="lrTb"/>
            <w:noWrap w:val="false"/>
          </w:tcPr>
          <w:p>
            <w:pPr>
              <w:pStyle w:val="931"/>
              <w:jc w:val="left"/>
              <w:keepLines/>
              <w:keepNext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ИНН                   КПП</w:t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4711" w:type="dxa"/>
            <w:textDirection w:val="lrTb"/>
            <w:noWrap w:val="false"/>
          </w:tcPr>
          <w:p>
            <w:pPr>
              <w:pStyle w:val="931"/>
              <w:jc w:val="left"/>
              <w:keepLines/>
              <w:keepNext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ИНН:                            КПП:</w:t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/>
        <w:tc>
          <w:tcPr>
            <w:tcW w:w="5040" w:type="dxa"/>
            <w:textDirection w:val="lrTb"/>
            <w:noWrap w:val="false"/>
          </w:tcPr>
          <w:p>
            <w:pPr>
              <w:pStyle w:val="931"/>
              <w:jc w:val="left"/>
              <w:keepLines/>
              <w:keepNext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Адрес по ЕГРЮЛ</w:t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4711" w:type="dxa"/>
            <w:textDirection w:val="lrTb"/>
            <w:noWrap w:val="false"/>
          </w:tcPr>
          <w:p>
            <w:pPr>
              <w:pStyle w:val="931"/>
              <w:jc w:val="left"/>
              <w:keepLines/>
              <w:keepNext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Адрес по ЕГРЮЛ:                                                                        </w:t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pStyle w:val="931"/>
              <w:jc w:val="left"/>
              <w:keepLines/>
              <w:keepNext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  </w:t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pStyle w:val="931"/>
              <w:jc w:val="left"/>
              <w:keepLines/>
              <w:keepNext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pStyle w:val="931"/>
              <w:jc w:val="left"/>
              <w:keepLines/>
              <w:keepNext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/>
        <w:tc>
          <w:tcPr>
            <w:tcW w:w="5040" w:type="dxa"/>
            <w:textDirection w:val="lrTb"/>
            <w:noWrap w:val="false"/>
          </w:tcPr>
          <w:p>
            <w:pPr>
              <w:pStyle w:val="931"/>
              <w:jc w:val="left"/>
              <w:keepLines/>
              <w:keepNext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Почтовый адрес: </w:t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4711" w:type="dxa"/>
            <w:textDirection w:val="lrTb"/>
            <w:noWrap w:val="false"/>
          </w:tcPr>
          <w:p>
            <w:pPr>
              <w:pStyle w:val="931"/>
              <w:jc w:val="left"/>
              <w:keepLines/>
              <w:keepNext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Почтовый адрес: </w:t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pStyle w:val="931"/>
              <w:jc w:val="left"/>
              <w:keepLines/>
              <w:keepNext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/>
        <w:tc>
          <w:tcPr>
            <w:tcW w:w="5040" w:type="dxa"/>
            <w:textDirection w:val="lrTb"/>
            <w:noWrap w:val="false"/>
          </w:tcPr>
          <w:p>
            <w:pPr>
              <w:pStyle w:val="931"/>
              <w:jc w:val="left"/>
              <w:keepLines/>
              <w:keepNext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Банковские реквизиты: </w:t>
            </w:r>
            <w:r>
              <w:rPr>
                <w:color w:val="000000" w:themeColor="text1"/>
                <w:highlight w:val="white"/>
              </w:rPr>
              <w:fldChar w:fldCharType="begin"/>
            </w:r>
            <w:r>
              <w:rPr>
                <w:color w:val="000000" w:themeColor="text1"/>
                <w:highlight w:val="white"/>
              </w:rPr>
              <w:instrText xml:space="preserve"> DOCVARIABLE ЗАКАЗЧИК_БАНКРЕКВ_026 </w:instrText>
            </w:r>
            <w:r>
              <w:rPr>
                <w:color w:val="000000" w:themeColor="text1"/>
                <w:highlight w:val="white"/>
              </w:rPr>
              <w:fldChar w:fldCharType="separate"/>
            </w:r>
            <w:r>
              <w:rPr>
                <w:color w:val="000000" w:themeColor="text1"/>
                <w:highlight w:val="white"/>
              </w:rPr>
              <w:t xml:space="preserve">__________________________ ____________________________________________________________________________________________</w:t>
            </w:r>
            <w:r>
              <w:rPr>
                <w:color w:val="000000" w:themeColor="text1"/>
                <w:highlight w:val="white"/>
              </w:rPr>
              <w:fldChar w:fldCharType="end"/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4711" w:type="dxa"/>
            <w:textDirection w:val="lrTb"/>
            <w:noWrap w:val="false"/>
          </w:tcPr>
          <w:p>
            <w:pPr>
              <w:pStyle w:val="931"/>
              <w:jc w:val="left"/>
              <w:keepLines/>
              <w:keepNext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Банковские реквизиты: </w:t>
            </w:r>
            <w:r>
              <w:rPr>
                <w:color w:val="000000" w:themeColor="text1"/>
                <w:highlight w:val="white"/>
              </w:rPr>
              <w:fldChar w:fldCharType="begin"/>
            </w:r>
            <w:r>
              <w:rPr>
                <w:color w:val="000000" w:themeColor="text1"/>
                <w:highlight w:val="white"/>
              </w:rPr>
              <w:instrText xml:space="preserve"> DOCVARIABLE ЗАКАЗЧИК_БАНКРЕКВ_026 </w:instrText>
            </w:r>
            <w:r>
              <w:rPr>
                <w:color w:val="000000" w:themeColor="text1"/>
                <w:highlight w:val="white"/>
              </w:rPr>
              <w:fldChar w:fldCharType="separate"/>
            </w:r>
            <w:r>
              <w:rPr>
                <w:color w:val="000000" w:themeColor="text1"/>
                <w:highlight w:val="white"/>
              </w:rPr>
              <w:t xml:space="preserve">___________________</w:t>
            </w:r>
            <w:r>
              <w:rPr>
                <w:color w:val="000000" w:themeColor="text1"/>
                <w:highlight w:val="white"/>
              </w:rPr>
              <w:t xml:space="preserve">___________________________________________________________________________________</w:t>
            </w:r>
            <w:r>
              <w:rPr>
                <w:color w:val="000000" w:themeColor="text1"/>
                <w:highlight w:val="white"/>
              </w:rPr>
              <w:fldChar w:fldCharType="end"/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pStyle w:val="931"/>
              <w:jc w:val="left"/>
              <w:keepLines/>
              <w:keepNext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/>
        <w:tc>
          <w:tcPr>
            <w:tcW w:w="5040" w:type="dxa"/>
            <w:textDirection w:val="lrTb"/>
            <w:noWrap w:val="false"/>
          </w:tcPr>
          <w:p>
            <w:pPr>
              <w:pStyle w:val="931"/>
              <w:jc w:val="left"/>
              <w:keepLines/>
              <w:keepNext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Телефон: </w:t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4711" w:type="dxa"/>
            <w:textDirection w:val="lrTb"/>
            <w:noWrap w:val="false"/>
          </w:tcPr>
          <w:p>
            <w:pPr>
              <w:pStyle w:val="931"/>
              <w:jc w:val="left"/>
              <w:keepLines/>
              <w:keepNext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Телефон: </w:t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82"/>
        </w:trPr>
        <w:tc>
          <w:tcPr>
            <w:tcW w:w="5040" w:type="dxa"/>
            <w:textDirection w:val="lrTb"/>
            <w:noWrap w:val="false"/>
          </w:tcPr>
          <w:p>
            <w:pPr>
              <w:pStyle w:val="931"/>
              <w:jc w:val="left"/>
              <w:keepLines/>
              <w:keepNext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val="en-US"/>
              </w:rPr>
              <w:t xml:space="preserve">E-mail:</w:t>
            </w:r>
            <w:r>
              <w:rPr>
                <w:color w:val="000000" w:themeColor="text1"/>
                <w:highlight w:val="white"/>
              </w:rPr>
              <w:t xml:space="preserve"> </w:t>
            </w:r>
            <w:r>
              <w:rPr>
                <w:color w:val="000000" w:themeColor="text1"/>
                <w:highlight w:val="white"/>
              </w:rPr>
              <w:fldChar w:fldCharType="begin"/>
            </w:r>
            <w:r>
              <w:rPr>
                <w:color w:val="000000" w:themeColor="text1"/>
                <w:highlight w:val="white"/>
              </w:rPr>
              <w:instrText xml:space="preserve"> DOCVARIABLE ЗАКАЗЧИК_EMAIL_РАБОЧИЙ </w:instrText>
            </w:r>
            <w:r>
              <w:rPr>
                <w:color w:val="000000" w:themeColor="text1"/>
                <w:highlight w:val="white"/>
              </w:rPr>
              <w:fldChar w:fldCharType="separate"/>
            </w:r>
            <w:r>
              <w:rPr>
                <w:color w:val="000000" w:themeColor="text1"/>
                <w:highlight w:val="white"/>
              </w:rPr>
              <w:t xml:space="preserve">______________</w:t>
            </w:r>
            <w:r>
              <w:rPr>
                <w:color w:val="000000" w:themeColor="text1"/>
                <w:highlight w:val="white"/>
              </w:rPr>
              <w:fldChar w:fldCharType="end"/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4711" w:type="dxa"/>
            <w:textDirection w:val="lrTb"/>
            <w:noWrap w:val="false"/>
          </w:tcPr>
          <w:p>
            <w:pPr>
              <w:pStyle w:val="931"/>
              <w:jc w:val="left"/>
              <w:keepLines/>
              <w:keepNext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val="en-US"/>
              </w:rPr>
              <w:t xml:space="preserve">E-mail: </w:t>
            </w:r>
            <w:r>
              <w:rPr>
                <w:color w:val="000000" w:themeColor="text1"/>
                <w:highlight w:val="white"/>
              </w:rPr>
            </w:r>
          </w:p>
        </w:tc>
      </w:tr>
    </w:tbl>
    <w:p>
      <w:pPr>
        <w:pStyle w:val="905"/>
        <w:jc w:val="both"/>
        <w:keepLines/>
        <w:keepNext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tbl>
      <w:tblPr>
        <w:tblW w:w="4944" w:type="pct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1369"/>
        <w:gridCol w:w="3501"/>
        <w:gridCol w:w="279"/>
        <w:gridCol w:w="1700"/>
        <w:gridCol w:w="2788"/>
      </w:tblGrid>
      <w:tr>
        <w:tblPrEx/>
        <w:trPr/>
        <w:tc>
          <w:tcPr>
            <w:tcW w:w="1370" w:type="dxa"/>
            <w:vAlign w:val="center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widowControl w:val="off"/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От Заказчика: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501" w:type="dxa"/>
            <w:vAlign w:val="center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/>
            <w:bookmarkStart w:id="22" w:name="ПодписьДолжностьЗаказчик"/>
            <w:r/>
            <w:bookmarkEnd w:id="22"/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begin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instrText xml:space="preserve"> DOCVARIABLE ПОДПИСАНТ_ЗАКАЗЧИК_ДОЛЖНОСТЬ_ЗАГЛ </w:instrTex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Директор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7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widowControl w:val="off"/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От Исполнителя: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788" w:type="dxa"/>
            <w:vAlign w:val="center"/>
            <w:textDirection w:val="lrTb"/>
            <w:noWrap w:val="false"/>
          </w:tcPr>
          <w:p>
            <w:pPr>
              <w:pStyle w:val="929"/>
              <w:ind w:left="0"/>
              <w:jc w:val="right"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/>
            <w:bookmarkStart w:id="23" w:name="ПодписьДолжность"/>
            <w:r/>
            <w:bookmarkEnd w:id="23"/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begin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instrText xml:space="preserve"> DOCVARIABLE ВИДПЕРЕДАЧИ_ЕСТЬЭДО_УДАЛИТЬ[НАЧАЛО] </w:instrTex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begin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instrText xml:space="preserve"> DOCVARIABLE ПОДПИСАНТ_ИСПОЛНИТЕЛЬ_ДОЛЖНОСТЬ </w:instrTex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Директор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begin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instrText xml:space="preserve"> DOCVARIABLE ВИДПЕРЕДАЧИ_ЕСТЬЭДО_УДАЛИТЬ[КОНЕЦ] </w:instrTex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1370" w:type="dxa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501" w:type="dxa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(должность)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79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788" w:type="dxa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(должность)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501" w:type="dxa"/>
            <w:vAlign w:val="center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begin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instrText xml:space="preserve"> DOCVARIABLE ПОДПИСАНТ_ЗАКАЗЧИК_ИОФАМИЛИЯ </w:instrTex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о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7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1700" w:type="dxa"/>
            <w:vAlign w:val="center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788" w:type="dxa"/>
            <w:vAlign w:val="center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1370" w:type="dxa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(подпись)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501" w:type="dxa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79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1700" w:type="dxa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(подпись)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788" w:type="dxa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gridSpan w:val="2"/>
            <w:tcW w:w="4871" w:type="dxa"/>
            <w:textDirection w:val="lrTb"/>
            <w:noWrap w:val="false"/>
          </w:tcPr>
          <w:p>
            <w:pPr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79" w:type="dxa"/>
            <w:textDirection w:val="lrTb"/>
            <w:noWrap w:val="false"/>
          </w:tcPr>
          <w:p>
            <w:pPr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788" w:type="dxa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1370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М.П.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501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79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М.П.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788" w:type="dxa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</w:tbl>
    <w:p>
      <w:pPr>
        <w:pStyle w:val="905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  <w:sectPr>
          <w:footerReference w:type="default" r:id="rId11"/>
          <w:footnotePr/>
          <w:endnotePr/>
          <w:type w:val="continuous"/>
          <w:pgSz w:w="11906" w:h="16838" w:orient="portrait"/>
          <w:pgMar w:top="567" w:right="1134" w:bottom="567" w:left="1134" w:header="0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spacing w:line="240" w:lineRule="atLeast"/>
        <w:tabs>
          <w:tab w:val="left" w:pos="1418" w:leader="none"/>
          <w:tab w:val="right" w:pos="8222" w:leader="none"/>
          <w:tab w:val="right" w:pos="9356" w:leader="none"/>
        </w:tabs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line="240" w:lineRule="atLeast"/>
        <w:tabs>
          <w:tab w:val="left" w:pos="1418" w:leader="none"/>
          <w:tab w:val="right" w:pos="8222" w:leader="none"/>
          <w:tab w:val="right" w:pos="9356" w:leader="none"/>
        </w:tabs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jc w:val="left"/>
        <w:spacing w:after="0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jc w:val="right"/>
        <w:spacing w:after="0"/>
        <w:rPr>
          <w:color w:val="000000" w:themeColor="text1"/>
          <w:sz w:val="20"/>
          <w:szCs w:val="20"/>
          <w:highlight w:val="white"/>
        </w:rPr>
      </w:pPr>
      <w:r>
        <w:rPr>
          <w:b/>
          <w:bCs/>
          <w:color w:val="000000" w:themeColor="text1"/>
          <w:sz w:val="20"/>
          <w:szCs w:val="20"/>
          <w:highlight w:val="white"/>
        </w:rPr>
        <w:t xml:space="preserve">Приложение   к Договору</w:t>
      </w:r>
      <w:r>
        <w:rPr>
          <w:color w:val="000000" w:themeColor="text1"/>
          <w:sz w:val="20"/>
          <w:szCs w:val="20"/>
          <w:highlight w:val="white"/>
        </w:rPr>
        <w:t xml:space="preserve">      от </w:t>
      </w:r>
      <w:r>
        <w:rPr>
          <w:color w:val="000000" w:themeColor="text1"/>
          <w:sz w:val="20"/>
          <w:szCs w:val="20"/>
          <w:highlight w:val="white"/>
        </w:rPr>
        <w:fldChar w:fldCharType="begin"/>
      </w:r>
      <w:r>
        <w:rPr>
          <w:color w:val="000000" w:themeColor="text1"/>
          <w:sz w:val="20"/>
          <w:szCs w:val="20"/>
          <w:highlight w:val="white"/>
        </w:rPr>
        <w:instrText xml:space="preserve"> DOCVARIABLE ЭСДОГ_ДАТАСОЗДАНИЯПРОПИСЬЮ </w:instrText>
      </w:r>
      <w:r>
        <w:rPr>
          <w:color w:val="000000" w:themeColor="text1"/>
          <w:sz w:val="20"/>
          <w:szCs w:val="20"/>
          <w:highlight w:val="white"/>
        </w:rPr>
        <w:fldChar w:fldCharType="separate"/>
      </w:r>
      <w:r>
        <w:rPr>
          <w:color w:val="000000" w:themeColor="text1"/>
          <w:sz w:val="20"/>
          <w:szCs w:val="20"/>
          <w:highlight w:val="white"/>
        </w:rPr>
        <w:t xml:space="preserve">______ 202      г.</w:t>
      </w:r>
      <w:r>
        <w:rPr>
          <w:color w:val="000000" w:themeColor="text1"/>
          <w:sz w:val="20"/>
          <w:szCs w:val="20"/>
          <w:highlight w:val="white"/>
        </w:rPr>
        <w:fldChar w:fldCharType="end"/>
      </w:r>
      <w:r>
        <w:rPr>
          <w:color w:val="000000" w:themeColor="text1"/>
          <w:sz w:val="20"/>
          <w:szCs w:val="20"/>
          <w:highlight w:val="white"/>
        </w:rPr>
        <w:t xml:space="preserve"> </w:t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after="0"/>
        <w:tabs>
          <w:tab w:val="left" w:pos="6420" w:leader="none"/>
        </w:tabs>
        <w:rPr>
          <w:b/>
          <w:bCs/>
          <w:caps/>
          <w:color w:val="000000" w:themeColor="text1"/>
          <w:sz w:val="20"/>
          <w:szCs w:val="20"/>
          <w:highlight w:val="white"/>
        </w:rPr>
        <w:pBdr>
          <w:bottom w:val="single" w:color="000000" w:sz="12" w:space="1"/>
        </w:pBdr>
      </w:pPr>
      <w:r>
        <w:rPr>
          <w:b/>
          <w:bCs/>
          <w:caps/>
          <w:color w:val="000000" w:themeColor="text1"/>
          <w:sz w:val="20"/>
          <w:szCs w:val="20"/>
          <w:highlight w:val="white"/>
        </w:rPr>
        <w:tab/>
      </w:r>
      <w:r>
        <w:rPr>
          <w:b/>
          <w:bCs/>
          <w:caps/>
          <w:color w:val="000000" w:themeColor="text1"/>
          <w:sz w:val="20"/>
          <w:szCs w:val="20"/>
          <w:highlight w:val="white"/>
        </w:rPr>
      </w:r>
    </w:p>
    <w:p>
      <w:pPr>
        <w:jc w:val="center"/>
        <w:spacing w:after="0"/>
        <w:rPr>
          <w:b/>
          <w:bCs/>
          <w:caps/>
          <w:color w:val="000000" w:themeColor="text1"/>
          <w:sz w:val="20"/>
          <w:szCs w:val="20"/>
          <w:highlight w:val="white"/>
        </w:rPr>
        <w:pBdr>
          <w:bottom w:val="single" w:color="000000" w:sz="12" w:space="1"/>
        </w:pBdr>
      </w:pPr>
      <w:r>
        <w:rPr>
          <w:b/>
          <w:bCs/>
          <w:caps/>
          <w:color w:val="000000" w:themeColor="text1"/>
          <w:sz w:val="20"/>
          <w:szCs w:val="20"/>
          <w:highlight w:val="white"/>
        </w:rPr>
        <w:t xml:space="preserve">Форма уведомления</w:t>
      </w:r>
      <w:r>
        <w:rPr>
          <w:b/>
          <w:bCs/>
          <w:caps/>
          <w:color w:val="000000" w:themeColor="text1"/>
          <w:sz w:val="20"/>
          <w:szCs w:val="20"/>
          <w:highlight w:val="white"/>
        </w:rPr>
      </w:r>
    </w:p>
    <w:p>
      <w:pPr>
        <w:jc w:val="center"/>
        <w:spacing w:after="0"/>
        <w:rPr>
          <w:b/>
          <w:bCs/>
          <w:caps/>
          <w:color w:val="000000" w:themeColor="text1"/>
          <w:sz w:val="20"/>
          <w:szCs w:val="20"/>
          <w:highlight w:val="white"/>
        </w:rPr>
        <w:pBdr>
          <w:bottom w:val="single" w:color="000000" w:sz="12" w:space="1"/>
        </w:pBdr>
      </w:pPr>
      <w:r>
        <w:rPr>
          <w:b/>
          <w:bCs/>
          <w:caps/>
          <w:color w:val="000000" w:themeColor="text1"/>
          <w:sz w:val="20"/>
          <w:szCs w:val="20"/>
          <w:highlight w:val="white"/>
        </w:rPr>
        <w:t xml:space="preserve">об изменении адреса электронной почты ЗАКАзЧИКА</w:t>
      </w:r>
      <w:r>
        <w:rPr>
          <w:b/>
          <w:bCs/>
          <w:caps/>
          <w:color w:val="000000" w:themeColor="text1"/>
          <w:sz w:val="20"/>
          <w:szCs w:val="20"/>
          <w:highlight w:val="white"/>
        </w:rPr>
      </w:r>
    </w:p>
    <w:p>
      <w:pPr>
        <w:jc w:val="right"/>
        <w:spacing w:after="0"/>
        <w:rPr>
          <w:b/>
          <w:bCs/>
          <w:caps/>
          <w:color w:val="000000" w:themeColor="text1"/>
          <w:sz w:val="20"/>
          <w:szCs w:val="20"/>
          <w:highlight w:val="white"/>
        </w:rPr>
      </w:pPr>
      <w:r>
        <w:rPr>
          <w:b/>
          <w:bCs/>
          <w:caps/>
          <w:color w:val="000000" w:themeColor="text1"/>
          <w:sz w:val="20"/>
          <w:szCs w:val="20"/>
          <w:highlight w:val="white"/>
        </w:rPr>
      </w:r>
      <w:r>
        <w:rPr>
          <w:b/>
          <w:bCs/>
          <w:caps/>
          <w:color w:val="000000" w:themeColor="text1"/>
          <w:sz w:val="20"/>
          <w:szCs w:val="20"/>
          <w:highlight w:val="white"/>
        </w:rPr>
      </w:r>
    </w:p>
    <w:p>
      <w:pPr>
        <w:jc w:val="right"/>
        <w:spacing w:after="0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jc w:val="left"/>
        <w:spacing w:after="0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jc w:val="right"/>
        <w:spacing w:after="0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jc w:val="center"/>
        <w:spacing w:after="0"/>
        <w:rPr>
          <w:caps/>
          <w:color w:val="000000" w:themeColor="text1"/>
          <w:sz w:val="20"/>
          <w:szCs w:val="20"/>
          <w:highlight w:val="white"/>
        </w:rPr>
      </w:pPr>
      <w:r>
        <w:rPr>
          <w:caps/>
          <w:color w:val="000000" w:themeColor="text1"/>
          <w:sz w:val="20"/>
          <w:szCs w:val="20"/>
          <w:highlight w:val="white"/>
        </w:rPr>
        <w:t xml:space="preserve">уведомлениЕ</w:t>
      </w:r>
      <w:r>
        <w:rPr>
          <w:caps/>
          <w:color w:val="000000" w:themeColor="text1"/>
          <w:sz w:val="20"/>
          <w:szCs w:val="20"/>
          <w:highlight w:val="white"/>
        </w:rPr>
      </w:r>
    </w:p>
    <w:p>
      <w:pPr>
        <w:jc w:val="center"/>
        <w:spacing w:after="0"/>
        <w:rPr>
          <w:caps/>
          <w:color w:val="000000" w:themeColor="text1"/>
          <w:sz w:val="20"/>
          <w:szCs w:val="20"/>
          <w:highlight w:val="white"/>
        </w:rPr>
      </w:pPr>
      <w:r>
        <w:rPr>
          <w:caps/>
          <w:color w:val="000000" w:themeColor="text1"/>
          <w:sz w:val="20"/>
          <w:szCs w:val="20"/>
          <w:highlight w:val="white"/>
        </w:rPr>
        <w:t xml:space="preserve">об изменении адреса электронной почты ЗАКАзЧИКА</w:t>
      </w:r>
      <w:r>
        <w:rPr>
          <w:caps/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bCs/>
          <w:color w:val="000000" w:themeColor="text1"/>
          <w:sz w:val="20"/>
          <w:szCs w:val="20"/>
          <w:highlight w:val="white"/>
        </w:rPr>
      </w:pPr>
      <w:r>
        <w:rPr>
          <w:bCs/>
          <w:color w:val="000000" w:themeColor="text1"/>
          <w:sz w:val="20"/>
          <w:szCs w:val="20"/>
          <w:highlight w:val="white"/>
        </w:rPr>
      </w:r>
      <w:r>
        <w:rPr>
          <w:bCs/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  <w:t xml:space="preserve">__________________, именуемо</w:t>
      </w:r>
      <w:r>
        <w:rPr>
          <w:color w:val="000000" w:themeColor="text1"/>
          <w:sz w:val="20"/>
          <w:szCs w:val="20"/>
          <w:highlight w:val="white"/>
        </w:rPr>
        <w:t xml:space="preserve">е(</w:t>
      </w:r>
      <w:r>
        <w:rPr>
          <w:color w:val="000000" w:themeColor="text1"/>
          <w:sz w:val="20"/>
          <w:szCs w:val="20"/>
          <w:highlight w:val="white"/>
        </w:rPr>
        <w:t xml:space="preserve">ый</w:t>
      </w:r>
      <w:r>
        <w:rPr>
          <w:color w:val="000000" w:themeColor="text1"/>
          <w:sz w:val="20"/>
          <w:szCs w:val="20"/>
          <w:highlight w:val="white"/>
        </w:rPr>
        <w:t xml:space="preserve">) в дальнейшем Заказчик, в лице _______________________, действующего на основании _________________, информирует Вас об изменении адреса(</w:t>
      </w:r>
      <w:r>
        <w:rPr>
          <w:color w:val="000000" w:themeColor="text1"/>
          <w:sz w:val="20"/>
          <w:szCs w:val="20"/>
          <w:highlight w:val="white"/>
        </w:rPr>
        <w:t xml:space="preserve">ов</w:t>
      </w:r>
      <w:r>
        <w:rPr>
          <w:color w:val="000000" w:themeColor="text1"/>
          <w:sz w:val="20"/>
          <w:szCs w:val="20"/>
          <w:highlight w:val="white"/>
        </w:rPr>
        <w:t xml:space="preserve">) электронной почты, указанного(</w:t>
      </w:r>
      <w:r>
        <w:rPr>
          <w:color w:val="000000" w:themeColor="text1"/>
          <w:sz w:val="20"/>
          <w:szCs w:val="20"/>
          <w:highlight w:val="white"/>
        </w:rPr>
        <w:t xml:space="preserve">ых</w:t>
      </w:r>
      <w:r>
        <w:rPr>
          <w:color w:val="000000" w:themeColor="text1"/>
          <w:sz w:val="20"/>
          <w:szCs w:val="20"/>
          <w:highlight w:val="white"/>
        </w:rPr>
        <w:t xml:space="preserve">) в Спецификации(</w:t>
      </w:r>
      <w:r>
        <w:rPr>
          <w:color w:val="000000" w:themeColor="text1"/>
          <w:sz w:val="20"/>
          <w:szCs w:val="20"/>
          <w:highlight w:val="white"/>
        </w:rPr>
        <w:t xml:space="preserve">ях</w:t>
      </w:r>
      <w:r>
        <w:rPr>
          <w:color w:val="000000" w:themeColor="text1"/>
          <w:sz w:val="20"/>
          <w:szCs w:val="20"/>
          <w:highlight w:val="white"/>
        </w:rPr>
        <w:t xml:space="preserve">) к Договору № _____________ от ______________  (далее – Догово</w:t>
      </w:r>
      <w:r>
        <w:rPr>
          <w:color w:val="000000" w:themeColor="text1"/>
          <w:sz w:val="20"/>
          <w:szCs w:val="20"/>
          <w:highlight w:val="white"/>
        </w:rPr>
        <w:t xml:space="preserve">р):</w:t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  <w:t xml:space="preserve">Спецификация </w:t>
      </w:r>
      <w:r>
        <w:rPr>
          <w:color w:val="000000" w:themeColor="text1"/>
          <w:sz w:val="20"/>
          <w:szCs w:val="20"/>
          <w:highlight w:val="white"/>
        </w:rPr>
        <w:t xml:space="preserve">от</w:t>
      </w:r>
      <w:r>
        <w:rPr>
          <w:color w:val="000000" w:themeColor="text1"/>
          <w:sz w:val="20"/>
          <w:szCs w:val="20"/>
          <w:highlight w:val="white"/>
        </w:rPr>
        <w:t xml:space="preserve"> ______</w:t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  <w:t xml:space="preserve">№ USB-ключа или номер дистрибутива основной Системы Комплекта</w:t>
      </w:r>
      <w:r>
        <w:rPr>
          <w:color w:val="000000" w:themeColor="text1"/>
          <w:sz w:val="20"/>
          <w:szCs w:val="20"/>
          <w:highlight w:val="white"/>
        </w:rPr>
        <w:t xml:space="preserve"> - ____________________;</w:t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  <w:t xml:space="preserve">а) Старый адрес электронной почты</w:t>
      </w:r>
      <w:r>
        <w:rPr>
          <w:color w:val="000000" w:themeColor="text1"/>
          <w:sz w:val="20"/>
          <w:szCs w:val="20"/>
          <w:highlight w:val="white"/>
        </w:rPr>
        <w:t xml:space="preserve"> - ______________@___________;</w:t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  <w:t xml:space="preserve">б) Новый адрес электронной почты - ______________@____________.</w:t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  <w:t xml:space="preserve">Спецификация </w:t>
      </w:r>
      <w:r>
        <w:rPr>
          <w:color w:val="000000" w:themeColor="text1"/>
          <w:sz w:val="20"/>
          <w:szCs w:val="20"/>
          <w:highlight w:val="white"/>
        </w:rPr>
        <w:t xml:space="preserve">о</w:t>
      </w:r>
      <w:r>
        <w:rPr>
          <w:color w:val="000000" w:themeColor="text1"/>
          <w:sz w:val="20"/>
          <w:szCs w:val="20"/>
          <w:highlight w:val="white"/>
        </w:rPr>
        <w:t xml:space="preserve">т</w:t>
      </w:r>
      <w:r>
        <w:rPr>
          <w:color w:val="000000" w:themeColor="text1"/>
          <w:sz w:val="20"/>
          <w:szCs w:val="20"/>
          <w:highlight w:val="white"/>
        </w:rPr>
        <w:t xml:space="preserve"> ______</w:t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bCs/>
          <w:color w:val="000000" w:themeColor="text1"/>
          <w:sz w:val="20"/>
          <w:szCs w:val="20"/>
          <w:highlight w:val="white"/>
        </w:rPr>
      </w:pPr>
      <w:r>
        <w:rPr>
          <w:bCs/>
          <w:color w:val="000000" w:themeColor="text1"/>
          <w:sz w:val="20"/>
          <w:szCs w:val="20"/>
          <w:highlight w:val="white"/>
        </w:rPr>
        <w:t xml:space="preserve">….</w:t>
      </w:r>
      <w:r>
        <w:rPr>
          <w:bCs/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bCs/>
          <w:color w:val="000000" w:themeColor="text1"/>
          <w:sz w:val="20"/>
          <w:szCs w:val="20"/>
          <w:highlight w:val="white"/>
        </w:rPr>
      </w:pPr>
      <w:r>
        <w:rPr>
          <w:bCs/>
          <w:color w:val="000000" w:themeColor="text1"/>
          <w:sz w:val="20"/>
          <w:szCs w:val="20"/>
          <w:highlight w:val="white"/>
        </w:rPr>
      </w:r>
      <w:r>
        <w:rPr>
          <w:bCs/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  <w:t xml:space="preserve">Просим Вас направлять предусмотренные Договором и Спецификациями к Договору электронные сообщения, касающиеся использования Комплектов Систем, на новые адреса электронной почты.</w:t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tbl>
      <w:tblPr>
        <w:tblW w:w="2400" w:type="pct"/>
        <w:tblLayout w:type="fixed"/>
        <w:tblLook w:val="04A0" w:firstRow="1" w:lastRow="0" w:firstColumn="1" w:lastColumn="0" w:noHBand="0" w:noVBand="1"/>
      </w:tblPr>
      <w:tblGrid>
        <w:gridCol w:w="4730"/>
      </w:tblGrid>
      <w:tr>
        <w:tblPrEx/>
        <w:trPr/>
        <w:tc>
          <w:tcPr>
            <w:tcW w:w="4607" w:type="dxa"/>
            <w:textDirection w:val="lrTb"/>
            <w:noWrap w:val="false"/>
          </w:tcPr>
          <w:p>
            <w:pPr>
              <w:spacing w:after="0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ЗАКАЗЧИК: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4607" w:type="dxa"/>
            <w:textDirection w:val="lrTb"/>
            <w:noWrap w:val="false"/>
          </w:tcPr>
          <w:p>
            <w:pPr>
              <w:spacing w:after="0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4607" w:type="dxa"/>
            <w:textDirection w:val="lrTb"/>
            <w:noWrap w:val="false"/>
          </w:tcPr>
          <w:p>
            <w:pPr>
              <w:spacing w:after="0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4607" w:type="dxa"/>
            <w:textDirection w:val="lrTb"/>
            <w:noWrap w:val="false"/>
          </w:tcPr>
          <w:p>
            <w:pPr>
              <w:spacing w:after="0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4607" w:type="dxa"/>
            <w:textDirection w:val="lrTb"/>
            <w:noWrap w:val="false"/>
          </w:tcPr>
          <w:p>
            <w:pPr>
              <w:spacing w:after="0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От Заказчика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4607" w:type="dxa"/>
            <w:textDirection w:val="lrTb"/>
            <w:noWrap w:val="false"/>
          </w:tcPr>
          <w:p>
            <w:pPr>
              <w:spacing w:after="0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4607" w:type="dxa"/>
            <w:textDirection w:val="lrTb"/>
            <w:noWrap w:val="false"/>
          </w:tcPr>
          <w:p>
            <w:pPr>
              <w:spacing w:after="0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_______________________/__________/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4607" w:type="dxa"/>
            <w:textDirection w:val="lrTb"/>
            <w:noWrap w:val="false"/>
          </w:tcPr>
          <w:p>
            <w:pPr>
              <w:spacing w:after="0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М.П.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</w:tbl>
    <w:p>
      <w:pPr>
        <w:spacing w:after="0"/>
        <w:rPr>
          <w:bCs/>
          <w:color w:val="000000" w:themeColor="text1"/>
          <w:sz w:val="20"/>
          <w:szCs w:val="20"/>
          <w:highlight w:val="white"/>
        </w:rPr>
        <w:pBdr>
          <w:bottom w:val="single" w:color="000000" w:sz="12" w:space="1"/>
        </w:pBdr>
      </w:pPr>
      <w:r>
        <w:rPr>
          <w:bCs/>
          <w:color w:val="000000" w:themeColor="text1"/>
          <w:sz w:val="20"/>
          <w:szCs w:val="20"/>
          <w:highlight w:val="white"/>
        </w:rPr>
      </w:r>
      <w:r>
        <w:rPr>
          <w:bCs/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bCs/>
          <w:color w:val="000000" w:themeColor="text1"/>
          <w:sz w:val="20"/>
          <w:szCs w:val="20"/>
          <w:highlight w:val="white"/>
        </w:rPr>
        <w:pBdr>
          <w:bottom w:val="single" w:color="000000" w:sz="12" w:space="1"/>
        </w:pBdr>
      </w:pPr>
      <w:r>
        <w:rPr>
          <w:bCs/>
          <w:color w:val="000000" w:themeColor="text1"/>
          <w:sz w:val="20"/>
          <w:szCs w:val="20"/>
          <w:highlight w:val="white"/>
        </w:rPr>
      </w:r>
      <w:r>
        <w:rPr>
          <w:bCs/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bCs/>
          <w:color w:val="000000" w:themeColor="text1"/>
          <w:sz w:val="20"/>
          <w:szCs w:val="20"/>
          <w:highlight w:val="white"/>
        </w:rPr>
        <w:pBdr>
          <w:bottom w:val="single" w:color="000000" w:sz="12" w:space="1"/>
        </w:pBdr>
      </w:pPr>
      <w:r>
        <w:rPr>
          <w:bCs/>
          <w:color w:val="000000" w:themeColor="text1"/>
          <w:sz w:val="20"/>
          <w:szCs w:val="20"/>
          <w:highlight w:val="white"/>
        </w:rPr>
      </w:r>
      <w:r>
        <w:rPr>
          <w:bCs/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bCs/>
          <w:color w:val="000000" w:themeColor="text1"/>
          <w:sz w:val="20"/>
          <w:szCs w:val="20"/>
          <w:highlight w:val="white"/>
        </w:rPr>
      </w:pPr>
      <w:r>
        <w:rPr>
          <w:bCs/>
          <w:color w:val="000000" w:themeColor="text1"/>
          <w:sz w:val="20"/>
          <w:szCs w:val="20"/>
          <w:highlight w:val="white"/>
        </w:rPr>
      </w:r>
      <w:r>
        <w:rPr>
          <w:bCs/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bCs/>
          <w:color w:val="000000" w:themeColor="text1"/>
          <w:sz w:val="20"/>
          <w:szCs w:val="20"/>
          <w:highlight w:val="white"/>
        </w:rPr>
      </w:pPr>
      <w:r>
        <w:rPr>
          <w:bCs/>
          <w:color w:val="000000" w:themeColor="text1"/>
          <w:sz w:val="20"/>
          <w:szCs w:val="20"/>
          <w:highlight w:val="white"/>
        </w:rPr>
        <w:t xml:space="preserve">ФОРМА УТВЕРЖДЕНА:</w:t>
      </w:r>
      <w:r>
        <w:rPr>
          <w:bCs/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bCs/>
          <w:color w:val="000000" w:themeColor="text1"/>
          <w:sz w:val="20"/>
          <w:szCs w:val="20"/>
          <w:highlight w:val="white"/>
        </w:rPr>
      </w:pPr>
      <w:r>
        <w:rPr>
          <w:bCs/>
          <w:color w:val="000000" w:themeColor="text1"/>
          <w:sz w:val="20"/>
          <w:szCs w:val="20"/>
          <w:highlight w:val="white"/>
        </w:rPr>
      </w:r>
      <w:r>
        <w:rPr>
          <w:bCs/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bCs/>
          <w:color w:val="000000" w:themeColor="text1"/>
          <w:sz w:val="20"/>
          <w:szCs w:val="20"/>
          <w:highlight w:val="white"/>
        </w:rPr>
      </w:pPr>
      <w:r>
        <w:rPr>
          <w:bCs/>
          <w:color w:val="000000" w:themeColor="text1"/>
          <w:sz w:val="20"/>
          <w:szCs w:val="20"/>
          <w:highlight w:val="white"/>
        </w:rPr>
      </w:r>
      <w:r>
        <w:rPr>
          <w:bCs/>
          <w:color w:val="000000" w:themeColor="text1"/>
          <w:sz w:val="20"/>
          <w:szCs w:val="20"/>
          <w:highlight w:val="white"/>
        </w:rPr>
      </w:r>
    </w:p>
    <w:p>
      <w:pPr>
        <w:pStyle w:val="905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tbl>
      <w:tblPr>
        <w:tblW w:w="5000" w:type="pct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1758"/>
        <w:gridCol w:w="2887"/>
        <w:gridCol w:w="230"/>
        <w:gridCol w:w="1844"/>
        <w:gridCol w:w="2600"/>
        <w:gridCol w:w="427"/>
      </w:tblGrid>
      <w:tr>
        <w:tblPrEx/>
        <w:trPr/>
        <w:tc>
          <w:tcPr>
            <w:tcW w:w="902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От Заказчика: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481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left w:val="none" w:color="000000" w:sz="4" w:space="0"/>
            </w:tcBorders>
            <w:tcW w:w="118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946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От Исполнителя: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553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2383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left w:val="none" w:color="000000" w:sz="4" w:space="0"/>
            </w:tcBorders>
            <w:tcW w:w="118" w:type="pct"/>
            <w:textDirection w:val="lrTb"/>
            <w:noWrap w:val="false"/>
          </w:tcPr>
          <w:p>
            <w:pPr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2280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902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481" w:type="pct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begin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instrText xml:space="preserve"> DOCVARIABLE ПОДПИСАНТ_ЗАКАЗЧИК_ДОЛЖНОСТЬ_ЗАГЛ </w:instrTex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Директор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left w:val="none" w:color="000000" w:sz="4" w:space="0"/>
            </w:tcBorders>
            <w:tcW w:w="118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946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553" w:type="pct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begin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instrText xml:space="preserve"> DOCVARIABLE ВИДПЕРЕДАЧИ_ЕСТЬЭДО_УДАЛИТЬ[НАЧАЛО] </w:instrTex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begin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instrText xml:space="preserve"> DOCVARIABLE ПОДПИСАНТ_ИСПОЛНИТЕЛЬ_ДОЛЖНОСТЬ </w:instrTex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Директор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begin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instrText xml:space="preserve"> DOCVARIABLE ВИДПЕРЕДАЧИ_ЕСТЬЭДО_УДАЛИТЬ[КОНЕЦ] </w:instrTex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902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481" w:type="pct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(должность)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left w:val="none" w:color="000000" w:sz="4" w:space="0"/>
            </w:tcBorders>
            <w:tcW w:w="118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946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553" w:type="pct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(должность)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2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481" w:type="pct"/>
            <w:vAlign w:val="center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left w:val="none" w:color="000000" w:sz="4" w:space="0"/>
            </w:tcBorders>
            <w:tcW w:w="118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46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553" w:type="pct"/>
            <w:vAlign w:val="center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begin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instrText xml:space="preserve"> DOCVARIABLE ВИДПЕРЕДАЧИ_ЕСТЬЭДО_УДАЛИТЬ[КОНЕЦ] </w:instrTex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right w:val="none" w:color="000000" w:sz="4" w:space="0"/>
            </w:tcBorders>
            <w:tcW w:w="902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(подпись)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481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left w:val="none" w:color="000000" w:sz="4" w:space="0"/>
            </w:tcBorders>
            <w:tcW w:w="118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6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(подпись)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553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902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481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left w:val="none" w:color="000000" w:sz="4" w:space="0"/>
            </w:tcBorders>
            <w:tcW w:w="118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946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553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902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М.П.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481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left w:val="none" w:color="000000" w:sz="4" w:space="0"/>
            </w:tcBorders>
            <w:tcW w:w="118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946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М.П.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553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</w:tbl>
    <w:p>
      <w:pPr>
        <w:pStyle w:val="905"/>
        <w:shd w:val="clear" w:color="auto" w:fill="ffffff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5"/>
        <w:jc w:val="right"/>
        <w:widowControl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Приложение </w:t>
      </w:r>
      <w:r>
        <w:rPr>
          <w:rFonts w:ascii="Times New Roman" w:hAnsi="Times New Roman" w:cs="Times New Roman"/>
          <w:b/>
          <w:bCs/>
        </w:rPr>
      </w:r>
    </w:p>
    <w:p>
      <w:pPr>
        <w:pStyle w:val="905"/>
        <w:jc w:val="right"/>
        <w:widowControl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 договору №     от                    202 г</w:t>
      </w:r>
      <w:r>
        <w:rPr>
          <w:rFonts w:ascii="Times New Roman" w:hAnsi="Times New Roman" w:cs="Times New Roman"/>
          <w:b/>
          <w:bCs/>
        </w:rPr>
      </w:r>
    </w:p>
    <w:p>
      <w:pPr>
        <w:pStyle w:val="905"/>
        <w:jc w:val="right"/>
        <w:widowControl/>
        <w:rPr>
          <w:rFonts w:ascii="Times New Roman" w:hAnsi="Times New Roman" w:cs="Times New Roman"/>
          <w:b/>
          <w:bCs/>
          <w:highlight w:val="white"/>
        </w:rPr>
      </w:pPr>
      <w:r>
        <w:rPr>
          <w:rFonts w:ascii="Times New Roman" w:hAnsi="Times New Roman" w:cs="Times New Roman"/>
          <w:b/>
          <w:bCs/>
          <w:highlight w:val="white"/>
        </w:rPr>
      </w:r>
      <w:r>
        <w:rPr>
          <w:rFonts w:ascii="Times New Roman" w:hAnsi="Times New Roman" w:cs="Times New Roman"/>
          <w:b/>
          <w:bCs/>
          <w:highlight w:val="white"/>
        </w:rPr>
      </w:r>
    </w:p>
    <w:p>
      <w:pPr>
        <w:pStyle w:val="905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jc w:val="center"/>
        <w:spacing w:after="0"/>
        <w:shd w:val="clear" w:color="auto" w:fill="ffffff"/>
        <w:rPr>
          <w:sz w:val="18"/>
          <w:szCs w:val="18"/>
        </w:rPr>
      </w:pPr>
      <w:r>
        <w:rPr>
          <w:bCs/>
          <w:caps/>
          <w:sz w:val="20"/>
          <w:szCs w:val="20"/>
        </w:rPr>
        <w:t xml:space="preserve">спецификация </w:t>
      </w:r>
      <w:r>
        <w:rPr>
          <w:sz w:val="20"/>
          <w:szCs w:val="20"/>
        </w:rPr>
        <w:t xml:space="preserve">ОВМ</w:t>
      </w:r>
      <w:r>
        <w:rPr>
          <w:sz w:val="18"/>
          <w:szCs w:val="18"/>
        </w:rPr>
      </w:r>
    </w:p>
    <w:p>
      <w:pPr>
        <w:jc w:val="center"/>
        <w:spacing w:after="0"/>
        <w:shd w:val="clear" w:color="auto" w:fill="ffffff"/>
        <w:rPr>
          <w:sz w:val="18"/>
          <w:szCs w:val="18"/>
        </w:rPr>
      </w:pPr>
      <w:r>
        <w:rPr>
          <w:sz w:val="20"/>
          <w:szCs w:val="20"/>
        </w:rPr>
        <w:t xml:space="preserve">к Договору №        от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DOCVARIABLE ЭСДОГ_ДАТАСОЗДАНИЯПРОПИСЬЮ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___             2026 г.</w:t>
      </w:r>
      <w:r>
        <w:rPr>
          <w:sz w:val="20"/>
          <w:szCs w:val="20"/>
        </w:rPr>
        <w:fldChar w:fldCharType="end"/>
      </w:r>
      <w:r>
        <w:rPr>
          <w:sz w:val="18"/>
          <w:szCs w:val="18"/>
        </w:rPr>
      </w:r>
    </w:p>
    <w:tbl>
      <w:tblPr>
        <w:tblStyle w:val="895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>
        <w:tblPrEx/>
        <w:trPr/>
        <w:tc>
          <w:tcPr>
            <w:tcW w:w="4927" w:type="dxa"/>
            <w:textDirection w:val="lrTb"/>
            <w:noWrap w:val="false"/>
          </w:tcPr>
          <w:p>
            <w:pPr>
              <w:spacing w:after="0"/>
              <w:rPr>
                <w:bCs/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DOCVARIABLE ГОРОД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 xml:space="preserve">г. Салехард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jc w:val="right"/>
              <w:spacing w:after="0"/>
              <w:rPr>
                <w:bCs/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DOCVARIABLE ЭСДАТАСОЗДАНИЯПРОПИСЬЮ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 xml:space="preserve">______  2026 г.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bCs/>
                <w:sz w:val="18"/>
                <w:szCs w:val="18"/>
              </w:rPr>
            </w:r>
          </w:p>
        </w:tc>
      </w:tr>
    </w:tbl>
    <w:p>
      <w:pPr>
        <w:jc w:val="center"/>
        <w:spacing w:after="0"/>
        <w:rPr>
          <w:bCs/>
          <w:sz w:val="18"/>
          <w:szCs w:val="18"/>
        </w:rPr>
      </w:pPr>
      <w:r>
        <w:rPr>
          <w:bCs/>
          <w:sz w:val="20"/>
          <w:szCs w:val="20"/>
        </w:rPr>
        <w:t xml:space="preserve">КОМПЛЕКТ СИСТЕМ:</w:t>
      </w:r>
      <w:r>
        <w:rPr>
          <w:bCs/>
          <w:sz w:val="18"/>
          <w:szCs w:val="18"/>
        </w:rPr>
      </w:r>
    </w:p>
    <w:p>
      <w:pPr>
        <w:spacing w:after="0"/>
        <w:rPr>
          <w:bCs/>
          <w:sz w:val="4"/>
          <w:szCs w:val="4"/>
        </w:rPr>
      </w:pPr>
      <w:r>
        <w:rPr>
          <w:bCs/>
          <w:sz w:val="4"/>
          <w:szCs w:val="4"/>
        </w:rPr>
      </w:r>
      <w:r>
        <w:rPr>
          <w:bCs/>
          <w:sz w:val="4"/>
          <w:szCs w:val="4"/>
        </w:rPr>
      </w:r>
    </w:p>
    <w:tbl>
      <w:tblPr>
        <w:tblW w:w="4950" w:type="pct"/>
        <w:tblInd w:w="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494"/>
        <w:gridCol w:w="4499"/>
        <w:gridCol w:w="674"/>
        <w:gridCol w:w="711"/>
        <w:gridCol w:w="1560"/>
        <w:gridCol w:w="1750"/>
      </w:tblGrid>
      <w:tr>
        <w:tblPrEx/>
        <w:trPr>
          <w:trHeight w:val="428"/>
        </w:trPr>
        <w:tc>
          <w:tcPr>
            <w:tcW w:w="255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п</w:t>
            </w:r>
            <w:r>
              <w:rPr>
                <w:sz w:val="20"/>
                <w:szCs w:val="20"/>
              </w:rPr>
              <w:t xml:space="preserve">/</w:t>
            </w:r>
            <w:r>
              <w:rPr>
                <w:sz w:val="20"/>
                <w:szCs w:val="20"/>
              </w:rPr>
              <w:t xml:space="preserve">п</w:t>
            </w:r>
            <w:r>
              <w:rPr>
                <w:sz w:val="18"/>
                <w:szCs w:val="18"/>
              </w:rPr>
            </w:r>
          </w:p>
        </w:tc>
        <w:tc>
          <w:tcPr>
            <w:tcW w:w="2322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Название экземпляра Системы</w:t>
            </w:r>
            <w:r>
              <w:rPr>
                <w:sz w:val="18"/>
                <w:szCs w:val="18"/>
              </w:rPr>
            </w:r>
          </w:p>
        </w:tc>
        <w:tc>
          <w:tcPr>
            <w:tcW w:w="348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Число УЗ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spacing w:after="0"/>
              <w:widowControl w:val="off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&lt;1&gt;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spacing w:after="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66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Число ОД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spacing w:after="0"/>
              <w:widowControl w:val="off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&lt;2&gt;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spacing w:after="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05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Стоимость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spacing w:after="0"/>
              <w:widowControl w:val="off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поставки одного экземпляра Системы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spacing w:after="0"/>
              <w:widowControl w:val="off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с НДС, руб. </w:t>
            </w:r>
            <w:r>
              <w:rPr>
                <w:sz w:val="18"/>
                <w:szCs w:val="18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pStyle w:val="911"/>
              <w:jc w:val="center"/>
              <w:spacing w:line="276" w:lineRule="auto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Стоимость услуги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</w:r>
          </w:p>
          <w:p>
            <w:pPr>
              <w:pStyle w:val="911"/>
              <w:jc w:val="center"/>
              <w:spacing w:line="276" w:lineRule="auto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подключения к экземпляру Системы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</w:r>
          </w:p>
          <w:p>
            <w:pPr>
              <w:jc w:val="center"/>
              <w:spacing w:after="0"/>
              <w:widowControl w:val="off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с НДС, руб. 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40"/>
        </w:trPr>
        <w:tc>
          <w:tcPr>
            <w:tcW w:w="255" w:type="pct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jc w:val="left"/>
              <w:spacing w:after="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322" w:type="pct"/>
            <w:vAlign w:val="center"/>
            <w:textDirection w:val="lrTb"/>
            <w:noWrap w:val="false"/>
          </w:tcPr>
          <w:p>
            <w:pPr>
              <w:jc w:val="left"/>
              <w:spacing w:after="0"/>
              <w:widowControl w:val="off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DOCVARIABLE ЭСНАЗВАНИЕЭКЗСИСТЕМЫ_СЕРИЯПОПОСТАВКЕ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 xml:space="preserve">СПС Консультант Бюджетные организации </w:t>
            </w:r>
            <w:r>
              <w:rPr>
                <w:sz w:val="20"/>
                <w:szCs w:val="20"/>
              </w:rPr>
              <w:t xml:space="preserve">смарт-комплект</w:t>
            </w:r>
            <w:r>
              <w:rPr>
                <w:sz w:val="20"/>
                <w:szCs w:val="20"/>
              </w:rPr>
              <w:t xml:space="preserve"> Оптимальный </w:t>
            </w:r>
            <w:r>
              <w:rPr>
                <w:sz w:val="20"/>
                <w:szCs w:val="20"/>
              </w:rPr>
              <w:t xml:space="preserve">СпецВыпуск</w:t>
            </w:r>
            <w:r>
              <w:rPr>
                <w:sz w:val="20"/>
                <w:szCs w:val="20"/>
              </w:rPr>
              <w:t xml:space="preserve"> ОВМ (ОД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18"/>
                <w:szCs w:val="18"/>
              </w:rPr>
            </w:r>
          </w:p>
        </w:tc>
        <w:tc>
          <w:tcPr>
            <w:tcW w:w="348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DOCVARIABLE ЭСЧИСЛОУЗ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18"/>
                <w:szCs w:val="18"/>
              </w:rPr>
            </w:r>
          </w:p>
        </w:tc>
        <w:tc>
          <w:tcPr>
            <w:tcW w:w="366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DOCVARIABLE ЭСЧИСЛООД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18"/>
                <w:szCs w:val="18"/>
              </w:rPr>
            </w:r>
          </w:p>
        </w:tc>
        <w:tc>
          <w:tcPr>
            <w:tcW w:w="805" w:type="pct"/>
            <w:vAlign w:val="center"/>
            <w:textDirection w:val="lrTb"/>
            <w:noWrap w:val="false"/>
          </w:tcPr>
          <w:p>
            <w:pPr>
              <w:jc w:val="right"/>
              <w:spacing w:after="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right"/>
              <w:spacing w:after="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40"/>
        </w:trPr>
        <w:tc>
          <w:tcPr>
            <w:tcW w:w="255" w:type="pct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jc w:val="left"/>
              <w:keepNext/>
              <w:spacing w:after="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322" w:type="pct"/>
            <w:vAlign w:val="center"/>
            <w:textDirection w:val="lrTb"/>
            <w:noWrap w:val="false"/>
          </w:tcPr>
          <w:p>
            <w:pPr>
              <w:jc w:val="left"/>
              <w:spacing w:after="0"/>
              <w:widowControl w:val="off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DOCVARIABLE ЭСНАЗВАНИЕЭКЗСИСТЕМЫ_СЕРИЯПОПОСТАВКЕ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 xml:space="preserve">СС Изменения в регулировании </w:t>
            </w:r>
            <w:r>
              <w:rPr>
                <w:sz w:val="20"/>
                <w:szCs w:val="20"/>
              </w:rPr>
              <w:t xml:space="preserve">госзакупок</w:t>
            </w:r>
            <w:r>
              <w:rPr>
                <w:sz w:val="20"/>
                <w:szCs w:val="20"/>
              </w:rPr>
              <w:t xml:space="preserve"> ОВМ (ОД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18"/>
                <w:szCs w:val="18"/>
              </w:rPr>
            </w:r>
          </w:p>
        </w:tc>
        <w:tc>
          <w:tcPr>
            <w:tcW w:w="348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DOCVARIABLE ЭСЧИСЛОУЗ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18"/>
                <w:szCs w:val="18"/>
              </w:rPr>
            </w:r>
          </w:p>
        </w:tc>
        <w:tc>
          <w:tcPr>
            <w:tcW w:w="366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DOCVARIABLE ЭСЧИСЛООД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18"/>
                <w:szCs w:val="18"/>
              </w:rPr>
            </w:r>
          </w:p>
        </w:tc>
        <w:tc>
          <w:tcPr>
            <w:tcW w:w="805" w:type="pct"/>
            <w:vAlign w:val="center"/>
            <w:textDirection w:val="lrTb"/>
            <w:noWrap w:val="false"/>
          </w:tcPr>
          <w:p>
            <w:pPr>
              <w:jc w:val="right"/>
              <w:spacing w:after="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right"/>
              <w:spacing w:after="0"/>
              <w:widowControl w:val="off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DOCVARIABLE ЭССТОИМОСТЬЭКЗСИСТЕМЫСНДС_ПД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4"/>
            <w:tcW w:w="3292" w:type="pct"/>
            <w:vAlign w:val="center"/>
            <w:textDirection w:val="lrTb"/>
            <w:noWrap w:val="false"/>
          </w:tcPr>
          <w:p>
            <w:pPr>
              <w:jc w:val="right"/>
              <w:spacing w:after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Всего с НДС</w:t>
            </w:r>
            <w:r>
              <w:rPr>
                <w:sz w:val="20"/>
                <w:szCs w:val="20"/>
              </w:rPr>
              <w:t xml:space="preserve"> (     %):</w:t>
            </w:r>
            <w:r>
              <w:rPr>
                <w:sz w:val="18"/>
                <w:szCs w:val="18"/>
              </w:rPr>
            </w:r>
          </w:p>
        </w:tc>
        <w:tc>
          <w:tcPr>
            <w:tcW w:w="805" w:type="pct"/>
            <w:vAlign w:val="center"/>
            <w:textDirection w:val="lrTb"/>
            <w:noWrap w:val="false"/>
          </w:tcPr>
          <w:p>
            <w:pPr>
              <w:jc w:val="right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right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4"/>
            <w:tcW w:w="3292" w:type="pct"/>
            <w:vAlign w:val="center"/>
            <w:textDirection w:val="lrTb"/>
            <w:noWrap w:val="false"/>
          </w:tcPr>
          <w:p>
            <w:pPr>
              <w:jc w:val="right"/>
              <w:spacing w:after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в т.ч. НДС</w:t>
            </w:r>
            <w:r>
              <w:rPr>
                <w:sz w:val="20"/>
                <w:szCs w:val="20"/>
              </w:rPr>
              <w:t xml:space="preserve"> (     %):</w:t>
            </w:r>
            <w:r>
              <w:rPr>
                <w:sz w:val="18"/>
                <w:szCs w:val="18"/>
              </w:rPr>
            </w:r>
          </w:p>
        </w:tc>
        <w:tc>
          <w:tcPr>
            <w:tcW w:w="805" w:type="pct"/>
            <w:vAlign w:val="center"/>
            <w:textDirection w:val="lrTb"/>
            <w:noWrap w:val="false"/>
          </w:tcPr>
          <w:p>
            <w:pPr>
              <w:jc w:val="right"/>
              <w:spacing w:after="0"/>
              <w:rPr>
                <w:sz w:val="18"/>
                <w:szCs w:val="18"/>
              </w:rPr>
            </w:pPr>
            <w:r>
              <w:rPr>
                <w:spacing w:val="-1"/>
                <w:sz w:val="20"/>
                <w:szCs w:val="20"/>
                <w:lang w:val="en-US"/>
              </w:rPr>
              <w:fldChar w:fldCharType="begin"/>
            </w:r>
            <w:r>
              <w:rPr>
                <w:spacing w:val="-1"/>
                <w:sz w:val="20"/>
                <w:szCs w:val="20"/>
                <w:lang w:val="en-US"/>
              </w:rPr>
              <w:instrText xml:space="preserve"> DOCVARIABLE ЭСИТОГОНДС </w:instrText>
            </w:r>
            <w:r>
              <w:rPr>
                <w:spacing w:val="-1"/>
                <w:sz w:val="20"/>
                <w:szCs w:val="20"/>
                <w:lang w:val="en-US"/>
              </w:rPr>
              <w:fldChar w:fldCharType="separate"/>
            </w:r>
            <w:r>
              <w:rPr>
                <w:spacing w:val="-1"/>
                <w:sz w:val="20"/>
                <w:szCs w:val="20"/>
                <w:lang w:val="en-US"/>
              </w:rPr>
              <w:t xml:space="preserve">0</w:t>
            </w:r>
            <w:r>
              <w:rPr>
                <w:spacing w:val="-1"/>
                <w:sz w:val="20"/>
                <w:szCs w:val="20"/>
                <w:lang w:val="en-US"/>
              </w:rPr>
              <w:fldChar w:fldCharType="end"/>
            </w:r>
            <w:r>
              <w:rPr>
                <w:sz w:val="18"/>
                <w:szCs w:val="18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right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spacing w:after="0"/>
        <w:rPr>
          <w:sz w:val="18"/>
          <w:szCs w:val="18"/>
        </w:rPr>
      </w:pPr>
      <w:r>
        <w:rPr>
          <w:sz w:val="20"/>
          <w:szCs w:val="20"/>
        </w:rPr>
        <w:t xml:space="preserve">&lt;1</w:t>
      </w:r>
      <w:r>
        <w:rPr>
          <w:sz w:val="20"/>
          <w:szCs w:val="20"/>
        </w:rPr>
        <w:t xml:space="preserve">&gt; У</w:t>
      </w:r>
      <w:r>
        <w:rPr>
          <w:sz w:val="20"/>
          <w:szCs w:val="20"/>
        </w:rPr>
        <w:t xml:space="preserve">казывается максимальное количество учетных записей (</w:t>
      </w:r>
      <w:r>
        <w:rPr>
          <w:sz w:val="20"/>
          <w:szCs w:val="20"/>
        </w:rPr>
        <w:t xml:space="preserve">далее-УЗ</w:t>
      </w:r>
      <w:r>
        <w:rPr>
          <w:sz w:val="20"/>
          <w:szCs w:val="20"/>
        </w:rPr>
        <w:t xml:space="preserve">), с помощью которых может быть использован Комплект.</w:t>
      </w:r>
      <w:r>
        <w:rPr>
          <w:sz w:val="18"/>
          <w:szCs w:val="18"/>
        </w:rPr>
      </w:r>
    </w:p>
    <w:p>
      <w:pPr>
        <w:spacing w:after="0"/>
        <w:rPr>
          <w:sz w:val="18"/>
          <w:szCs w:val="18"/>
        </w:rPr>
      </w:pPr>
      <w:r>
        <w:rPr>
          <w:sz w:val="20"/>
          <w:szCs w:val="20"/>
        </w:rPr>
        <w:t xml:space="preserve">&lt;2</w:t>
      </w:r>
      <w:r>
        <w:rPr>
          <w:sz w:val="20"/>
          <w:szCs w:val="20"/>
        </w:rPr>
        <w:t xml:space="preserve">&gt; У</w:t>
      </w:r>
      <w:r>
        <w:rPr>
          <w:sz w:val="20"/>
          <w:szCs w:val="20"/>
        </w:rPr>
        <w:t xml:space="preserve">казывается максимальное количество электронных устройств (ЭВМ), с которых может быть осуществлен </w:t>
      </w:r>
      <w:r>
        <w:rPr>
          <w:sz w:val="18"/>
          <w:szCs w:val="18"/>
        </w:rPr>
      </w:r>
    </w:p>
    <w:p>
      <w:pPr>
        <w:spacing w:after="0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05"/>
        <w:numPr>
          <w:ilvl w:val="0"/>
          <w:numId w:val="9"/>
        </w:numPr>
        <w:ind w:left="0" w:firstLine="0"/>
        <w:jc w:val="center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ОПЛАТА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905"/>
        <w:jc w:val="both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905"/>
        <w:numPr>
          <w:ilvl w:val="1"/>
          <w:numId w:val="9"/>
        </w:numPr>
        <w:ind w:left="0" w:firstLine="0"/>
        <w:jc w:val="both"/>
        <w:widowControl/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eastAsia="Times New Roman" w:cs="Times New Roman"/>
          <w:highlight w:val="white"/>
          <w:u w:val="single"/>
        </w:rPr>
        <w:t xml:space="preserve">Оплата услуг по адаптации и сопровождению</w:t>
      </w:r>
      <w:r>
        <w:rPr>
          <w:rFonts w:ascii="Times New Roman" w:hAnsi="Times New Roman" w:eastAsia="Times New Roman" w:cs="Times New Roman"/>
          <w:highlight w:val="white"/>
        </w:rPr>
        <w:t xml:space="preserve">. Порядок оплаты определен Разделом 4. Договора.</w:t>
      </w:r>
      <w:r>
        <w:rPr>
          <w:rFonts w:ascii="Times New Roman" w:hAnsi="Times New Roman" w:cs="Times New Roman"/>
          <w:sz w:val="18"/>
          <w:szCs w:val="18"/>
          <w:highlight w:val="white"/>
        </w:rPr>
      </w:r>
    </w:p>
    <w:p>
      <w:pPr>
        <w:spacing w:after="0"/>
        <w:shd w:val="clear" w:color="auto" w:fill="ffffff" w:themeFill="background1"/>
        <w:rPr>
          <w:rFonts w:ascii="Times New Roman" w:hAnsi="Times New Roman" w:cs="Times New Roman"/>
          <w:bCs/>
          <w:sz w:val="18"/>
          <w:szCs w:val="18"/>
          <w:highlight w:val="white"/>
          <w:u w:val="single"/>
        </w:rPr>
      </w:pPr>
      <w:r>
        <w:rPr>
          <w:rFonts w:ascii="Times New Roman" w:hAnsi="Times New Roman" w:eastAsia="Times New Roman" w:cs="Times New Roman"/>
          <w:bCs/>
          <w:sz w:val="18"/>
          <w:szCs w:val="18"/>
          <w:highlight w:val="white"/>
        </w:rPr>
        <w:t xml:space="preserve">1.2</w:t>
      </w:r>
      <w:r>
        <w:rPr>
          <w:rFonts w:ascii="Times New Roman" w:hAnsi="Times New Roman" w:eastAsia="Times New Roman" w:cs="Times New Roman"/>
          <w:bCs/>
          <w:sz w:val="20"/>
          <w:szCs w:val="20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bCs/>
          <w:sz w:val="20"/>
          <w:szCs w:val="20"/>
          <w:highlight w:val="white"/>
        </w:rPr>
        <w:t xml:space="preserve">Заказчик оплачивает стоимость поставки экземпляров Систем, а также стоимость услуги по адаптации и сопровождению в размере: 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highlight w:val="white"/>
        </w:rPr>
        <w:t xml:space="preserve">______________руб</w:t>
      </w:r>
      <w:r>
        <w:rPr>
          <w:rFonts w:ascii="Times New Roman" w:hAnsi="Times New Roman" w:eastAsia="Times New Roman" w:cs="Times New Roman"/>
          <w:bCs/>
          <w:sz w:val="20"/>
          <w:szCs w:val="20"/>
          <w:highlight w:val="white"/>
        </w:rPr>
        <w:t xml:space="preserve"> ()_______________) НДС%, не позднее 7 (Семи) дней со дня подписания настоящей Спецификации.</w:t>
      </w:r>
      <w:r>
        <w:rPr>
          <w:rFonts w:ascii="Times New Roman" w:hAnsi="Times New Roman" w:eastAsia="Times New Roman" w:cs="Times New Roman"/>
          <w:bCs/>
          <w:sz w:val="20"/>
          <w:szCs w:val="20"/>
          <w:highlight w:val="white"/>
        </w:rPr>
        <w:t xml:space="preserve"> Под датой оплаты понимается дата списания денежных сре</w:t>
      </w:r>
      <w:r>
        <w:rPr>
          <w:rFonts w:ascii="Times New Roman" w:hAnsi="Times New Roman" w:eastAsia="Times New Roman" w:cs="Times New Roman"/>
          <w:bCs/>
          <w:sz w:val="20"/>
          <w:szCs w:val="20"/>
          <w:highlight w:val="white"/>
        </w:rPr>
        <w:t xml:space="preserve">дств с р</w:t>
      </w:r>
      <w:r>
        <w:rPr>
          <w:rFonts w:ascii="Times New Roman" w:hAnsi="Times New Roman" w:eastAsia="Times New Roman" w:cs="Times New Roman"/>
          <w:bCs/>
          <w:sz w:val="20"/>
          <w:szCs w:val="20"/>
          <w:highlight w:val="white"/>
        </w:rPr>
        <w:t xml:space="preserve">асчетного счета Заказчик</w:t>
      </w:r>
      <w:r>
        <w:rPr>
          <w:rFonts w:ascii="Times New Roman" w:hAnsi="Times New Roman" w:eastAsia="Times New Roman" w:cs="Times New Roman"/>
          <w:bCs/>
          <w:sz w:val="18"/>
          <w:szCs w:val="18"/>
          <w:highlight w:val="white"/>
        </w:rPr>
      </w:r>
      <w:r>
        <w:rPr>
          <w:rFonts w:ascii="Times New Roman" w:hAnsi="Times New Roman" w:cs="Times New Roman"/>
          <w:bCs/>
          <w:sz w:val="18"/>
          <w:szCs w:val="18"/>
          <w:highlight w:val="white"/>
          <w:u w:val="single"/>
        </w:rPr>
      </w:r>
    </w:p>
    <w:p>
      <w:pPr>
        <w:pStyle w:val="905"/>
        <w:ind w:left="0" w:firstLine="0"/>
        <w:jc w:val="both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highlight w:val="white"/>
          <w:u w:val="single"/>
        </w:rPr>
        <w:t xml:space="preserve">1.3.</w:t>
        <w:fldChar w:fldCharType="begin"/>
      </w:r>
      <w:r>
        <w:rPr>
          <w:rFonts w:ascii="Times New Roman" w:hAnsi="Times New Roman" w:eastAsia="Times New Roman" w:cs="Times New Roman"/>
          <w:highlight w:val="white"/>
          <w:u w:val="single"/>
        </w:rPr>
        <w:instrText xml:space="preserve"> DOCVARIABLE ЭСУДАЛИТЬЕСЛИНЕТТОВАРЫСПС </w:instrText>
      </w:r>
      <w:r>
        <w:rPr>
          <w:rFonts w:ascii="Times New Roman" w:hAnsi="Times New Roman" w:eastAsia="Times New Roman" w:cs="Times New Roman"/>
          <w:highlight w:val="white"/>
          <w:u w:val="single"/>
        </w:rPr>
        <w:fldChar w:fldCharType="end"/>
      </w:r>
      <w:r>
        <w:rPr>
          <w:rFonts w:ascii="Times New Roman" w:hAnsi="Times New Roman" w:eastAsia="Times New Roman" w:cs="Times New Roman"/>
          <w:highlight w:val="white"/>
          <w:u w:val="single"/>
        </w:rPr>
        <w:fldChar w:fldCharType="begin"/>
      </w:r>
      <w:r>
        <w:rPr>
          <w:rFonts w:ascii="Times New Roman" w:hAnsi="Times New Roman" w:eastAsia="Times New Roman" w:cs="Times New Roman"/>
          <w:highlight w:val="white"/>
          <w:u w:val="single"/>
        </w:rPr>
        <w:instrText xml:space="preserve"> DOCVARIABLE ЭСИТОГОСНДС_НЕТ_УДАЛИТЬ </w:instrText>
      </w:r>
      <w:r>
        <w:rPr>
          <w:rFonts w:ascii="Times New Roman" w:hAnsi="Times New Roman" w:eastAsia="Times New Roman" w:cs="Times New Roman"/>
          <w:highlight w:val="white"/>
          <w:u w:val="single"/>
        </w:rPr>
        <w:fldChar w:fldCharType="end"/>
      </w:r>
      <w:r>
        <w:rPr>
          <w:rFonts w:ascii="Times New Roman" w:hAnsi="Times New Roman" w:eastAsia="Times New Roman" w:cs="Times New Roman"/>
          <w:highlight w:val="white"/>
          <w:u w:val="single"/>
        </w:rPr>
        <w:t xml:space="preserve">Ежемесячная стоимость услуг по адаптации и сопровождению </w:t>
      </w:r>
      <w:r>
        <w:rPr>
          <w:rFonts w:ascii="Times New Roman" w:hAnsi="Times New Roman" w:eastAsia="Times New Roman" w:cs="Times New Roman"/>
          <w:highlight w:val="white"/>
        </w:rPr>
        <w:t xml:space="preserve">экземпляров Систем </w:t>
      </w:r>
      <w:r>
        <w:rPr>
          <w:rFonts w:ascii="Times New Roman" w:hAnsi="Times New Roman" w:eastAsia="Times New Roman" w:cs="Times New Roman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highlight w:val="white"/>
        </w:rPr>
        <w:instrText xml:space="preserve"> DOCVARIABLE СОГЛУСЛ_ФЦ_ПЕРИОД_026 </w:instrText>
      </w:r>
      <w:r>
        <w:rPr>
          <w:rFonts w:ascii="Times New Roman" w:hAnsi="Times New Roman" w:eastAsia="Times New Roman" w:cs="Times New Roman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highlight w:val="white"/>
        </w:rPr>
        <w:t xml:space="preserve">за период с августа 2026 </w:t>
      </w:r>
      <w:r>
        <w:rPr>
          <w:rFonts w:ascii="Times New Roman" w:hAnsi="Times New Roman" w:eastAsia="Times New Roman" w:cs="Times New Roman"/>
          <w:highlight w:val="white"/>
        </w:rPr>
        <w:t xml:space="preserve">г. по июль 2027 г.</w:t>
      </w:r>
      <w:r>
        <w:rPr>
          <w:rFonts w:ascii="Times New Roman" w:hAnsi="Times New Roman" w:eastAsia="Times New Roman" w:cs="Times New Roman"/>
          <w:highlight w:val="white"/>
        </w:rPr>
        <w:fldChar w:fldCharType="end"/>
      </w:r>
      <w:r>
        <w:rPr>
          <w:rFonts w:ascii="Times New Roman" w:hAnsi="Times New Roman" w:eastAsia="Times New Roman" w:cs="Times New Roman"/>
        </w:rPr>
        <w:t xml:space="preserve"> составит __________- руб</w:t>
      </w:r>
      <w:r>
        <w:rPr>
          <w:rFonts w:ascii="Times New Roman" w:hAnsi="Times New Roman" w:eastAsia="Times New Roman" w:cs="Times New Roman"/>
        </w:rPr>
        <w:t xml:space="preserve">. (______________)</w:t>
      </w:r>
      <w:r>
        <w:rPr>
          <w:rFonts w:ascii="Times New Roman" w:hAnsi="Times New Roman" w:eastAsia="Times New Roman" w:cs="Times New Roman"/>
        </w:rPr>
        <w:fldChar w:fldCharType="begin"/>
      </w:r>
      <w:r>
        <w:rPr>
          <w:rFonts w:ascii="Times New Roman" w:hAnsi="Times New Roman" w:eastAsia="Times New Roman" w:cs="Times New Roman"/>
        </w:rPr>
        <w:instrText xml:space="preserve"> DOCVARIABLE НДС_026 </w:instrText>
      </w:r>
      <w:r>
        <w:rPr>
          <w:rFonts w:ascii="Times New Roman" w:hAnsi="Times New Roman" w:eastAsia="Times New Roman" w:cs="Times New Roman"/>
        </w:rPr>
        <w:fldChar w:fldCharType="separate"/>
      </w:r>
      <w:r>
        <w:rPr>
          <w:rFonts w:ascii="Times New Roman" w:hAnsi="Times New Roman" w:eastAsia="Times New Roman" w:cs="Times New Roman"/>
        </w:rPr>
        <w:t xml:space="preserve">, </w:t>
      </w:r>
      <w:r>
        <w:rPr>
          <w:rFonts w:ascii="Times New Roman" w:hAnsi="Times New Roman" w:eastAsia="Times New Roman" w:cs="Times New Roman"/>
        </w:rPr>
        <w:t xml:space="preserve">в том числе НДС     %</w:t>
      </w:r>
      <w:r>
        <w:rPr>
          <w:rFonts w:ascii="Times New Roman" w:hAnsi="Times New Roman" w:eastAsia="Times New Roman" w:cs="Times New Roman"/>
        </w:rPr>
        <w:fldChar w:fldCharType="end"/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905"/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u w:val="single"/>
        </w:rPr>
        <w:t xml:space="preserve">1.4.Общая стоимость услуг по адаптации и сопровождению</w:t>
      </w:r>
      <w:r>
        <w:rPr>
          <w:rFonts w:ascii="Times New Roman" w:hAnsi="Times New Roman" w:eastAsia="Times New Roman" w:cs="Times New Roman"/>
        </w:rPr>
        <w:t xml:space="preserve"> экземпляров Систем за </w:t>
      </w:r>
      <w:r>
        <w:rPr>
          <w:rFonts w:ascii="Times New Roman" w:hAnsi="Times New Roman" w:eastAsia="Times New Roman" w:cs="Times New Roman"/>
        </w:rPr>
        <w:fldChar w:fldCharType="begin"/>
      </w:r>
      <w:r>
        <w:rPr>
          <w:rFonts w:ascii="Times New Roman" w:hAnsi="Times New Roman" w:eastAsia="Times New Roman" w:cs="Times New Roman"/>
        </w:rPr>
        <w:instrText xml:space="preserve"> DOCVARIABLE ФЦ_КОЛИЧЕСТВОМЕСЯЦЕВ_026 </w:instrText>
      </w:r>
      <w:r>
        <w:rPr>
          <w:rFonts w:ascii="Times New Roman" w:hAnsi="Times New Roman" w:eastAsia="Times New Roman" w:cs="Times New Roman"/>
        </w:rPr>
        <w:fldChar w:fldCharType="separate"/>
      </w:r>
      <w:r>
        <w:rPr>
          <w:rFonts w:ascii="Times New Roman" w:hAnsi="Times New Roman" w:eastAsia="Times New Roman" w:cs="Times New Roman"/>
        </w:rPr>
        <w:t xml:space="preserve">12 (Двенадцать) месяцев</w:t>
      </w:r>
      <w:r>
        <w:rPr>
          <w:rFonts w:ascii="Times New Roman" w:hAnsi="Times New Roman" w:eastAsia="Times New Roman" w:cs="Times New Roman"/>
        </w:rPr>
        <w:fldChar w:fldCharType="end"/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fldChar w:fldCharType="begin"/>
      </w:r>
      <w:r>
        <w:rPr>
          <w:rFonts w:ascii="Times New Roman" w:hAnsi="Times New Roman" w:eastAsia="Times New Roman" w:cs="Times New Roman"/>
        </w:rPr>
        <w:instrText xml:space="preserve"> DOCVARIABLE СОГЛУСЛ_ФЦ_ПЕРИОД_026 </w:instrText>
      </w:r>
      <w:r>
        <w:rPr>
          <w:rFonts w:ascii="Times New Roman" w:hAnsi="Times New Roman" w:eastAsia="Times New Roman" w:cs="Times New Roman"/>
        </w:rPr>
        <w:fldChar w:fldCharType="separate"/>
      </w:r>
      <w:r>
        <w:rPr>
          <w:rFonts w:ascii="Times New Roman" w:hAnsi="Times New Roman" w:eastAsia="Times New Roman" w:cs="Times New Roman"/>
        </w:rPr>
        <w:t xml:space="preserve">за период с августа 2026 г. по июль 2027 г.</w:t>
      </w:r>
      <w:r>
        <w:rPr>
          <w:rFonts w:ascii="Times New Roman" w:hAnsi="Times New Roman" w:eastAsia="Times New Roman" w:cs="Times New Roman"/>
        </w:rPr>
        <w:fldChar w:fldCharType="end"/>
      </w:r>
      <w:r>
        <w:rPr>
          <w:rFonts w:ascii="Times New Roman" w:hAnsi="Times New Roman" w:eastAsia="Times New Roman" w:cs="Times New Roman"/>
        </w:rPr>
        <w:t xml:space="preserve"> составит: </w:t>
      </w:r>
      <w:r>
        <w:rPr>
          <w:rFonts w:ascii="Times New Roman" w:hAnsi="Times New Roman" w:eastAsia="Times New Roman" w:cs="Times New Roman"/>
        </w:rPr>
        <w:t xml:space="preserve">_______________________________________________________рублей</w:t>
      </w:r>
      <w:r>
        <w:rPr>
          <w:rFonts w:ascii="Times New Roman" w:hAnsi="Times New Roman" w:eastAsia="Times New Roman" w:cs="Times New Roman"/>
        </w:rPr>
        <w:t xml:space="preserve"> в том числе  НДС</w:t>
      </w:r>
      <w:r>
        <w:rPr>
          <w:rFonts w:ascii="Times New Roman" w:hAnsi="Times New Roman" w:eastAsia="Times New Roman" w:cs="Times New Roman"/>
        </w:rPr>
        <w:t xml:space="preserve"> .</w:t>
      </w:r>
      <w:r>
        <w:rPr>
          <w:rFonts w:ascii="Times New Roman" w:hAnsi="Times New Roman" w:cs="Times New Roman"/>
        </w:rPr>
      </w:r>
    </w:p>
    <w:p>
      <w:pPr>
        <w:pStyle w:val="905"/>
        <w:jc w:val="both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905"/>
        <w:numPr>
          <w:ilvl w:val="0"/>
          <w:numId w:val="9"/>
        </w:numPr>
        <w:ind w:left="0" w:firstLine="0"/>
        <w:jc w:val="center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АДАПТАЦИЯ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905"/>
        <w:jc w:val="both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905"/>
        <w:numPr>
          <w:ilvl w:val="1"/>
          <w:numId w:val="9"/>
        </w:numPr>
        <w:ind w:left="0" w:firstLine="0"/>
        <w:jc w:val="both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u w:val="single"/>
        </w:rPr>
        <w:t xml:space="preserve">Адаптация (регистрация и иные действия согласно Договору).</w:t>
      </w:r>
      <w:r>
        <w:rPr>
          <w:rFonts w:ascii="Times New Roman" w:hAnsi="Times New Roman" w:cs="Times New Roman"/>
        </w:rPr>
        <w:t xml:space="preserve"> Для организа</w:t>
      </w:r>
      <w:r>
        <w:rPr>
          <w:rFonts w:ascii="Times New Roman" w:hAnsi="Times New Roman" w:cs="Times New Roman"/>
        </w:rPr>
        <w:t xml:space="preserve">ции сопровождения экземпляры Систем, включая специальную копию Систем, регистрируются и адаптируются на ЭВМ Заказчика, ЭВМ Исполнителя, ЭВМ Разработчика Систем.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905"/>
        <w:numPr>
          <w:ilvl w:val="1"/>
          <w:numId w:val="9"/>
        </w:numPr>
        <w:ind w:left="0" w:firstLine="0"/>
        <w:jc w:val="both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u w:val="single"/>
        </w:rPr>
        <w:t xml:space="preserve">Условия и порядок первичной регистрации на ЭВМ.</w:t>
      </w:r>
      <w:r>
        <w:rPr>
          <w:rFonts w:ascii="Times New Roman" w:hAnsi="Times New Roman" w:cs="Times New Roman"/>
        </w:rPr>
        <w:t xml:space="preserve"> Экземпляры Систем, указанные в настоящей Специф</w:t>
      </w:r>
      <w:r>
        <w:rPr>
          <w:rFonts w:ascii="Times New Roman" w:hAnsi="Times New Roman" w:cs="Times New Roman"/>
        </w:rPr>
        <w:t xml:space="preserve">икации, предназначены для организации подключения к Системам посредством регистрации (адаптации) на ЭВМ Заказчика, ЭВМ Исполнителя, ЭВМ Разработчика Систем. После перенастройки и только на основании отдельной Спецификации указанные экземпляры Систем могут </w:t>
      </w:r>
      <w:r>
        <w:rPr>
          <w:rFonts w:ascii="Times New Roman" w:hAnsi="Times New Roman" w:cs="Times New Roman"/>
        </w:rPr>
        <w:t xml:space="preserve">использоваться на ЭВМ ЛВС Заказчика. Разработчиком могут определяться особенности перенастройки экземпляров Систем и их последующей работы на ЭВМ ЛВС. ЛВС - локальная вычислительная сеть, соединяющая две или более ЭВМ (возможно, разного типа), расположенны</w:t>
      </w:r>
      <w:r>
        <w:rPr>
          <w:rFonts w:ascii="Times New Roman" w:hAnsi="Times New Roman" w:cs="Times New Roman"/>
        </w:rPr>
        <w:t xml:space="preserve">е в пределах одного здания или нескольких соседних зданий. 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905"/>
        <w:numPr>
          <w:ilvl w:val="1"/>
          <w:numId w:val="9"/>
        </w:numPr>
        <w:ind w:left="0" w:firstLine="0"/>
        <w:jc w:val="both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u w:val="single"/>
        </w:rPr>
        <w:t xml:space="preserve">Условия и порядок дополнительной перерегистрации (адаптации) на ЭВМ в рамках сопровождения.</w:t>
      </w:r>
      <w:r>
        <w:rPr>
          <w:rFonts w:ascii="Times New Roman" w:hAnsi="Times New Roman" w:cs="Times New Roman"/>
        </w:rPr>
        <w:t xml:space="preserve"> Исполнитель обеспечивает администрирование специального АРМ администратора учетных записей пользователей</w:t>
      </w:r>
      <w:r>
        <w:rPr>
          <w:rFonts w:ascii="Times New Roman" w:hAnsi="Times New Roman" w:cs="Times New Roman"/>
        </w:rPr>
        <w:t xml:space="preserve"> и в рамках данного процесса при необходимости проводит дополнительную регулярную перерегистрацию (адаптацию) экземпляров на ЭВМ Заказчика, ЭВМ Исполнителя, ЭВМ Разработчика Систем при сбоях и в других необходимых случаях. 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905"/>
        <w:numPr>
          <w:ilvl w:val="1"/>
          <w:numId w:val="9"/>
        </w:numPr>
        <w:ind w:left="0" w:firstLine="0"/>
        <w:jc w:val="both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u w:val="single"/>
        </w:rPr>
        <w:t xml:space="preserve">Передача АРМ администратора.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 запросу Заказчика АРМ администратора учетных записей пользователей может быть предоставлено Заказчику.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905"/>
        <w:widowControl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</w:r>
      <w:r>
        <w:rPr>
          <w:rFonts w:ascii="Times New Roman" w:hAnsi="Times New Roman" w:cs="Times New Roman"/>
          <w:sz w:val="18"/>
          <w:szCs w:val="18"/>
          <w:u w:val="single"/>
        </w:rPr>
      </w:r>
    </w:p>
    <w:p>
      <w:pPr>
        <w:pStyle w:val="905"/>
        <w:numPr>
          <w:ilvl w:val="0"/>
          <w:numId w:val="9"/>
        </w:numPr>
        <w:ind w:left="0" w:firstLine="0"/>
        <w:jc w:val="center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ПОРЯДОК ПОДКЛЮЧЕНИЯ И ИСПОЛЬЗОВАНИЯ ЭКЗЕМПЛЯРОВ СИСТЕМ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905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929"/>
        <w:numPr>
          <w:ilvl w:val="1"/>
          <w:numId w:val="9"/>
        </w:numPr>
        <w:ind w:left="0" w:firstLine="0"/>
        <w:spacing w:after="0"/>
        <w:rPr>
          <w:sz w:val="18"/>
          <w:szCs w:val="18"/>
          <w:u w:val="single"/>
        </w:rPr>
      </w:pPr>
      <w:r>
        <w:rPr>
          <w:sz w:val="20"/>
          <w:szCs w:val="20"/>
          <w:u w:val="single"/>
          <w:lang w:eastAsia="ru-RU"/>
        </w:rPr>
        <w:t xml:space="preserve">Подключение комплекта Систем.</w:t>
      </w:r>
      <w:r>
        <w:rPr>
          <w:sz w:val="20"/>
          <w:szCs w:val="20"/>
          <w:lang w:eastAsia="ru-RU"/>
        </w:rPr>
        <w:t xml:space="preserve"> Исполнитель осуществляет подключение комплекта Систем в течение</w:t>
      </w:r>
      <w:r>
        <w:rPr>
          <w:sz w:val="20"/>
          <w:szCs w:val="20"/>
          <w:lang w:eastAsia="ru-RU"/>
        </w:rPr>
        <w:t xml:space="preserve"> трех дней со дня регистрации.</w:t>
      </w:r>
      <w:r>
        <w:rPr>
          <w:sz w:val="18"/>
          <w:szCs w:val="18"/>
          <w:u w:val="single"/>
        </w:rPr>
      </w:r>
    </w:p>
    <w:p>
      <w:pPr>
        <w:pStyle w:val="929"/>
        <w:numPr>
          <w:ilvl w:val="1"/>
          <w:numId w:val="9"/>
        </w:numPr>
        <w:ind w:left="0" w:firstLine="0"/>
        <w:spacing w:after="0"/>
        <w:rPr>
          <w:sz w:val="18"/>
          <w:szCs w:val="18"/>
        </w:rPr>
      </w:pPr>
      <w:r>
        <w:rPr>
          <w:sz w:val="20"/>
          <w:szCs w:val="20"/>
          <w:u w:val="single"/>
          <w:lang w:eastAsia="ru-RU"/>
        </w:rPr>
        <w:t xml:space="preserve">Разрешенные передачи</w:t>
      </w:r>
      <w:r>
        <w:rPr>
          <w:sz w:val="20"/>
          <w:szCs w:val="20"/>
          <w:lang w:eastAsia="ru-RU"/>
        </w:rPr>
        <w:t xml:space="preserve">. Заказчик не вправе передавать экземпляр Системы третьему лицу.</w:t>
      </w:r>
      <w:r>
        <w:rPr>
          <w:sz w:val="18"/>
          <w:szCs w:val="18"/>
        </w:rPr>
      </w:r>
    </w:p>
    <w:p>
      <w:pPr>
        <w:pStyle w:val="929"/>
        <w:numPr>
          <w:ilvl w:val="1"/>
          <w:numId w:val="9"/>
        </w:numPr>
        <w:ind w:left="0" w:firstLine="0"/>
        <w:spacing w:after="0"/>
        <w:rPr>
          <w:sz w:val="18"/>
          <w:szCs w:val="18"/>
        </w:rPr>
      </w:pPr>
      <w:r>
        <w:rPr>
          <w:sz w:val="20"/>
          <w:szCs w:val="20"/>
          <w:u w:val="single"/>
          <w:lang w:eastAsia="ru-RU"/>
        </w:rPr>
        <w:t xml:space="preserve">Электронный адрес</w:t>
      </w:r>
      <w:r>
        <w:rPr>
          <w:sz w:val="20"/>
          <w:szCs w:val="20"/>
        </w:rPr>
        <w:t xml:space="preserve"> для направления Заказчику информации</w:t>
      </w:r>
      <w:r>
        <w:rPr>
          <w:b/>
          <w:sz w:val="20"/>
          <w:szCs w:val="20"/>
        </w:rPr>
        <w:t xml:space="preserve">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DOCVARIABLE ЗАКАЗЧИК_EMAIL_ОВ </w:instrText>
      </w:r>
      <w:r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t xml:space="preserve">s-mnogoborye@yanao.ru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.</w:t>
      </w:r>
      <w:r>
        <w:rPr>
          <w:sz w:val="20"/>
          <w:szCs w:val="20"/>
        </w:rPr>
        <w:t xml:space="preserve"> В случае изменения электрон</w:t>
      </w:r>
      <w:r>
        <w:rPr>
          <w:sz w:val="20"/>
          <w:szCs w:val="20"/>
        </w:rPr>
        <w:t xml:space="preserve">ного адреса Заказчик направляет Исполнителю письменное уведомление по форме, согласованной в качестве приложения к Договору.</w:t>
      </w:r>
      <w:r>
        <w:rPr>
          <w:sz w:val="18"/>
          <w:szCs w:val="18"/>
        </w:rPr>
      </w:r>
    </w:p>
    <w:p>
      <w:pPr>
        <w:pStyle w:val="929"/>
        <w:numPr>
          <w:ilvl w:val="1"/>
          <w:numId w:val="9"/>
        </w:numPr>
        <w:ind w:left="0" w:firstLine="0"/>
        <w:spacing w:after="0"/>
        <w:rPr>
          <w:sz w:val="18"/>
          <w:szCs w:val="18"/>
        </w:rPr>
      </w:pPr>
      <w:r>
        <w:rPr>
          <w:sz w:val="20"/>
          <w:szCs w:val="20"/>
          <w:u w:val="single"/>
          <w:lang w:eastAsia="ru-RU"/>
        </w:rPr>
        <w:t xml:space="preserve">Организация подключения.</w:t>
      </w:r>
      <w:r>
        <w:rPr>
          <w:sz w:val="20"/>
          <w:szCs w:val="20"/>
        </w:rPr>
        <w:t xml:space="preserve"> При осуществлении регистрации и адаптации Исполнитель:</w:t>
      </w:r>
      <w:r>
        <w:rPr>
          <w:sz w:val="18"/>
          <w:szCs w:val="18"/>
        </w:rPr>
      </w:r>
    </w:p>
    <w:p>
      <w:pPr>
        <w:pStyle w:val="929"/>
        <w:numPr>
          <w:ilvl w:val="2"/>
          <w:numId w:val="9"/>
        </w:numPr>
        <w:ind w:left="0" w:firstLine="0"/>
        <w:spacing w:after="0"/>
        <w:shd w:val="clear" w:color="auto" w:fill="ffffff" w:themeFill="background1"/>
        <w:rPr>
          <w:sz w:val="18"/>
          <w:szCs w:val="18"/>
        </w:rPr>
      </w:pPr>
      <w:r>
        <w:rPr>
          <w:sz w:val="20"/>
          <w:szCs w:val="20"/>
        </w:rPr>
        <w:t xml:space="preserve">Согласно п.п. 2.2 – 2.3 настоящей Спецификации обес</w:t>
      </w:r>
      <w:r>
        <w:rPr>
          <w:sz w:val="20"/>
          <w:szCs w:val="20"/>
        </w:rPr>
        <w:t xml:space="preserve">печивает Заказчику возможность использования комплекта с числом УЗ и числом ОД, </w:t>
      </w:r>
      <w:r>
        <w:rPr>
          <w:sz w:val="20"/>
          <w:szCs w:val="20"/>
        </w:rPr>
        <w:t xml:space="preserve">определенными</w:t>
      </w:r>
      <w:r>
        <w:rPr>
          <w:sz w:val="20"/>
          <w:szCs w:val="20"/>
        </w:rPr>
        <w:t xml:space="preserve"> настоящей Спецификацией. </w:t>
      </w:r>
      <w:r>
        <w:rPr>
          <w:sz w:val="18"/>
          <w:szCs w:val="18"/>
        </w:rPr>
      </w:r>
    </w:p>
    <w:p>
      <w:pPr>
        <w:pStyle w:val="929"/>
        <w:numPr>
          <w:ilvl w:val="2"/>
          <w:numId w:val="9"/>
        </w:numPr>
        <w:ind w:left="0" w:firstLine="0"/>
        <w:spacing w:after="0"/>
        <w:shd w:val="clear" w:color="auto" w:fill="ffffff" w:themeFill="background1"/>
        <w:rPr>
          <w:sz w:val="18"/>
          <w:szCs w:val="18"/>
        </w:rPr>
      </w:pPr>
      <w:r>
        <w:rPr>
          <w:sz w:val="20"/>
          <w:szCs w:val="20"/>
        </w:rPr>
        <w:t xml:space="preserve">Сохраняет реквизиты УЗ в специальной копии Системы.</w:t>
      </w:r>
      <w:r>
        <w:rPr>
          <w:sz w:val="18"/>
          <w:szCs w:val="18"/>
        </w:rPr>
      </w:r>
    </w:p>
    <w:p>
      <w:pPr>
        <w:pStyle w:val="929"/>
        <w:numPr>
          <w:ilvl w:val="2"/>
          <w:numId w:val="9"/>
        </w:numPr>
        <w:ind w:left="0" w:firstLine="0"/>
        <w:spacing w:after="0"/>
        <w:shd w:val="clear" w:color="auto" w:fill="ffffff" w:themeFill="background1"/>
        <w:rPr>
          <w:sz w:val="18"/>
          <w:szCs w:val="18"/>
        </w:rPr>
      </w:pPr>
      <w:r>
        <w:rPr>
          <w:sz w:val="20"/>
          <w:szCs w:val="20"/>
        </w:rPr>
        <w:t xml:space="preserve">Регистрирует АРМ администратора учетных записей пользователей для организации сопров</w:t>
      </w:r>
      <w:r>
        <w:rPr>
          <w:sz w:val="20"/>
          <w:szCs w:val="20"/>
        </w:rPr>
        <w:t xml:space="preserve">ождения Систем, в т.ч. формирует, адаптирует и модифицирует базу данных учетных записей пользователей </w:t>
      </w:r>
      <w:r>
        <w:rPr>
          <w:sz w:val="18"/>
          <w:szCs w:val="18"/>
        </w:rPr>
      </w:r>
    </w:p>
    <w:p>
      <w:pPr>
        <w:pStyle w:val="929"/>
        <w:numPr>
          <w:ilvl w:val="1"/>
          <w:numId w:val="9"/>
        </w:numPr>
        <w:ind w:left="0" w:firstLine="0"/>
        <w:spacing w:after="0"/>
        <w:rPr>
          <w:sz w:val="18"/>
          <w:szCs w:val="18"/>
        </w:rPr>
      </w:pPr>
      <w:r>
        <w:rPr>
          <w:sz w:val="20"/>
          <w:szCs w:val="20"/>
          <w:u w:val="single"/>
          <w:lang w:eastAsia="ru-RU"/>
        </w:rPr>
        <w:t xml:space="preserve">Изменение УЗ.</w:t>
      </w:r>
      <w:r>
        <w:rPr>
          <w:sz w:val="20"/>
          <w:szCs w:val="20"/>
        </w:rPr>
        <w:t xml:space="preserve"> Исполнитель вправе заменять УЗ по собственной инициативе с одновременным уведомлением Заказчика открытым электронным сообщением на электрон</w:t>
      </w:r>
      <w:r>
        <w:rPr>
          <w:sz w:val="20"/>
          <w:szCs w:val="20"/>
        </w:rPr>
        <w:t xml:space="preserve">ный адрес Заказчика, указанный в п. 3.3.</w:t>
      </w:r>
      <w:r>
        <w:rPr>
          <w:sz w:val="18"/>
          <w:szCs w:val="18"/>
        </w:rPr>
      </w:r>
    </w:p>
    <w:p>
      <w:pPr>
        <w:pStyle w:val="929"/>
        <w:numPr>
          <w:ilvl w:val="1"/>
          <w:numId w:val="9"/>
        </w:numPr>
        <w:ind w:left="0" w:firstLine="0"/>
        <w:spacing w:after="0"/>
        <w:rPr>
          <w:sz w:val="18"/>
          <w:szCs w:val="18"/>
        </w:rPr>
      </w:pPr>
      <w:r>
        <w:rPr>
          <w:sz w:val="20"/>
          <w:szCs w:val="20"/>
          <w:u w:val="single"/>
        </w:rPr>
        <w:t xml:space="preserve">Передача УЗ.</w:t>
      </w:r>
      <w:r>
        <w:rPr>
          <w:sz w:val="20"/>
          <w:szCs w:val="20"/>
        </w:rPr>
        <w:t xml:space="preserve"> Заказчик вправе передавать реквизиты УЗ только своим Уникальным пользователям в соответствии с условиями Договора и Спец</w:t>
      </w:r>
      <w:r>
        <w:rPr>
          <w:sz w:val="20"/>
          <w:szCs w:val="20"/>
        </w:rPr>
        <w:t xml:space="preserve">ификации. По запросу Исполнителя Заказчик обязан предоставлять Исполнителю информацию об Уникальных пользователях, которым была передана УЗ. Заказчик обязан обеспечить конфиденциальность УЗ. Заказчик не вправе предоставлять возможность использования Систем</w:t>
      </w:r>
      <w:r>
        <w:rPr>
          <w:sz w:val="20"/>
          <w:szCs w:val="20"/>
        </w:rPr>
        <w:t xml:space="preserve">ы(</w:t>
      </w:r>
      <w:r>
        <w:rPr>
          <w:sz w:val="20"/>
          <w:szCs w:val="20"/>
        </w:rPr>
        <w:t xml:space="preserve">м) лицам и/или способами, не предусмотренными настоящим п. 3.6 Спецификации.</w:t>
      </w:r>
      <w:r>
        <w:rPr>
          <w:sz w:val="18"/>
          <w:szCs w:val="18"/>
        </w:rPr>
      </w:r>
    </w:p>
    <w:p>
      <w:pPr>
        <w:pStyle w:val="929"/>
        <w:numPr>
          <w:ilvl w:val="1"/>
          <w:numId w:val="9"/>
        </w:numPr>
        <w:ind w:left="0" w:firstLine="0"/>
        <w:spacing w:after="0"/>
        <w:rPr>
          <w:sz w:val="18"/>
          <w:szCs w:val="18"/>
        </w:rPr>
      </w:pPr>
      <w:r>
        <w:rPr>
          <w:sz w:val="20"/>
          <w:szCs w:val="20"/>
          <w:u w:val="single"/>
        </w:rPr>
        <w:t xml:space="preserve">Блокирование УЗ.</w:t>
      </w:r>
      <w:r>
        <w:rPr>
          <w:sz w:val="20"/>
          <w:szCs w:val="20"/>
        </w:rPr>
        <w:t xml:space="preserve"> Заказчик вправе в любое время заблокировать УЗ путем смены ее реквизитов. Заказчик обязан заблокировать УЗ в следующих случаях:</w:t>
      </w:r>
      <w:r>
        <w:rPr>
          <w:sz w:val="18"/>
          <w:szCs w:val="18"/>
        </w:rPr>
      </w:r>
    </w:p>
    <w:p>
      <w:pPr>
        <w:pStyle w:val="929"/>
        <w:numPr>
          <w:ilvl w:val="2"/>
          <w:numId w:val="9"/>
        </w:numPr>
        <w:ind w:left="0" w:firstLine="0"/>
        <w:spacing w:after="0"/>
        <w:shd w:val="clear" w:color="auto" w:fill="ffffff" w:themeFill="background1"/>
        <w:rPr>
          <w:sz w:val="18"/>
          <w:szCs w:val="18"/>
        </w:rPr>
      </w:pPr>
      <w:r>
        <w:rPr>
          <w:sz w:val="20"/>
          <w:szCs w:val="20"/>
        </w:rPr>
        <w:t xml:space="preserve">В случае прекращения трудовых отношений с Уникальным пользователем, получившим учетную запись, - в течение одного рабочего дня с момента прекращения трудовых отношений;</w:t>
      </w:r>
      <w:r>
        <w:rPr>
          <w:sz w:val="18"/>
          <w:szCs w:val="18"/>
        </w:rPr>
      </w:r>
    </w:p>
    <w:p>
      <w:pPr>
        <w:pStyle w:val="929"/>
        <w:numPr>
          <w:ilvl w:val="2"/>
          <w:numId w:val="9"/>
        </w:numPr>
        <w:ind w:left="0" w:firstLine="0"/>
        <w:spacing w:after="0"/>
        <w:shd w:val="clear" w:color="auto" w:fill="ffffff" w:themeFill="background1"/>
        <w:rPr>
          <w:sz w:val="18"/>
          <w:szCs w:val="18"/>
        </w:rPr>
      </w:pPr>
      <w:r>
        <w:rPr>
          <w:sz w:val="20"/>
          <w:szCs w:val="20"/>
        </w:rPr>
        <w:t xml:space="preserve">В случае действительного или потенциального нарушения конфиденциальности реквизитов уче</w:t>
      </w:r>
      <w:r>
        <w:rPr>
          <w:sz w:val="20"/>
          <w:szCs w:val="20"/>
        </w:rPr>
        <w:t xml:space="preserve">тной записи - незамедлительно при получении соответствующей информации.</w:t>
      </w:r>
      <w:r>
        <w:rPr>
          <w:sz w:val="18"/>
          <w:szCs w:val="18"/>
        </w:rPr>
      </w:r>
    </w:p>
    <w:p>
      <w:pPr>
        <w:pStyle w:val="929"/>
        <w:numPr>
          <w:ilvl w:val="1"/>
          <w:numId w:val="9"/>
        </w:numPr>
        <w:ind w:left="0" w:firstLine="0"/>
        <w:spacing w:after="0"/>
        <w:rPr>
          <w:sz w:val="18"/>
          <w:szCs w:val="18"/>
        </w:rPr>
      </w:pPr>
      <w:r>
        <w:rPr>
          <w:sz w:val="20"/>
          <w:szCs w:val="20"/>
          <w:u w:val="single"/>
          <w:lang w:eastAsia="ru-RU"/>
        </w:rPr>
        <w:t xml:space="preserve">Конфиденциальность.</w:t>
      </w:r>
      <w:r>
        <w:rPr>
          <w:sz w:val="20"/>
          <w:szCs w:val="20"/>
        </w:rPr>
        <w:t xml:space="preserve"> Заказчик обязан обеспечивать конфиденциальность УЗ. Нарушениями конфиденциальности, являющимися грубыми нарушениями прав на объек</w:t>
      </w:r>
      <w:r>
        <w:rPr>
          <w:sz w:val="20"/>
          <w:szCs w:val="20"/>
        </w:rPr>
        <w:t xml:space="preserve">т(</w:t>
      </w:r>
      <w:r>
        <w:rPr>
          <w:sz w:val="20"/>
          <w:szCs w:val="20"/>
        </w:rPr>
        <w:t xml:space="preserve">ы</w:t>
      </w:r>
      <w:r>
        <w:rPr>
          <w:sz w:val="20"/>
          <w:szCs w:val="20"/>
        </w:rPr>
        <w:t xml:space="preserve">) интеллектуальной собственности</w:t>
      </w:r>
      <w:r>
        <w:rPr>
          <w:sz w:val="20"/>
          <w:szCs w:val="20"/>
        </w:rPr>
        <w:t xml:space="preserve">, в частности, признаются: передача (разглашение) реквизитов УЗ лицу, которое не является Уникальным пользователем, а также несвоевременная блокировка УЗ при прекращении трудовых отношений с бывшим Уникальным пользователем.</w:t>
      </w:r>
      <w:r>
        <w:rPr>
          <w:sz w:val="18"/>
          <w:szCs w:val="18"/>
        </w:rPr>
      </w:r>
    </w:p>
    <w:p>
      <w:pPr>
        <w:pStyle w:val="929"/>
        <w:ind w:left="0"/>
        <w:spacing w:after="0"/>
        <w:rPr>
          <w:sz w:val="18"/>
          <w:szCs w:val="18"/>
        </w:rPr>
      </w:pPr>
      <w:r>
        <w:rPr>
          <w:sz w:val="20"/>
          <w:szCs w:val="20"/>
        </w:rPr>
        <w:t xml:space="preserve">Без специального разрешения Прав</w:t>
      </w:r>
      <w:r>
        <w:rPr>
          <w:sz w:val="20"/>
          <w:szCs w:val="20"/>
        </w:rPr>
        <w:t xml:space="preserve">ообладателя запрещено использование Системы и/или материалов из нее любыми автоматизированными системами и/или сервисами искусственного интеллекта (в том числе языковыми моделями, </w:t>
      </w:r>
      <w:r>
        <w:rPr>
          <w:sz w:val="20"/>
          <w:szCs w:val="20"/>
        </w:rPr>
        <w:t xml:space="preserve">нейросетями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чат-ботами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ИИ-помощниками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ИИ-ассистентами</w:t>
      </w:r>
      <w:r>
        <w:rPr>
          <w:sz w:val="20"/>
          <w:szCs w:val="20"/>
        </w:rPr>
        <w:t xml:space="preserve"> и пр.) и/или програ</w:t>
      </w:r>
      <w:r>
        <w:rPr>
          <w:sz w:val="20"/>
          <w:szCs w:val="20"/>
        </w:rPr>
        <w:t xml:space="preserve">ммным обеспечением или любыми прочими инструментами, использующими автоматизированные методы сбора и обработки данных.</w:t>
      </w:r>
      <w:r>
        <w:rPr>
          <w:sz w:val="18"/>
          <w:szCs w:val="18"/>
        </w:rPr>
      </w:r>
    </w:p>
    <w:p>
      <w:pPr>
        <w:pStyle w:val="929"/>
        <w:ind w:left="0"/>
        <w:spacing w:after="0"/>
        <w:rPr>
          <w:sz w:val="18"/>
          <w:szCs w:val="18"/>
        </w:rPr>
      </w:pPr>
      <w:r>
        <w:rPr>
          <w:sz w:val="20"/>
          <w:szCs w:val="20"/>
        </w:rPr>
        <w:t xml:space="preserve">Без специального разрешения Правообладателя запрещено использование Системы и/или материалов из нее для создания любых программных продук</w:t>
      </w:r>
      <w:r>
        <w:rPr>
          <w:sz w:val="20"/>
          <w:szCs w:val="20"/>
        </w:rPr>
        <w:t xml:space="preserve">тов и/или баз данных и/или любых иных сервисов, в том числе с применением методов и инструментов автоматического извлечения и/или систематизации и/или обработки данных (включая, </w:t>
      </w:r>
      <w:r>
        <w:rPr>
          <w:sz w:val="20"/>
          <w:szCs w:val="20"/>
        </w:rPr>
        <w:t xml:space="preserve">но</w:t>
      </w:r>
      <w:r>
        <w:rPr>
          <w:sz w:val="20"/>
          <w:szCs w:val="20"/>
        </w:rPr>
        <w:t xml:space="preserve"> не ограничиваясь этим, </w:t>
      </w:r>
      <w:r>
        <w:rPr>
          <w:sz w:val="20"/>
          <w:szCs w:val="20"/>
        </w:rPr>
        <w:t xml:space="preserve">веб-скрейпинг</w:t>
      </w:r>
      <w:r>
        <w:rPr>
          <w:sz w:val="20"/>
          <w:szCs w:val="20"/>
        </w:rPr>
        <w:t xml:space="preserve"> и </w:t>
      </w:r>
      <w:r>
        <w:rPr>
          <w:sz w:val="20"/>
          <w:szCs w:val="20"/>
        </w:rPr>
        <w:t xml:space="preserve">парсинг</w:t>
      </w:r>
      <w:r>
        <w:rPr>
          <w:sz w:val="20"/>
          <w:szCs w:val="20"/>
        </w:rPr>
        <w:t xml:space="preserve">), машинного обучения, обучен</w:t>
      </w:r>
      <w:r>
        <w:rPr>
          <w:sz w:val="20"/>
          <w:szCs w:val="20"/>
        </w:rPr>
        <w:t xml:space="preserve">ия искусственного интеллекта, автоматизированного добавления в запросы, команды и инструкции (</w:t>
      </w:r>
      <w:r>
        <w:rPr>
          <w:sz w:val="20"/>
          <w:szCs w:val="20"/>
        </w:rPr>
        <w:t xml:space="preserve">промпты</w:t>
      </w:r>
      <w:r>
        <w:rPr>
          <w:sz w:val="20"/>
          <w:szCs w:val="20"/>
        </w:rPr>
        <w:t xml:space="preserve">) для подготовки ответов системами искусственного интеллекта или любых иных автоматизированных методов сбора и обработки данных.</w:t>
      </w:r>
      <w:r>
        <w:rPr>
          <w:sz w:val="18"/>
          <w:szCs w:val="18"/>
        </w:rPr>
      </w:r>
    </w:p>
    <w:p>
      <w:pPr>
        <w:pStyle w:val="929"/>
        <w:ind w:left="0"/>
        <w:spacing w:after="0"/>
        <w:rPr>
          <w:sz w:val="18"/>
          <w:szCs w:val="18"/>
        </w:rPr>
      </w:pPr>
      <w:r>
        <w:rPr>
          <w:sz w:val="20"/>
          <w:szCs w:val="20"/>
        </w:rPr>
        <w:t xml:space="preserve">Заказчик обязуется предпри</w:t>
      </w:r>
      <w:r>
        <w:rPr>
          <w:sz w:val="20"/>
          <w:szCs w:val="20"/>
        </w:rPr>
        <w:t xml:space="preserve">нимать все зависящие от него меры по недопущению такого использования.</w:t>
      </w:r>
      <w:r>
        <w:rPr>
          <w:sz w:val="18"/>
          <w:szCs w:val="18"/>
        </w:rPr>
      </w:r>
    </w:p>
    <w:p>
      <w:pPr>
        <w:pStyle w:val="929"/>
        <w:numPr>
          <w:ilvl w:val="1"/>
          <w:numId w:val="9"/>
        </w:numPr>
        <w:ind w:left="0" w:firstLine="0"/>
        <w:spacing w:after="0"/>
        <w:rPr>
          <w:sz w:val="18"/>
          <w:szCs w:val="18"/>
        </w:rPr>
      </w:pPr>
      <w:r>
        <w:rPr>
          <w:sz w:val="20"/>
          <w:szCs w:val="20"/>
          <w:u w:val="single"/>
          <w:lang w:eastAsia="ru-RU"/>
        </w:rPr>
        <w:t xml:space="preserve">Интерфейсные сообщения</w:t>
      </w:r>
      <w:r>
        <w:rPr>
          <w:sz w:val="20"/>
          <w:szCs w:val="20"/>
          <w:lang w:eastAsia="ru-RU"/>
        </w:rPr>
        <w:t xml:space="preserve">. Система может содержать информационное сообщение о наименовании и местонахождении правомерного пользователя комплекта Систем. Сообщение может быть показано не ча</w:t>
      </w:r>
      <w:r>
        <w:rPr>
          <w:sz w:val="20"/>
          <w:szCs w:val="20"/>
          <w:lang w:eastAsia="ru-RU"/>
        </w:rPr>
        <w:t xml:space="preserve">ще одного раза в 24 часа.</w:t>
      </w:r>
      <w:r>
        <w:rPr>
          <w:sz w:val="18"/>
          <w:szCs w:val="18"/>
        </w:rPr>
      </w:r>
    </w:p>
    <w:p>
      <w:pPr>
        <w:pStyle w:val="929"/>
        <w:numPr>
          <w:ilvl w:val="1"/>
          <w:numId w:val="9"/>
        </w:numPr>
        <w:ind w:left="0" w:firstLine="0"/>
        <w:spacing w:after="0"/>
        <w:rPr>
          <w:sz w:val="18"/>
          <w:szCs w:val="18"/>
        </w:rPr>
      </w:pPr>
      <w:r>
        <w:rPr>
          <w:sz w:val="20"/>
          <w:szCs w:val="20"/>
          <w:u w:val="single"/>
          <w:lang w:eastAsia="ru-RU"/>
        </w:rPr>
        <w:t xml:space="preserve">Параметры использования комплекта.</w:t>
      </w:r>
      <w:r>
        <w:rPr>
          <w:sz w:val="20"/>
          <w:szCs w:val="20"/>
          <w:lang w:eastAsia="ru-RU"/>
        </w:rPr>
        <w:t xml:space="preserve"> </w:t>
      </w:r>
      <w:r>
        <w:rPr>
          <w:sz w:val="20"/>
          <w:szCs w:val="20"/>
        </w:rPr>
        <w:t xml:space="preserve">Разработчик Систем самостоятельно определяет параметры использования Систем и вправе в одностороннем порядке их изменять. С актуальными параметрами Заказчик вправе ознакомиться в разделе справочн</w:t>
      </w:r>
      <w:r>
        <w:rPr>
          <w:sz w:val="20"/>
          <w:szCs w:val="20"/>
        </w:rPr>
        <w:t xml:space="preserve">ой информации о комплекте в электронном виде.</w:t>
      </w:r>
      <w:r>
        <w:rPr>
          <w:sz w:val="18"/>
          <w:szCs w:val="18"/>
        </w:rPr>
      </w:r>
    </w:p>
    <w:p>
      <w:pPr>
        <w:pStyle w:val="929"/>
        <w:numPr>
          <w:ilvl w:val="1"/>
          <w:numId w:val="9"/>
        </w:numPr>
        <w:ind w:left="0" w:firstLine="0"/>
        <w:spacing w:after="0"/>
        <w:rPr>
          <w:sz w:val="18"/>
          <w:szCs w:val="18"/>
        </w:rPr>
      </w:pPr>
      <w:r>
        <w:rPr>
          <w:sz w:val="20"/>
          <w:szCs w:val="20"/>
          <w:u w:val="single"/>
        </w:rPr>
        <w:t xml:space="preserve">Возобновление.</w:t>
      </w:r>
      <w:r>
        <w:rPr>
          <w:sz w:val="20"/>
          <w:szCs w:val="20"/>
        </w:rPr>
        <w:t xml:space="preserve"> В случае отказа Заказчика от услуг с использованием экземпляра Системы возможность использования Заказчиком данной Системы блокируется, оказание Заказчику любых услуг с использованием данного экз</w:t>
      </w:r>
      <w:r>
        <w:rPr>
          <w:sz w:val="20"/>
          <w:szCs w:val="20"/>
        </w:rPr>
        <w:t xml:space="preserve">емпляра Системы, может быть осуществлено Исполнителем только при наличии технической возможности после оплаты Заказчиком стоимости возобновления оказания услуг по Прейскуранту Исполнителя. Оказание Заказчику любых услуг с использованием иных Систем, включе</w:t>
      </w:r>
      <w:r>
        <w:rPr>
          <w:sz w:val="20"/>
          <w:szCs w:val="20"/>
        </w:rPr>
        <w:t xml:space="preserve">нных в один комплект с Системой, в отношении экземпляра которой Заказчик отказался от услуг, может быть продолжено Исполнителем только при наличии технической возможности.</w:t>
      </w:r>
      <w:r>
        <w:rPr>
          <w:sz w:val="18"/>
          <w:szCs w:val="18"/>
        </w:rPr>
      </w:r>
    </w:p>
    <w:p>
      <w:pPr>
        <w:jc w:val="left"/>
        <w:spacing w:after="0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05"/>
        <w:numPr>
          <w:ilvl w:val="0"/>
          <w:numId w:val="9"/>
        </w:numPr>
        <w:ind w:left="0" w:firstLine="0"/>
        <w:jc w:val="center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ОСОБЕННОСТИ ОКАЗАНИЯ УСЛУГ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905"/>
        <w:widowControl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</w:r>
      <w:r>
        <w:rPr>
          <w:rFonts w:ascii="Times New Roman" w:hAnsi="Times New Roman" w:cs="Times New Roman"/>
          <w:b/>
          <w:sz w:val="18"/>
          <w:szCs w:val="18"/>
        </w:rPr>
      </w:r>
    </w:p>
    <w:p>
      <w:pPr>
        <w:pStyle w:val="905"/>
        <w:numPr>
          <w:ilvl w:val="1"/>
          <w:numId w:val="9"/>
        </w:numPr>
        <w:ind w:left="0" w:firstLine="0"/>
        <w:jc w:val="both"/>
        <w:shd w:val="clear" w:color="auto" w:fill="ffffff" w:themeFill="background1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u w:val="single"/>
        </w:rPr>
        <w:t xml:space="preserve">Режим обслуживания.</w:t>
      </w:r>
      <w:r>
        <w:rPr>
          <w:rFonts w:ascii="Times New Roman" w:hAnsi="Times New Roman" w:cs="Times New Roman"/>
        </w:rPr>
        <w:t xml:space="preserve"> Исполнитель обеспечивает возможност</w:t>
      </w:r>
      <w:r>
        <w:rPr>
          <w:rFonts w:ascii="Times New Roman" w:hAnsi="Times New Roman" w:cs="Times New Roman"/>
        </w:rPr>
        <w:t xml:space="preserve">ь использования комплекта Систем 24 часа в сутки 7 дней в неделю, за исключением времени перерывов в предоставлении услуг, связанных с заменой оборудования, программного обеспечения и/или проведения других ремонтных или планово-профилактических работ на се</w:t>
      </w:r>
      <w:r>
        <w:rPr>
          <w:rFonts w:ascii="Times New Roman" w:hAnsi="Times New Roman" w:cs="Times New Roman"/>
        </w:rPr>
        <w:t xml:space="preserve">рверном оборудовании. Использование комплекта возможно под управлением специальной копии Системы с электронного устройства Заказчика, на котором она установлена.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929"/>
        <w:numPr>
          <w:ilvl w:val="1"/>
          <w:numId w:val="9"/>
        </w:numPr>
        <w:ind w:left="0" w:firstLine="0"/>
        <w:spacing w:after="0"/>
        <w:shd w:val="clear" w:color="auto" w:fill="ffffff" w:themeFill="background1"/>
        <w:rPr>
          <w:sz w:val="18"/>
          <w:szCs w:val="18"/>
          <w:u w:val="single"/>
        </w:rPr>
      </w:pPr>
      <w:r>
        <w:rPr>
          <w:sz w:val="20"/>
          <w:szCs w:val="20"/>
          <w:u w:val="single"/>
          <w:lang w:eastAsia="ru-RU"/>
        </w:rPr>
        <w:t xml:space="preserve">Объем сопровождения. Услуги Исполнителя предусматривают:</w:t>
      </w:r>
      <w:r>
        <w:rPr>
          <w:sz w:val="18"/>
          <w:szCs w:val="18"/>
          <w:u w:val="single"/>
        </w:rPr>
      </w:r>
    </w:p>
    <w:p>
      <w:pPr>
        <w:pStyle w:val="929"/>
        <w:numPr>
          <w:ilvl w:val="2"/>
          <w:numId w:val="9"/>
        </w:numPr>
        <w:ind w:left="0" w:firstLine="0"/>
        <w:spacing w:after="0"/>
        <w:shd w:val="clear" w:color="auto" w:fill="ffffff" w:themeFill="background1"/>
        <w:rPr>
          <w:sz w:val="18"/>
          <w:szCs w:val="18"/>
        </w:rPr>
      </w:pPr>
      <w:r>
        <w:rPr>
          <w:sz w:val="20"/>
          <w:szCs w:val="20"/>
        </w:rPr>
        <w:t xml:space="preserve">Предоставление Заказчику актуальной информации путем сопровождения зарегистрированных экземпляров Систем и в том числе специальной копии Системы.</w:t>
      </w:r>
      <w:r>
        <w:rPr>
          <w:sz w:val="18"/>
          <w:szCs w:val="18"/>
        </w:rPr>
      </w:r>
    </w:p>
    <w:p>
      <w:pPr>
        <w:pStyle w:val="929"/>
        <w:numPr>
          <w:ilvl w:val="2"/>
          <w:numId w:val="9"/>
        </w:numPr>
        <w:ind w:left="0" w:firstLine="0"/>
        <w:spacing w:after="0"/>
        <w:shd w:val="clear" w:color="auto" w:fill="ffffff" w:themeFill="background1"/>
        <w:rPr>
          <w:sz w:val="18"/>
          <w:szCs w:val="18"/>
        </w:rPr>
      </w:pPr>
      <w:r>
        <w:rPr>
          <w:sz w:val="20"/>
          <w:szCs w:val="20"/>
        </w:rPr>
        <w:t xml:space="preserve">Предоставление Заказчику возможности получения консультаций по работе Систем по телефону, по электронной почте</w:t>
      </w:r>
      <w:r>
        <w:rPr>
          <w:sz w:val="20"/>
          <w:szCs w:val="20"/>
        </w:rPr>
        <w:t xml:space="preserve">, через специальные сервисы и базы данных либо в офисе Исполнителя.</w:t>
      </w:r>
      <w:r>
        <w:rPr>
          <w:sz w:val="18"/>
          <w:szCs w:val="18"/>
        </w:rPr>
      </w:r>
    </w:p>
    <w:p>
      <w:pPr>
        <w:pStyle w:val="929"/>
        <w:numPr>
          <w:ilvl w:val="2"/>
          <w:numId w:val="9"/>
        </w:numPr>
        <w:ind w:left="0" w:firstLine="0"/>
        <w:spacing w:after="0"/>
        <w:shd w:val="clear" w:color="auto" w:fill="ffffff" w:themeFill="background1"/>
        <w:rPr>
          <w:sz w:val="18"/>
          <w:szCs w:val="18"/>
        </w:rPr>
      </w:pPr>
      <w:r>
        <w:rPr>
          <w:sz w:val="20"/>
          <w:szCs w:val="20"/>
        </w:rPr>
        <w:t xml:space="preserve">Администрирование специального АРМ администратора учетных записей пользователей, адаптацию и модификацию базы данных учетных записей пользователей, с использованием которой Исполнитель соп</w:t>
      </w:r>
      <w:r>
        <w:rPr>
          <w:sz w:val="20"/>
          <w:szCs w:val="20"/>
        </w:rPr>
        <w:t xml:space="preserve">ровождает экземпляры Систем.</w:t>
      </w:r>
      <w:r>
        <w:rPr>
          <w:sz w:val="18"/>
          <w:szCs w:val="18"/>
        </w:rPr>
      </w:r>
    </w:p>
    <w:p>
      <w:pPr>
        <w:pStyle w:val="929"/>
        <w:numPr>
          <w:ilvl w:val="2"/>
          <w:numId w:val="9"/>
        </w:numPr>
        <w:ind w:left="0" w:firstLine="0"/>
        <w:spacing w:after="0"/>
        <w:shd w:val="clear" w:color="auto" w:fill="ffffff" w:themeFill="background1"/>
        <w:rPr>
          <w:sz w:val="18"/>
          <w:szCs w:val="18"/>
        </w:rPr>
      </w:pPr>
      <w:r>
        <w:rPr>
          <w:sz w:val="20"/>
          <w:szCs w:val="20"/>
        </w:rPr>
        <w:t xml:space="preserve">С использованием АРМ администратора учетных записей пользователей и базы данных учетных записей пользователей восстановление персональных настроек Заказчика (папок, закладок, документов на контроле, комментариев пользователей в</w:t>
      </w:r>
      <w:r>
        <w:rPr>
          <w:sz w:val="20"/>
          <w:szCs w:val="20"/>
        </w:rPr>
        <w:t xml:space="preserve"> текстах документов).</w:t>
      </w:r>
      <w:r>
        <w:rPr>
          <w:sz w:val="18"/>
          <w:szCs w:val="18"/>
        </w:rPr>
      </w:r>
    </w:p>
    <w:p>
      <w:pPr>
        <w:pStyle w:val="929"/>
        <w:numPr>
          <w:ilvl w:val="2"/>
          <w:numId w:val="9"/>
        </w:numPr>
        <w:ind w:left="0" w:firstLine="0"/>
        <w:spacing w:after="0"/>
        <w:shd w:val="clear" w:color="auto" w:fill="ffffff" w:themeFill="background1"/>
        <w:rPr>
          <w:sz w:val="18"/>
          <w:szCs w:val="18"/>
        </w:rPr>
      </w:pPr>
      <w:r>
        <w:rPr>
          <w:sz w:val="20"/>
          <w:szCs w:val="20"/>
        </w:rPr>
        <w:t xml:space="preserve">Изменение реквизитов УЗ, сохраненных в специальной копии Системы.</w:t>
      </w:r>
      <w:r>
        <w:rPr>
          <w:sz w:val="18"/>
          <w:szCs w:val="18"/>
        </w:rPr>
      </w:r>
    </w:p>
    <w:p>
      <w:pPr>
        <w:pStyle w:val="929"/>
        <w:numPr>
          <w:ilvl w:val="2"/>
          <w:numId w:val="9"/>
        </w:numPr>
        <w:ind w:left="0" w:firstLine="0"/>
        <w:spacing w:after="0"/>
        <w:shd w:val="clear" w:color="auto" w:fill="ffffff" w:themeFill="background1"/>
        <w:rPr>
          <w:sz w:val="18"/>
          <w:szCs w:val="18"/>
        </w:rPr>
      </w:pPr>
      <w:r>
        <w:rPr>
          <w:sz w:val="20"/>
          <w:szCs w:val="20"/>
        </w:rPr>
        <w:t xml:space="preserve">Выполнение иных действий, предоставление другой информации и материалов, предусмотренных Договором.</w:t>
      </w:r>
      <w:r>
        <w:rPr>
          <w:sz w:val="18"/>
          <w:szCs w:val="18"/>
        </w:rPr>
      </w:r>
    </w:p>
    <w:p>
      <w:pPr>
        <w:pStyle w:val="905"/>
        <w:numPr>
          <w:ilvl w:val="1"/>
          <w:numId w:val="9"/>
        </w:numPr>
        <w:ind w:left="0" w:firstLine="0"/>
        <w:jc w:val="both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u w:val="single"/>
          <w:shd w:val="clear" w:color="auto" w:fill="ffffff" w:themeFill="background1"/>
        </w:rPr>
        <w:t xml:space="preserve">Условия сопровождения.</w:t>
      </w:r>
      <w:r>
        <w:rPr>
          <w:rFonts w:ascii="Times New Roman" w:hAnsi="Times New Roman" w:cs="Times New Roman"/>
          <w:shd w:val="clear" w:color="auto" w:fill="ffffff" w:themeFill="background1"/>
        </w:rPr>
        <w:t xml:space="preserve"> Услуги с использованием экземпляра дополнительной Системы предоставляются Исполнителем только при условии одновременного сопровождения экземпляра основной Системы. В случае отключения Заказчиком сопровождения экземпляра основной Системы блокируется возмож</w:t>
      </w:r>
      <w:r>
        <w:rPr>
          <w:rFonts w:ascii="Times New Roman" w:hAnsi="Times New Roman" w:cs="Times New Roman"/>
          <w:shd w:val="clear" w:color="auto" w:fill="ffffff" w:themeFill="background1"/>
        </w:rPr>
        <w:t xml:space="preserve">ность использования Заказчиком всех Систем комплекта и прекращается сопровождение специальной копии Системы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905"/>
        <w:numPr>
          <w:ilvl w:val="1"/>
          <w:numId w:val="9"/>
        </w:numPr>
        <w:ind w:left="0" w:firstLine="0"/>
        <w:shd w:val="clear" w:color="auto" w:fill="ffffff" w:themeFill="background1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u w:val="single"/>
        </w:rPr>
        <w:t xml:space="preserve">Постоянный адрес</w:t>
      </w:r>
      <w:r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Заказчика, по которому осуществляется правомерное использование комплекта Систем Уникальными пользователями: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fldChar w:fldCharType="begin"/>
      </w:r>
      <w:r>
        <w:rPr>
          <w:rFonts w:ascii="Times New Roman" w:hAnsi="Times New Roman" w:cs="Times New Roman"/>
          <w:b/>
        </w:rPr>
        <w:instrText xml:space="preserve"> DOCVARIABLE СТИУС_ИС</w:instrText>
      </w:r>
      <w:r>
        <w:rPr>
          <w:rFonts w:ascii="Times New Roman" w:hAnsi="Times New Roman" w:cs="Times New Roman"/>
          <w:b/>
        </w:rPr>
        <w:instrText xml:space="preserve">ХСОСТАВ_ТОЧКАОБСЛПОДКЛ_АДРФАКТ </w:instrText>
      </w:r>
      <w:r>
        <w:rPr>
          <w:rFonts w:ascii="Times New Roman" w:hAnsi="Times New Roman" w:cs="Times New Roman"/>
          <w:b/>
        </w:rPr>
        <w:fldChar w:fldCharType="separate"/>
      </w:r>
      <w:r>
        <w:rPr>
          <w:rFonts w:ascii="Times New Roman" w:hAnsi="Times New Roman" w:cs="Times New Roman"/>
          <w:b/>
        </w:rPr>
        <w:t xml:space="preserve">629008, Ямало-Ненецкий АО, г. Салехард, ул. Республики, д. 62</w:t>
      </w:r>
      <w:r>
        <w:rPr>
          <w:rFonts w:ascii="Times New Roman" w:hAnsi="Times New Roman" w:cs="Times New Roman"/>
          <w:b/>
        </w:rPr>
        <w:fldChar w:fldCharType="end"/>
      </w:r>
      <w:r>
        <w:rPr>
          <w:rFonts w:ascii="Times New Roman" w:hAnsi="Times New Roman" w:cs="Times New Roman"/>
          <w:b/>
        </w:rPr>
        <w:t xml:space="preserve">.</w:t>
      </w:r>
      <w:r>
        <w:rPr>
          <w:rFonts w:ascii="Times New Roman" w:hAnsi="Times New Roman" w:cs="Times New Roman"/>
          <w:b/>
          <w:sz w:val="18"/>
          <w:szCs w:val="18"/>
        </w:rPr>
      </w:r>
    </w:p>
    <w:p>
      <w:pPr>
        <w:pStyle w:val="905"/>
        <w:shd w:val="clear" w:color="auto" w:fill="ffffff" w:themeFill="background1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</w:rPr>
        <w:t xml:space="preserve">Примечание: правомерное использование комплекта Систем также возможно с домашних адресов Уникальных пользователей, а также адресов временного использования Сис</w:t>
      </w:r>
      <w:r>
        <w:rPr>
          <w:rFonts w:ascii="Times New Roman" w:hAnsi="Times New Roman" w:cs="Times New Roman"/>
        </w:rPr>
        <w:t xml:space="preserve">тем Уникальными пользователями (например, при нахождении Уникальных пользователей в командировке или кафе).</w:t>
      </w:r>
      <w:r>
        <w:rPr>
          <w:rFonts w:ascii="Times New Roman" w:hAnsi="Times New Roman" w:cs="Times New Roman"/>
          <w:b/>
          <w:sz w:val="18"/>
          <w:szCs w:val="18"/>
        </w:rPr>
      </w:r>
    </w:p>
    <w:p>
      <w:pPr>
        <w:pStyle w:val="905"/>
        <w:numPr>
          <w:ilvl w:val="1"/>
          <w:numId w:val="9"/>
        </w:numPr>
        <w:ind w:left="0" w:firstLine="0"/>
        <w:jc w:val="both"/>
        <w:shd w:val="clear" w:color="auto" w:fill="ffffff" w:themeFill="background1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u w:val="single"/>
        </w:rPr>
        <w:t xml:space="preserve">Прочее.</w:t>
      </w:r>
      <w:r>
        <w:rPr>
          <w:rFonts w:ascii="Times New Roman" w:hAnsi="Times New Roman" w:cs="Times New Roman"/>
        </w:rPr>
        <w:t xml:space="preserve"> Все расходы, связанные с обеспечением достаточного для оказания текущих услуг трафика, оплачиваются Заказчиком за свой счет. Работоспособнос</w:t>
      </w:r>
      <w:r>
        <w:rPr>
          <w:rFonts w:ascii="Times New Roman" w:hAnsi="Times New Roman" w:cs="Times New Roman"/>
        </w:rPr>
        <w:t xml:space="preserve">ть компьютерного, телекоммуникационного оборудования Заказчика и каналов связи Заказчик обеспечивает самостоятельно.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905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905"/>
        <w:numPr>
          <w:ilvl w:val="0"/>
          <w:numId w:val="9"/>
        </w:numPr>
        <w:ind w:left="0" w:firstLine="0"/>
        <w:jc w:val="center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ДЕЙСТВИЕ СПЕЦИФИКАЦИИ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905"/>
        <w:widowControl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</w:r>
      <w:r>
        <w:rPr>
          <w:rFonts w:ascii="Times New Roman" w:hAnsi="Times New Roman" w:cs="Times New Roman"/>
          <w:b/>
          <w:sz w:val="18"/>
          <w:szCs w:val="18"/>
        </w:rPr>
      </w:r>
    </w:p>
    <w:p>
      <w:pPr>
        <w:pStyle w:val="905"/>
        <w:numPr>
          <w:ilvl w:val="1"/>
          <w:numId w:val="9"/>
        </w:numPr>
        <w:ind w:left="0" w:firstLine="0"/>
        <w:jc w:val="both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u w:val="single"/>
        </w:rPr>
        <w:t xml:space="preserve">Период.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Спецификация вступает в силу</w:t>
      </w:r>
      <w:r>
        <w:rPr>
          <w:rFonts w:ascii="Times New Roman" w:hAnsi="Times New Roman" w:cs="Times New Roman"/>
          <w:b/>
        </w:rPr>
        <w:t xml:space="preserve"> </w:t>
      </w:r>
      <w:bookmarkStart w:id="24" w:name="undefined"/>
      <w:r/>
      <w:bookmarkEnd w:id="24"/>
      <w:r>
        <w:rPr>
          <w:rFonts w:ascii="Times New Roman" w:hAnsi="Times New Roman" w:cs="Times New Roman"/>
          <w:b/>
        </w:rPr>
        <w:t xml:space="preserve">с момента подписания </w:t>
      </w:r>
      <w:r>
        <w:rPr>
          <w:rFonts w:ascii="Times New Roman" w:hAnsi="Times New Roman" w:cs="Times New Roman"/>
        </w:rPr>
        <w:t xml:space="preserve">и заканчивает свое действие в случае прекращения Договора.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905"/>
        <w:numPr>
          <w:ilvl w:val="1"/>
          <w:numId w:val="9"/>
        </w:numPr>
        <w:ind w:left="0" w:firstLine="0"/>
        <w:jc w:val="both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u w:val="single"/>
        </w:rPr>
        <w:t xml:space="preserve">Отказ от услуг.</w:t>
      </w:r>
      <w:r>
        <w:rPr>
          <w:rFonts w:ascii="Times New Roman" w:hAnsi="Times New Roman" w:cs="Times New Roman"/>
        </w:rPr>
        <w:t xml:space="preserve"> Заказчик имеет право отказаться от услуг, предусмотренных настоящей Спецификацией, до истечения срока действия Договора. Заказчик обязан письменно уведомить Исполнителя о таком отка</w:t>
      </w:r>
      <w:r>
        <w:rPr>
          <w:rFonts w:ascii="Times New Roman" w:hAnsi="Times New Roman" w:cs="Times New Roman"/>
        </w:rPr>
        <w:t xml:space="preserve">зе не менее чем за 30 (тридцать) дней. Отказ от услуг, предусмотренных настоящей Спецификацией, не прекращает действие Договора или других Спецификаций.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905"/>
        <w:numPr>
          <w:ilvl w:val="1"/>
          <w:numId w:val="9"/>
        </w:numPr>
        <w:ind w:left="0" w:firstLine="0"/>
        <w:jc w:val="both"/>
        <w:shd w:val="clear" w:color="auto" w:fill="ffffff" w:themeFill="background1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u w:val="single"/>
        </w:rPr>
        <w:t xml:space="preserve">Отказ от Договора.</w:t>
      </w:r>
      <w:r>
        <w:rPr>
          <w:rFonts w:ascii="Times New Roman" w:hAnsi="Times New Roman" w:cs="Times New Roman"/>
        </w:rPr>
        <w:t xml:space="preserve"> Исполнитель имеет право отказаться от исполнения Договора в одностороннем порядке в </w:t>
      </w:r>
      <w:r>
        <w:rPr>
          <w:rFonts w:ascii="Times New Roman" w:hAnsi="Times New Roman" w:cs="Times New Roman"/>
        </w:rPr>
        <w:t xml:space="preserve">случае нарушения Заказчиком п. 3.8 настоящей Спецификации.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905"/>
        <w:numPr>
          <w:ilvl w:val="1"/>
          <w:numId w:val="9"/>
        </w:numPr>
        <w:ind w:left="0" w:firstLine="0"/>
        <w:jc w:val="both"/>
        <w:shd w:val="clear" w:color="auto" w:fill="ffffff" w:themeFill="background1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u w:val="single"/>
        </w:rPr>
        <w:t xml:space="preserve">Приоритет Спецификации.</w:t>
      </w:r>
      <w:r>
        <w:rPr>
          <w:rFonts w:ascii="Times New Roman" w:hAnsi="Times New Roman" w:cs="Times New Roman"/>
        </w:rPr>
        <w:t xml:space="preserve"> Спецификация является неотъемлемой частью Договора. В случае противоречий между условиями Договора и условиями Спецификации применяются условия Спецификации.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905"/>
        <w:numPr>
          <w:ilvl w:val="1"/>
          <w:numId w:val="9"/>
        </w:numPr>
        <w:ind w:left="0" w:firstLine="0"/>
        <w:jc w:val="both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u w:val="single"/>
        </w:rPr>
        <w:t xml:space="preserve">Изменение.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В случаях, предусмотренных Договором, Исполнитель вправе изменить параметры или название экземпляров Систем в одностороннем порядке.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905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tbl>
      <w:tblPr>
        <w:tblW w:w="5000" w:type="pct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1758"/>
        <w:gridCol w:w="2887"/>
        <w:gridCol w:w="230"/>
        <w:gridCol w:w="1844"/>
        <w:gridCol w:w="2600"/>
        <w:gridCol w:w="427"/>
      </w:tblGrid>
      <w:tr>
        <w:tblPrEx/>
        <w:trPr/>
        <w:tc>
          <w:tcPr>
            <w:tcW w:w="902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От Заказчика: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1481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none" w:color="000000" w:sz="4" w:space="0"/>
            </w:tcBorders>
            <w:tcW w:w="118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46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От Исполнителя: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gridSpan w:val="2"/>
            <w:tcW w:w="1553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2383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none" w:color="000000" w:sz="4" w:space="0"/>
            </w:tcBorders>
            <w:tcW w:w="118" w:type="pct"/>
            <w:textDirection w:val="lrTb"/>
            <w:noWrap w:val="false"/>
          </w:tcPr>
          <w:p>
            <w:pPr>
              <w:keepLines/>
              <w:keepNext/>
              <w:spacing w:after="0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2280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02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81" w:type="pct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shd w:val="clear" w:color="auto" w:fill="ffffff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DOCVARIABLE ПОДПИСАНТ_ЗАКАЗЧИК_ДОЛЖНОСТЬ_ЗАГЛ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 xml:space="preserve">Директор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none" w:color="000000" w:sz="4" w:space="0"/>
            </w:tcBorders>
            <w:tcW w:w="118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46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1553" w:type="pct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shd w:val="clear" w:color="auto" w:fill="ffffff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DOCVARIABLE ВИДПЕРЕДАЧИ_ЕСТЬЭДО_УДАЛИТЬ[НАЧАЛО]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DOCVARIABLE ПОДПИСАНТ_ИСПОЛНИТЕЛЬ_ДОЛЖНОСТЬ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 xml:space="preserve">Директор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142"/>
        </w:trPr>
        <w:tc>
          <w:tcPr>
            <w:tcW w:w="902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W w:w="1481" w:type="pct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shd w:val="clear" w:color="auto" w:fill="ffffff"/>
              <w:rPr>
                <w:color w:val="808080" w:themeColor="background1" w:themeShade="80"/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(должность)</w:t>
            </w:r>
            <w:r>
              <w:rPr>
                <w:color w:val="808080" w:themeColor="background1" w:themeShade="80"/>
                <w:sz w:val="14"/>
                <w:szCs w:val="14"/>
              </w:rPr>
            </w:r>
          </w:p>
        </w:tc>
        <w:tc>
          <w:tcPr>
            <w:tcBorders>
              <w:left w:val="none" w:color="000000" w:sz="4" w:space="0"/>
            </w:tcBorders>
            <w:tcW w:w="118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808080" w:themeColor="background1" w:themeShade="80"/>
                <w:sz w:val="14"/>
                <w:szCs w:val="14"/>
              </w:rPr>
            </w:pPr>
            <w:r>
              <w:rPr>
                <w:color w:val="808080" w:themeColor="background1" w:themeShade="80"/>
                <w:sz w:val="14"/>
                <w:szCs w:val="14"/>
              </w:rPr>
            </w:r>
            <w:r>
              <w:rPr>
                <w:color w:val="808080" w:themeColor="background1" w:themeShade="80"/>
                <w:sz w:val="14"/>
                <w:szCs w:val="14"/>
              </w:rPr>
            </w:r>
          </w:p>
        </w:tc>
        <w:tc>
          <w:tcPr>
            <w:tcW w:w="946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gridSpan w:val="2"/>
            <w:tcW w:w="1553" w:type="pct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shd w:val="clear" w:color="auto" w:fill="ffffff"/>
              <w:rPr>
                <w:color w:val="808080" w:themeColor="background1" w:themeShade="80"/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(должность)</w:t>
            </w:r>
            <w:r>
              <w:rPr>
                <w:color w:val="808080" w:themeColor="background1" w:themeShade="80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02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81" w:type="pct"/>
            <w:vAlign w:val="center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none" w:color="000000" w:sz="4" w:space="0"/>
            </w:tcBorders>
            <w:tcW w:w="118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46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1553" w:type="pct"/>
            <w:vAlign w:val="center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widowControl w:val="off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DOCVARIABLE ВИДПЕРЕДАЧИ_ЕСТЬЭДО_УДАЛИТЬ[КОНЕЦ]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right w:val="none" w:color="000000" w:sz="4" w:space="0"/>
            </w:tcBorders>
            <w:tcW w:w="902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808080" w:themeColor="background1" w:themeShade="80"/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(подпись)</w:t>
            </w:r>
            <w:r>
              <w:rPr>
                <w:color w:val="808080" w:themeColor="background1" w:themeShade="80"/>
                <w:sz w:val="14"/>
                <w:szCs w:val="14"/>
              </w:rPr>
            </w:r>
          </w:p>
        </w:tc>
        <w:tc>
          <w:tcPr>
            <w:tcW w:w="1481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808080" w:themeColor="background1" w:themeShade="80"/>
                <w:sz w:val="14"/>
                <w:szCs w:val="14"/>
              </w:rPr>
            </w:pPr>
            <w:r>
              <w:rPr>
                <w:color w:val="808080" w:themeColor="background1" w:themeShade="80"/>
                <w:sz w:val="14"/>
                <w:szCs w:val="14"/>
              </w:rPr>
            </w:r>
            <w:r>
              <w:rPr>
                <w:color w:val="808080" w:themeColor="background1" w:themeShade="80"/>
                <w:sz w:val="14"/>
                <w:szCs w:val="14"/>
              </w:rPr>
            </w:r>
          </w:p>
        </w:tc>
        <w:tc>
          <w:tcPr>
            <w:tcBorders>
              <w:left w:val="none" w:color="000000" w:sz="4" w:space="0"/>
            </w:tcBorders>
            <w:tcW w:w="118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808080" w:themeColor="background1" w:themeShade="80"/>
                <w:sz w:val="14"/>
                <w:szCs w:val="14"/>
              </w:rPr>
            </w:pPr>
            <w:r>
              <w:rPr>
                <w:color w:val="808080" w:themeColor="background1" w:themeShade="80"/>
                <w:sz w:val="14"/>
                <w:szCs w:val="14"/>
              </w:rPr>
            </w:r>
            <w:r>
              <w:rPr>
                <w:color w:val="808080" w:themeColor="background1" w:themeShade="80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6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808080" w:themeColor="background1" w:themeShade="80"/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(подпись)</w:t>
            </w:r>
            <w:r>
              <w:rPr>
                <w:color w:val="808080" w:themeColor="background1" w:themeShade="80"/>
                <w:sz w:val="14"/>
                <w:szCs w:val="14"/>
              </w:rPr>
            </w:r>
          </w:p>
        </w:tc>
        <w:tc>
          <w:tcPr>
            <w:gridSpan w:val="2"/>
            <w:tcW w:w="1553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808080" w:themeColor="background1" w:themeShade="80"/>
                <w:sz w:val="14"/>
                <w:szCs w:val="14"/>
              </w:rPr>
            </w:pPr>
            <w:r>
              <w:rPr>
                <w:color w:val="808080" w:themeColor="background1" w:themeShade="80"/>
                <w:sz w:val="14"/>
                <w:szCs w:val="14"/>
              </w:rPr>
            </w:r>
            <w:r>
              <w:rPr>
                <w:color w:val="808080" w:themeColor="background1" w:themeShade="80"/>
                <w:sz w:val="14"/>
                <w:szCs w:val="14"/>
              </w:rPr>
            </w:r>
          </w:p>
        </w:tc>
      </w:tr>
      <w:tr>
        <w:tblPrEx/>
        <w:trPr/>
        <w:tc>
          <w:tcPr>
            <w:tcW w:w="902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W w:w="1481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left w:val="none" w:color="000000" w:sz="4" w:space="0"/>
            </w:tcBorders>
            <w:tcW w:w="118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W w:w="946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gridSpan w:val="2"/>
            <w:tcW w:w="1553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  <w:tr>
        <w:tblPrEx/>
        <w:trPr/>
        <w:tc>
          <w:tcPr>
            <w:tcW w:w="902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808080" w:themeColor="background1" w:themeShade="80"/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М.П.</w:t>
            </w:r>
            <w:r>
              <w:rPr>
                <w:color w:val="808080" w:themeColor="background1" w:themeShade="80"/>
                <w:sz w:val="14"/>
                <w:szCs w:val="14"/>
              </w:rPr>
            </w:r>
          </w:p>
        </w:tc>
        <w:tc>
          <w:tcPr>
            <w:tcW w:w="1481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808080" w:themeColor="background1" w:themeShade="80"/>
                <w:sz w:val="14"/>
                <w:szCs w:val="14"/>
              </w:rPr>
            </w:pPr>
            <w:r>
              <w:rPr>
                <w:color w:val="808080" w:themeColor="background1" w:themeShade="80"/>
                <w:sz w:val="14"/>
                <w:szCs w:val="14"/>
              </w:rPr>
            </w:r>
            <w:r>
              <w:rPr>
                <w:color w:val="808080" w:themeColor="background1" w:themeShade="80"/>
                <w:sz w:val="14"/>
                <w:szCs w:val="14"/>
              </w:rPr>
            </w:r>
          </w:p>
        </w:tc>
        <w:tc>
          <w:tcPr>
            <w:tcBorders>
              <w:left w:val="none" w:color="000000" w:sz="4" w:space="0"/>
            </w:tcBorders>
            <w:tcW w:w="118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808080" w:themeColor="background1" w:themeShade="80"/>
                <w:sz w:val="14"/>
                <w:szCs w:val="14"/>
              </w:rPr>
            </w:pPr>
            <w:r>
              <w:rPr>
                <w:color w:val="808080" w:themeColor="background1" w:themeShade="80"/>
                <w:sz w:val="14"/>
                <w:szCs w:val="14"/>
              </w:rPr>
            </w:r>
            <w:r>
              <w:rPr>
                <w:color w:val="808080" w:themeColor="background1" w:themeShade="80"/>
                <w:sz w:val="14"/>
                <w:szCs w:val="14"/>
              </w:rPr>
            </w:r>
          </w:p>
        </w:tc>
        <w:tc>
          <w:tcPr>
            <w:tcW w:w="946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808080" w:themeColor="background1" w:themeShade="80"/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М.П.</w:t>
            </w:r>
            <w:r>
              <w:rPr>
                <w:color w:val="808080" w:themeColor="background1" w:themeShade="80"/>
                <w:sz w:val="14"/>
                <w:szCs w:val="14"/>
              </w:rPr>
            </w:r>
          </w:p>
        </w:tc>
        <w:tc>
          <w:tcPr>
            <w:gridSpan w:val="2"/>
            <w:tcW w:w="1553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808080" w:themeColor="background1" w:themeShade="80"/>
                <w:sz w:val="14"/>
                <w:szCs w:val="14"/>
              </w:rPr>
            </w:pPr>
            <w:r>
              <w:rPr>
                <w:color w:val="808080" w:themeColor="background1" w:themeShade="80"/>
                <w:sz w:val="14"/>
                <w:szCs w:val="14"/>
              </w:rPr>
            </w:r>
            <w:r>
              <w:rPr>
                <w:color w:val="808080" w:themeColor="background1" w:themeShade="80"/>
                <w:sz w:val="14"/>
                <w:szCs w:val="14"/>
              </w:rPr>
            </w:r>
          </w:p>
        </w:tc>
      </w:tr>
    </w:tbl>
    <w:p>
      <w:pPr>
        <w:pStyle w:val="905"/>
        <w:shd w:val="clear" w:color="auto" w:fill="ffffff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905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sectPr>
      <w:footnotePr/>
      <w:endnotePr/>
      <w:type w:val="nextPage"/>
      <w:pgSz w:w="11906" w:h="16838" w:orient="portrait"/>
      <w:pgMar w:top="567" w:right="1134" w:bottom="567" w:left="1134" w:header="284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/>
      </w:pPr>
      <w:r>
        <w:separator/>
      </w:r>
      <w:r/>
    </w:p>
  </w:endnote>
  <w:endnote w:type="continuationSeparator" w:id="0">
    <w:p>
      <w:pPr>
        <w:spacing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GaramondC">
    <w:panose1 w:val="020B0606020202030204"/>
  </w:font>
  <w:font w:name="MS Mincho">
    <w:panose1 w:val="020206030504050903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З</w:t>
    </w:r>
    <w:r>
      <w:rPr>
        <w:rFonts w:ascii="Arial" w:hAnsi="Arial" w:cs="Arial"/>
        <w:b/>
        <w:bCs/>
        <w:sz w:val="18"/>
        <w:szCs w:val="18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57"/>
      </w:pPr>
      <w:rPr>
        <w:rFonts w:hint="default" w:cs="Times New Roman"/>
      </w:rPr>
    </w:lvl>
    <w:lvl w:ilvl="1">
      <w:start w:val="1"/>
      <w:numFmt w:val="decimal"/>
      <w:isLgl/>
      <w:suff w:val="space"/>
      <w:lvlText w:val="%1.%2."/>
      <w:lvlJc w:val="left"/>
      <w:pPr>
        <w:ind w:left="357"/>
      </w:pPr>
      <w:rPr>
        <w:rFonts w:hint="default" w:cs="Times New Roman"/>
      </w:rPr>
    </w:lvl>
    <w:lvl w:ilvl="2">
      <w:start w:val="1"/>
      <w:numFmt w:val="decimal"/>
      <w:isLgl/>
      <w:suff w:val="space"/>
      <w:lvlText w:val="%1.%2.%3."/>
      <w:lvlJc w:val="left"/>
      <w:pPr>
        <w:ind w:left="357"/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357"/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357"/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357"/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357"/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57"/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57"/>
      </w:pPr>
      <w:rPr>
        <w:rFonts w:hint="default"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3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25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97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69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41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13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85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57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29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57"/>
      </w:pPr>
      <w:rPr>
        <w:rFonts w:hint="default" w:cs="Times New Roman"/>
      </w:rPr>
    </w:lvl>
    <w:lvl w:ilvl="1">
      <w:start w:val="1"/>
      <w:numFmt w:val="decimal"/>
      <w:isLgl/>
      <w:suff w:val="space"/>
      <w:lvlText w:val="%1.%2."/>
      <w:lvlJc w:val="left"/>
      <w:pPr>
        <w:ind w:left="1276"/>
      </w:pPr>
      <w:rPr>
        <w:rFonts w:hint="default" w:cs="Times New Roman"/>
      </w:rPr>
    </w:lvl>
    <w:lvl w:ilvl="2">
      <w:start w:val="1"/>
      <w:numFmt w:val="decimal"/>
      <w:isLgl/>
      <w:suff w:val="space"/>
      <w:lvlText w:val="%1.%2.%3."/>
      <w:lvlJc w:val="left"/>
      <w:pPr>
        <w:ind w:left="357"/>
      </w:pPr>
      <w:rPr>
        <w:rFonts w:hint="default" w:cs="Times New Roman"/>
      </w:rPr>
    </w:lvl>
    <w:lvl w:ilvl="3">
      <w:start w:val="1"/>
      <w:numFmt w:val="decimal"/>
      <w:isLgl/>
      <w:suff w:val="space"/>
      <w:lvlText w:val="%1.%2.%3.%4."/>
      <w:lvlJc w:val="left"/>
      <w:pPr>
        <w:ind w:left="357"/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357"/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357"/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357"/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57"/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57"/>
      </w:pPr>
      <w:rPr>
        <w:rFonts w:hint="default"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57"/>
      </w:pPr>
      <w:rPr>
        <w:rFonts w:hint="default" w:cs="Times New Roman"/>
      </w:rPr>
    </w:lvl>
    <w:lvl w:ilvl="1">
      <w:start w:val="1"/>
      <w:numFmt w:val="decimal"/>
      <w:isLgl/>
      <w:suff w:val="space"/>
      <w:lvlText w:val="%1.%2."/>
      <w:lvlJc w:val="left"/>
      <w:pPr>
        <w:ind w:left="1276"/>
      </w:pPr>
      <w:rPr>
        <w:rFonts w:hint="default" w:cs="Times New Roman"/>
      </w:rPr>
    </w:lvl>
    <w:lvl w:ilvl="2">
      <w:start w:val="1"/>
      <w:numFmt w:val="decimal"/>
      <w:isLgl/>
      <w:suff w:val="space"/>
      <w:lvlText w:val="%1.%2.%3."/>
      <w:lvlJc w:val="left"/>
      <w:pPr>
        <w:ind w:left="357"/>
      </w:pPr>
      <w:rPr>
        <w:rFonts w:hint="default" w:cs="Times New Roman"/>
      </w:rPr>
    </w:lvl>
    <w:lvl w:ilvl="3">
      <w:start w:val="1"/>
      <w:numFmt w:val="decimal"/>
      <w:isLgl/>
      <w:suff w:val="space"/>
      <w:lvlText w:val="%1.%2.%3.%4."/>
      <w:lvlJc w:val="left"/>
      <w:pPr>
        <w:ind w:left="357"/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357"/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357"/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357"/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57"/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57"/>
      </w:pPr>
      <w:rPr>
        <w:rFonts w:hint="default"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isLgl w:val="false"/>
      <w:suff w:val="space"/>
      <w:lvlText w:val="%1.%2."/>
      <w:lvlJc w:val="left"/>
      <w:pPr>
        <w:ind w:left="792" w:hanging="432"/>
      </w:pPr>
      <w:rPr>
        <w:rFonts w:hint="default" w:cs="Times New Roman"/>
        <w:b w:val="0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1224" w:hanging="504"/>
      </w:pPr>
      <w:rPr>
        <w:rFonts w:hint="default" w:cs="Times New Roman"/>
      </w:rPr>
    </w:lvl>
    <w:lvl w:ilvl="3">
      <w:start w:val="1"/>
      <w:numFmt w:val="decimal"/>
      <w:isLgl w:val="false"/>
      <w:suff w:val="space"/>
      <w:lvlText w:val="%1.%2.%3.%4."/>
      <w:lvlJc w:val="left"/>
      <w:pPr>
        <w:ind w:left="1728" w:hanging="648"/>
      </w:pPr>
      <w:rPr>
        <w:rFonts w:hint="default" w:cs="Times New Roman"/>
      </w:rPr>
    </w:lvl>
    <w:lvl w:ilvl="4">
      <w:start w:val="1"/>
      <w:numFmt w:val="decimal"/>
      <w:isLgl w:val="false"/>
      <w:suff w:val="space"/>
      <w:lvlText w:val="%1.%2.%3.%4.%5."/>
      <w:lvlJc w:val="left"/>
      <w:pPr>
        <w:ind w:left="2232" w:hanging="792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3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25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97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69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41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13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85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57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290" w:hanging="180"/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isLgl w:val="false"/>
      <w:suff w:val="space"/>
      <w:lvlText w:val="%1.%2."/>
      <w:lvlJc w:val="left"/>
      <w:pPr>
        <w:ind w:left="792" w:hanging="432"/>
      </w:pPr>
      <w:rPr>
        <w:rFonts w:hint="default" w:cs="Times New Roman"/>
        <w:b w:val="0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1224" w:hanging="504"/>
      </w:pPr>
      <w:rPr>
        <w:rFonts w:hint="default" w:cs="Times New Roman"/>
      </w:rPr>
    </w:lvl>
    <w:lvl w:ilvl="3">
      <w:start w:val="1"/>
      <w:numFmt w:val="decimal"/>
      <w:isLgl w:val="false"/>
      <w:suff w:val="space"/>
      <w:lvlText w:val="%1.%2.%3.%4."/>
      <w:lvlJc w:val="left"/>
      <w:pPr>
        <w:ind w:left="1728" w:hanging="648"/>
      </w:pPr>
      <w:rPr>
        <w:rFonts w:hint="default" w:cs="Times New Roman"/>
      </w:rPr>
    </w:lvl>
    <w:lvl w:ilvl="4">
      <w:start w:val="1"/>
      <w:numFmt w:val="decimal"/>
      <w:isLgl w:val="false"/>
      <w:suff w:val="space"/>
      <w:lvlText w:val="%1.%2.%3.%4.%5."/>
      <w:lvlJc w:val="left"/>
      <w:pPr>
        <w:ind w:left="2232" w:hanging="792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 w:cs="Times New Roman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3"/>
    <w:lvlOverride w:ilvl="0">
      <w:lvl w:ilvl="0">
        <w:start w:val="1"/>
        <w:numFmt w:val="decimal"/>
        <w:isLgl w:val="false"/>
        <w:suff w:val="space"/>
        <w:lvlText w:val="%1."/>
        <w:lvlJc w:val="left"/>
        <w:pPr>
          <w:ind w:left="357"/>
        </w:pPr>
        <w:rPr>
          <w:rFonts w:hint="default" w:cs="Times New Roman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567"/>
        </w:pPr>
        <w:rPr>
          <w:rFonts w:hint="default" w:cs="Times New Roman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357"/>
        </w:pPr>
        <w:rPr>
          <w:rFonts w:hint="default" w:cs="Times New Roman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357"/>
        </w:pPr>
        <w:rPr>
          <w:rFonts w:hint="default" w:cs="Times New Roman"/>
        </w:rPr>
      </w:lvl>
    </w:lvlOverride>
    <w:lvlOverride w:ilvl="4">
      <w:lvl w:ilvl="4">
        <w:start w:val="1"/>
        <w:numFmt w:val="decimal"/>
        <w:isLgl/>
        <w:suff w:val="tab"/>
        <w:lvlText w:val="%1.%2.%3.%4.%5."/>
        <w:lvlJc w:val="left"/>
        <w:pPr>
          <w:ind w:left="357"/>
        </w:pPr>
        <w:rPr>
          <w:rFonts w:hint="default" w:cs="Times New Roman"/>
        </w:rPr>
      </w:lvl>
    </w:lvlOverride>
    <w:lvlOverride w:ilvl="5">
      <w:lvl w:ilvl="5">
        <w:start w:val="1"/>
        <w:numFmt w:val="decimal"/>
        <w:isLgl/>
        <w:suff w:val="tab"/>
        <w:lvlText w:val="%1.%2.%3.%4.%5.%6."/>
        <w:lvlJc w:val="left"/>
        <w:pPr>
          <w:ind w:left="357"/>
        </w:pPr>
        <w:rPr>
          <w:rFonts w:hint="default" w:cs="Times New Roman"/>
        </w:rPr>
      </w:lvl>
    </w:lvlOverride>
    <w:lvlOverride w:ilvl="6">
      <w:lvl w:ilvl="6">
        <w:start w:val="1"/>
        <w:numFmt w:val="decimal"/>
        <w:isLgl/>
        <w:suff w:val="tab"/>
        <w:lvlText w:val="%1.%2.%3.%4.%5.%6.%7."/>
        <w:lvlJc w:val="left"/>
        <w:pPr>
          <w:ind w:left="357"/>
        </w:pPr>
        <w:rPr>
          <w:rFonts w:hint="default" w:cs="Times New Roman"/>
        </w:rPr>
      </w:lvl>
    </w:lvlOverride>
    <w:lvlOverride w:ilvl="7">
      <w:lvl w:ilvl="7">
        <w:start w:val="1"/>
        <w:numFmt w:val="decimal"/>
        <w:isLgl/>
        <w:suff w:val="tab"/>
        <w:lvlText w:val="%1.%2.%3.%4.%5.%6.%7.%8."/>
        <w:lvlJc w:val="left"/>
        <w:pPr>
          <w:ind w:left="357"/>
        </w:pPr>
        <w:rPr>
          <w:rFonts w:hint="default" w:cs="Times New Roman"/>
        </w:rPr>
      </w:lvl>
    </w:lvlOverride>
    <w:lvlOverride w:ilvl="8">
      <w:lvl w:ilvl="8">
        <w:start w:val="1"/>
        <w:numFmt w:val="decimal"/>
        <w:isLgl/>
        <w:suff w:val="tab"/>
        <w:lvlText w:val="%1.%2.%3.%4.%5.%6.%7.%8.%9."/>
        <w:lvlJc w:val="left"/>
        <w:pPr>
          <w:ind w:left="357"/>
        </w:pPr>
        <w:rPr>
          <w:rFonts w:hint="default" w:cs="Times New Roman"/>
        </w:rPr>
      </w:lvl>
    </w:lvlOverride>
  </w:num>
  <w:num w:numId="6">
    <w:abstractNumId w:val="6"/>
  </w:num>
  <w:num w:numId="7">
    <w:abstractNumId w:val="2"/>
  </w:num>
  <w:num w:numId="8">
    <w:abstractNumId w:val="8"/>
  </w:num>
  <w:num w:numId="9">
    <w:abstractNumId w:val="9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4" w:default="1">
    <w:name w:val="Normal"/>
    <w:qFormat/>
    <w:pPr>
      <w:jc w:val="both"/>
      <w:spacing w:after="24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character" w:styleId="708" w:customStyle="1">
    <w:name w:val="Heading 2 Char"/>
    <w:basedOn w:val="705"/>
    <w:link w:val="723"/>
    <w:uiPriority w:val="9"/>
    <w:rPr>
      <w:rFonts w:ascii="Arial" w:hAnsi="Arial" w:eastAsia="Arial" w:cs="Arial"/>
      <w:sz w:val="34"/>
    </w:rPr>
  </w:style>
  <w:style w:type="character" w:styleId="709" w:customStyle="1">
    <w:name w:val="Heading 3 Char"/>
    <w:basedOn w:val="705"/>
    <w:link w:val="724"/>
    <w:uiPriority w:val="9"/>
    <w:rPr>
      <w:rFonts w:ascii="Arial" w:hAnsi="Arial" w:eastAsia="Arial" w:cs="Arial"/>
      <w:sz w:val="30"/>
      <w:szCs w:val="30"/>
    </w:rPr>
  </w:style>
  <w:style w:type="character" w:styleId="710" w:customStyle="1">
    <w:name w:val="Heading 4 Char"/>
    <w:basedOn w:val="705"/>
    <w:link w:val="725"/>
    <w:uiPriority w:val="9"/>
    <w:rPr>
      <w:rFonts w:ascii="Arial" w:hAnsi="Arial" w:eastAsia="Arial" w:cs="Arial"/>
      <w:b/>
      <w:bCs/>
      <w:sz w:val="26"/>
      <w:szCs w:val="26"/>
    </w:rPr>
  </w:style>
  <w:style w:type="character" w:styleId="711" w:customStyle="1">
    <w:name w:val="Heading 5 Char"/>
    <w:basedOn w:val="705"/>
    <w:link w:val="726"/>
    <w:uiPriority w:val="9"/>
    <w:rPr>
      <w:rFonts w:ascii="Arial" w:hAnsi="Arial" w:eastAsia="Arial" w:cs="Arial"/>
      <w:b/>
      <w:bCs/>
      <w:sz w:val="24"/>
      <w:szCs w:val="24"/>
    </w:rPr>
  </w:style>
  <w:style w:type="character" w:styleId="712" w:customStyle="1">
    <w:name w:val="Heading 6 Char"/>
    <w:basedOn w:val="705"/>
    <w:link w:val="727"/>
    <w:uiPriority w:val="9"/>
    <w:rPr>
      <w:rFonts w:ascii="Arial" w:hAnsi="Arial" w:eastAsia="Arial" w:cs="Arial"/>
      <w:b/>
      <w:bCs/>
      <w:sz w:val="22"/>
      <w:szCs w:val="22"/>
    </w:rPr>
  </w:style>
  <w:style w:type="character" w:styleId="713" w:customStyle="1">
    <w:name w:val="Heading 7 Char"/>
    <w:basedOn w:val="705"/>
    <w:link w:val="7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4" w:customStyle="1">
    <w:name w:val="Heading 8 Char"/>
    <w:basedOn w:val="705"/>
    <w:link w:val="729"/>
    <w:uiPriority w:val="9"/>
    <w:rPr>
      <w:rFonts w:ascii="Arial" w:hAnsi="Arial" w:eastAsia="Arial" w:cs="Arial"/>
      <w:i/>
      <w:iCs/>
      <w:sz w:val="22"/>
      <w:szCs w:val="22"/>
    </w:rPr>
  </w:style>
  <w:style w:type="character" w:styleId="715" w:customStyle="1">
    <w:name w:val="Heading 9 Char"/>
    <w:basedOn w:val="705"/>
    <w:link w:val="730"/>
    <w:uiPriority w:val="9"/>
    <w:rPr>
      <w:rFonts w:ascii="Arial" w:hAnsi="Arial" w:eastAsia="Arial" w:cs="Arial"/>
      <w:i/>
      <w:iCs/>
      <w:sz w:val="21"/>
      <w:szCs w:val="21"/>
    </w:rPr>
  </w:style>
  <w:style w:type="character" w:styleId="716" w:customStyle="1">
    <w:name w:val="Subtitle Char"/>
    <w:basedOn w:val="705"/>
    <w:link w:val="742"/>
    <w:uiPriority w:val="11"/>
    <w:rPr>
      <w:sz w:val="24"/>
      <w:szCs w:val="24"/>
    </w:rPr>
  </w:style>
  <w:style w:type="character" w:styleId="717" w:customStyle="1">
    <w:name w:val="Quote Char"/>
    <w:link w:val="744"/>
    <w:uiPriority w:val="29"/>
    <w:rPr>
      <w:i/>
    </w:rPr>
  </w:style>
  <w:style w:type="character" w:styleId="718" w:customStyle="1">
    <w:name w:val="Intense Quote Char"/>
    <w:link w:val="746"/>
    <w:uiPriority w:val="30"/>
    <w:rPr>
      <w:i/>
    </w:rPr>
  </w:style>
  <w:style w:type="character" w:styleId="719" w:customStyle="1">
    <w:name w:val="Caption Char"/>
    <w:basedOn w:val="705"/>
    <w:link w:val="750"/>
    <w:uiPriority w:val="35"/>
    <w:rPr>
      <w:b/>
      <w:bCs/>
      <w:color w:val="4f81bd" w:themeColor="accent1"/>
      <w:sz w:val="18"/>
      <w:szCs w:val="18"/>
    </w:rPr>
  </w:style>
  <w:style w:type="character" w:styleId="720" w:customStyle="1">
    <w:name w:val="Footnote Text Char"/>
    <w:link w:val="877"/>
    <w:uiPriority w:val="99"/>
    <w:rPr>
      <w:sz w:val="18"/>
    </w:rPr>
  </w:style>
  <w:style w:type="character" w:styleId="721" w:customStyle="1">
    <w:name w:val="Endnote Text Char"/>
    <w:link w:val="880"/>
    <w:uiPriority w:val="99"/>
    <w:rPr>
      <w:sz w:val="20"/>
    </w:rPr>
  </w:style>
  <w:style w:type="paragraph" w:styleId="722" w:customStyle="1">
    <w:name w:val="Heading 1"/>
    <w:basedOn w:val="704"/>
    <w:next w:val="704"/>
    <w:link w:val="893"/>
    <w:uiPriority w:val="99"/>
    <w:qFormat/>
    <w:pPr>
      <w:jc w:val="left"/>
      <w:keepNext/>
      <w:spacing w:before="240" w:after="60" w:line="276" w:lineRule="auto"/>
      <w:outlineLvl w:val="0"/>
    </w:pPr>
    <w:rPr>
      <w:rFonts w:ascii="Arial" w:hAnsi="Arial" w:cs="Arial"/>
      <w:b/>
      <w:bCs/>
      <w:sz w:val="32"/>
      <w:szCs w:val="32"/>
    </w:rPr>
  </w:style>
  <w:style w:type="paragraph" w:styleId="723" w:customStyle="1">
    <w:name w:val="Heading 2"/>
    <w:basedOn w:val="704"/>
    <w:next w:val="704"/>
    <w:link w:val="73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4" w:customStyle="1">
    <w:name w:val="Heading 3"/>
    <w:basedOn w:val="704"/>
    <w:next w:val="704"/>
    <w:link w:val="73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5" w:customStyle="1">
    <w:name w:val="Heading 4"/>
    <w:basedOn w:val="704"/>
    <w:next w:val="704"/>
    <w:link w:val="73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6" w:customStyle="1">
    <w:name w:val="Heading 5"/>
    <w:basedOn w:val="704"/>
    <w:next w:val="704"/>
    <w:link w:val="73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27" w:customStyle="1">
    <w:name w:val="Heading 6"/>
    <w:basedOn w:val="704"/>
    <w:next w:val="704"/>
    <w:link w:val="73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8" w:customStyle="1">
    <w:name w:val="Heading 7"/>
    <w:basedOn w:val="704"/>
    <w:next w:val="704"/>
    <w:link w:val="73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9" w:customStyle="1">
    <w:name w:val="Heading 8"/>
    <w:basedOn w:val="704"/>
    <w:next w:val="704"/>
    <w:link w:val="73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0" w:customStyle="1">
    <w:name w:val="Heading 9"/>
    <w:basedOn w:val="704"/>
    <w:next w:val="704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 w:customStyle="1">
    <w:name w:val="Heading 1 Char"/>
    <w:basedOn w:val="705"/>
    <w:uiPriority w:val="9"/>
    <w:rPr>
      <w:rFonts w:ascii="Arial" w:hAnsi="Arial" w:eastAsia="Arial" w:cs="Arial"/>
      <w:sz w:val="40"/>
      <w:szCs w:val="40"/>
    </w:rPr>
  </w:style>
  <w:style w:type="character" w:styleId="732" w:customStyle="1">
    <w:name w:val="Заголовок 2 Знак"/>
    <w:basedOn w:val="705"/>
    <w:link w:val="723"/>
    <w:uiPriority w:val="9"/>
    <w:rPr>
      <w:rFonts w:ascii="Arial" w:hAnsi="Arial" w:eastAsia="Arial" w:cs="Arial"/>
      <w:sz w:val="34"/>
    </w:rPr>
  </w:style>
  <w:style w:type="character" w:styleId="733" w:customStyle="1">
    <w:name w:val="Заголовок 3 Знак"/>
    <w:basedOn w:val="705"/>
    <w:link w:val="724"/>
    <w:uiPriority w:val="9"/>
    <w:rPr>
      <w:rFonts w:ascii="Arial" w:hAnsi="Arial" w:eastAsia="Arial" w:cs="Arial"/>
      <w:sz w:val="30"/>
      <w:szCs w:val="30"/>
    </w:rPr>
  </w:style>
  <w:style w:type="character" w:styleId="734" w:customStyle="1">
    <w:name w:val="Заголовок 4 Знак"/>
    <w:basedOn w:val="705"/>
    <w:link w:val="725"/>
    <w:uiPriority w:val="9"/>
    <w:rPr>
      <w:rFonts w:ascii="Arial" w:hAnsi="Arial" w:eastAsia="Arial" w:cs="Arial"/>
      <w:b/>
      <w:bCs/>
      <w:sz w:val="26"/>
      <w:szCs w:val="26"/>
    </w:rPr>
  </w:style>
  <w:style w:type="character" w:styleId="735" w:customStyle="1">
    <w:name w:val="Заголовок 5 Знак"/>
    <w:basedOn w:val="705"/>
    <w:link w:val="726"/>
    <w:uiPriority w:val="9"/>
    <w:rPr>
      <w:rFonts w:ascii="Arial" w:hAnsi="Arial" w:eastAsia="Arial" w:cs="Arial"/>
      <w:b/>
      <w:bCs/>
      <w:sz w:val="24"/>
      <w:szCs w:val="24"/>
    </w:rPr>
  </w:style>
  <w:style w:type="character" w:styleId="736" w:customStyle="1">
    <w:name w:val="Заголовок 6 Знак"/>
    <w:basedOn w:val="705"/>
    <w:link w:val="727"/>
    <w:uiPriority w:val="9"/>
    <w:rPr>
      <w:rFonts w:ascii="Arial" w:hAnsi="Arial" w:eastAsia="Arial" w:cs="Arial"/>
      <w:b/>
      <w:bCs/>
      <w:sz w:val="22"/>
      <w:szCs w:val="22"/>
    </w:rPr>
  </w:style>
  <w:style w:type="character" w:styleId="737" w:customStyle="1">
    <w:name w:val="Заголовок 7 Знак"/>
    <w:basedOn w:val="705"/>
    <w:link w:val="7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8" w:customStyle="1">
    <w:name w:val="Заголовок 8 Знак"/>
    <w:basedOn w:val="705"/>
    <w:link w:val="729"/>
    <w:uiPriority w:val="9"/>
    <w:rPr>
      <w:rFonts w:ascii="Arial" w:hAnsi="Arial" w:eastAsia="Arial" w:cs="Arial"/>
      <w:i/>
      <w:iCs/>
      <w:sz w:val="22"/>
      <w:szCs w:val="22"/>
    </w:rPr>
  </w:style>
  <w:style w:type="character" w:styleId="739" w:customStyle="1">
    <w:name w:val="Заголовок 9 Знак"/>
    <w:basedOn w:val="705"/>
    <w:link w:val="730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No Spacing"/>
    <w:uiPriority w:val="1"/>
    <w:qFormat/>
    <w:pPr>
      <w:spacing w:after="0" w:line="240" w:lineRule="auto"/>
    </w:pPr>
  </w:style>
  <w:style w:type="character" w:styleId="741" w:customStyle="1">
    <w:name w:val="Title Char"/>
    <w:basedOn w:val="705"/>
    <w:uiPriority w:val="10"/>
    <w:rPr>
      <w:sz w:val="48"/>
      <w:szCs w:val="48"/>
    </w:rPr>
  </w:style>
  <w:style w:type="paragraph" w:styleId="742">
    <w:name w:val="Subtitle"/>
    <w:basedOn w:val="704"/>
    <w:next w:val="704"/>
    <w:link w:val="743"/>
    <w:uiPriority w:val="11"/>
    <w:qFormat/>
    <w:pPr>
      <w:spacing w:before="200" w:after="200"/>
    </w:pPr>
  </w:style>
  <w:style w:type="character" w:styleId="743" w:customStyle="1">
    <w:name w:val="Подзаголовок Знак"/>
    <w:basedOn w:val="705"/>
    <w:link w:val="742"/>
    <w:uiPriority w:val="11"/>
    <w:rPr>
      <w:sz w:val="24"/>
      <w:szCs w:val="24"/>
    </w:rPr>
  </w:style>
  <w:style w:type="paragraph" w:styleId="744">
    <w:name w:val="Quote"/>
    <w:basedOn w:val="704"/>
    <w:next w:val="704"/>
    <w:link w:val="745"/>
    <w:uiPriority w:val="29"/>
    <w:qFormat/>
    <w:pPr>
      <w:ind w:left="720" w:right="720"/>
    </w:pPr>
    <w:rPr>
      <w:i/>
    </w:rPr>
  </w:style>
  <w:style w:type="character" w:styleId="745" w:customStyle="1">
    <w:name w:val="Цитата 2 Знак"/>
    <w:link w:val="744"/>
    <w:uiPriority w:val="29"/>
    <w:rPr>
      <w:i/>
    </w:rPr>
  </w:style>
  <w:style w:type="paragraph" w:styleId="746">
    <w:name w:val="Intense Quote"/>
    <w:basedOn w:val="704"/>
    <w:next w:val="704"/>
    <w:link w:val="74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 w:customStyle="1">
    <w:name w:val="Выделенная цитата Знак"/>
    <w:link w:val="746"/>
    <w:uiPriority w:val="30"/>
    <w:rPr>
      <w:i/>
    </w:rPr>
  </w:style>
  <w:style w:type="character" w:styleId="748" w:customStyle="1">
    <w:name w:val="Header Char"/>
    <w:basedOn w:val="705"/>
    <w:uiPriority w:val="99"/>
  </w:style>
  <w:style w:type="character" w:styleId="749" w:customStyle="1">
    <w:name w:val="Footer Char"/>
    <w:basedOn w:val="705"/>
    <w:uiPriority w:val="99"/>
  </w:style>
  <w:style w:type="paragraph" w:styleId="750" w:customStyle="1">
    <w:name w:val="Caption"/>
    <w:basedOn w:val="704"/>
    <w:next w:val="704"/>
    <w:link w:val="7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 w:customStyle="1">
    <w:name w:val="Название объекта Знак"/>
    <w:basedOn w:val="705"/>
    <w:link w:val="750"/>
    <w:uiPriority w:val="35"/>
    <w:rPr>
      <w:b/>
      <w:bCs/>
      <w:color w:val="4f81bd" w:themeColor="accent1"/>
      <w:sz w:val="18"/>
      <w:szCs w:val="18"/>
    </w:rPr>
  </w:style>
  <w:style w:type="table" w:styleId="752" w:customStyle="1">
    <w:name w:val="Table Grid Light"/>
    <w:basedOn w:val="70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 w:customStyle="1">
    <w:name w:val="Plain Table 1"/>
    <w:basedOn w:val="70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 w:customStyle="1">
    <w:name w:val="Plain Table 2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 w:customStyle="1">
    <w:name w:val="Plain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 w:customStyle="1">
    <w:name w:val="Plain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Plain Table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4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 w:customStyle="1">
    <w:name w:val="Grid Table 4 - Accent 1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1" w:customStyle="1">
    <w:name w:val="Grid Table 4 - Accent 2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2" w:customStyle="1">
    <w:name w:val="Grid Table 4 - Accent 3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3" w:customStyle="1">
    <w:name w:val="Grid Table 4 - Accent 4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4" w:customStyle="1">
    <w:name w:val="Grid Table 4 - Accent 5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5" w:customStyle="1">
    <w:name w:val="Grid Table 4 - Accent 6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6" w:customStyle="1">
    <w:name w:val="Grid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4" w:customStyle="1">
    <w:name w:val="Grid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5" w:customStyle="1">
    <w:name w:val="Grid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6" w:customStyle="1">
    <w:name w:val="Grid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7" w:customStyle="1">
    <w:name w:val="Grid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8" w:customStyle="1">
    <w:name w:val="Grid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9" w:customStyle="1">
    <w:name w:val="Grid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0" w:customStyle="1">
    <w:name w:val="Grid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1" w:customStyle="1">
    <w:name w:val="Grid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2" w:customStyle="1">
    <w:name w:val="Grid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3" w:customStyle="1">
    <w:name w:val="Grid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Grid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Grid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Grid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1" w:customStyle="1">
    <w:name w:val="List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3" w:customStyle="1">
    <w:name w:val="List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4" w:customStyle="1">
    <w:name w:val="List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5" w:customStyle="1">
    <w:name w:val="List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6" w:customStyle="1">
    <w:name w:val="List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7" w:customStyle="1">
    <w:name w:val="List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8" w:customStyle="1">
    <w:name w:val="List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9" w:customStyle="1">
    <w:name w:val="List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List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List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List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List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List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List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Lined - Accent"/>
    <w:basedOn w:val="70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7" w:customStyle="1">
    <w:name w:val="Lined - Accent 1"/>
    <w:basedOn w:val="70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8" w:customStyle="1">
    <w:name w:val="Lined - Accent 2"/>
    <w:basedOn w:val="70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9" w:customStyle="1">
    <w:name w:val="Lined - Accent 3"/>
    <w:basedOn w:val="70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0" w:customStyle="1">
    <w:name w:val="Lined - Accent 4"/>
    <w:basedOn w:val="70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1" w:customStyle="1">
    <w:name w:val="Lined - Accent 5"/>
    <w:basedOn w:val="70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2" w:customStyle="1">
    <w:name w:val="Lined - Accent 6"/>
    <w:basedOn w:val="70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3" w:customStyle="1">
    <w:name w:val="Bordered &amp; Lined - Accent"/>
    <w:basedOn w:val="70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4" w:customStyle="1">
    <w:name w:val="Bordered &amp; Lined - Accent 1"/>
    <w:basedOn w:val="70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5" w:customStyle="1">
    <w:name w:val="Bordered &amp; Lined - Accent 2"/>
    <w:basedOn w:val="70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6" w:customStyle="1">
    <w:name w:val="Bordered &amp; Lined - Accent 3"/>
    <w:basedOn w:val="70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7" w:customStyle="1">
    <w:name w:val="Bordered &amp; Lined - Accent 4"/>
    <w:basedOn w:val="70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8" w:customStyle="1">
    <w:name w:val="Bordered &amp; Lined - Accent 5"/>
    <w:basedOn w:val="70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9" w:customStyle="1">
    <w:name w:val="Bordered &amp; Lined - Accent 6"/>
    <w:basedOn w:val="70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0" w:customStyle="1">
    <w:name w:val="Bordered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1" w:customStyle="1">
    <w:name w:val="Bordered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2" w:customStyle="1">
    <w:name w:val="Bordered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3" w:customStyle="1">
    <w:name w:val="Bordered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4" w:customStyle="1">
    <w:name w:val="Bordered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5" w:customStyle="1">
    <w:name w:val="Bordered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6" w:customStyle="1">
    <w:name w:val="Bordered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77">
    <w:name w:val="footnote text"/>
    <w:basedOn w:val="704"/>
    <w:link w:val="878"/>
    <w:uiPriority w:val="99"/>
    <w:semiHidden/>
    <w:unhideWhenUsed/>
    <w:pPr>
      <w:spacing w:after="40"/>
    </w:pPr>
    <w:rPr>
      <w:sz w:val="18"/>
    </w:rPr>
  </w:style>
  <w:style w:type="character" w:styleId="878" w:customStyle="1">
    <w:name w:val="Текст сноски Знак"/>
    <w:link w:val="877"/>
    <w:uiPriority w:val="99"/>
    <w:rPr>
      <w:sz w:val="18"/>
    </w:rPr>
  </w:style>
  <w:style w:type="character" w:styleId="879">
    <w:name w:val="footnote reference"/>
    <w:basedOn w:val="705"/>
    <w:uiPriority w:val="99"/>
    <w:unhideWhenUsed/>
    <w:rPr>
      <w:vertAlign w:val="superscript"/>
    </w:rPr>
  </w:style>
  <w:style w:type="paragraph" w:styleId="880">
    <w:name w:val="endnote text"/>
    <w:basedOn w:val="704"/>
    <w:link w:val="881"/>
    <w:uiPriority w:val="99"/>
    <w:semiHidden/>
    <w:unhideWhenUsed/>
    <w:pPr>
      <w:spacing w:after="0"/>
    </w:pPr>
    <w:rPr>
      <w:sz w:val="20"/>
    </w:rPr>
  </w:style>
  <w:style w:type="character" w:styleId="881" w:customStyle="1">
    <w:name w:val="Текст концевой сноски Знак"/>
    <w:link w:val="880"/>
    <w:uiPriority w:val="99"/>
    <w:rPr>
      <w:sz w:val="20"/>
    </w:rPr>
  </w:style>
  <w:style w:type="character" w:styleId="882">
    <w:name w:val="endnote reference"/>
    <w:basedOn w:val="705"/>
    <w:uiPriority w:val="99"/>
    <w:semiHidden/>
    <w:unhideWhenUsed/>
    <w:rPr>
      <w:vertAlign w:val="superscript"/>
    </w:rPr>
  </w:style>
  <w:style w:type="paragraph" w:styleId="883">
    <w:name w:val="toc 2"/>
    <w:basedOn w:val="704"/>
    <w:next w:val="704"/>
    <w:uiPriority w:val="39"/>
    <w:unhideWhenUsed/>
    <w:pPr>
      <w:ind w:left="283"/>
      <w:spacing w:after="57"/>
    </w:pPr>
  </w:style>
  <w:style w:type="paragraph" w:styleId="884">
    <w:name w:val="toc 3"/>
    <w:basedOn w:val="704"/>
    <w:next w:val="704"/>
    <w:uiPriority w:val="39"/>
    <w:unhideWhenUsed/>
    <w:pPr>
      <w:ind w:left="567"/>
      <w:spacing w:after="57"/>
    </w:pPr>
  </w:style>
  <w:style w:type="paragraph" w:styleId="885">
    <w:name w:val="toc 4"/>
    <w:basedOn w:val="704"/>
    <w:next w:val="704"/>
    <w:uiPriority w:val="39"/>
    <w:unhideWhenUsed/>
    <w:pPr>
      <w:ind w:left="850"/>
      <w:spacing w:after="57"/>
    </w:pPr>
  </w:style>
  <w:style w:type="paragraph" w:styleId="886">
    <w:name w:val="toc 5"/>
    <w:basedOn w:val="704"/>
    <w:next w:val="704"/>
    <w:uiPriority w:val="39"/>
    <w:unhideWhenUsed/>
    <w:pPr>
      <w:ind w:left="1134"/>
      <w:spacing w:after="57"/>
    </w:pPr>
  </w:style>
  <w:style w:type="paragraph" w:styleId="887">
    <w:name w:val="toc 6"/>
    <w:basedOn w:val="704"/>
    <w:next w:val="704"/>
    <w:uiPriority w:val="39"/>
    <w:unhideWhenUsed/>
    <w:pPr>
      <w:ind w:left="1417"/>
      <w:spacing w:after="57"/>
    </w:pPr>
  </w:style>
  <w:style w:type="paragraph" w:styleId="888">
    <w:name w:val="toc 7"/>
    <w:basedOn w:val="704"/>
    <w:next w:val="704"/>
    <w:uiPriority w:val="39"/>
    <w:unhideWhenUsed/>
    <w:pPr>
      <w:ind w:left="1701"/>
      <w:spacing w:after="57"/>
    </w:pPr>
  </w:style>
  <w:style w:type="paragraph" w:styleId="889">
    <w:name w:val="toc 8"/>
    <w:basedOn w:val="704"/>
    <w:next w:val="704"/>
    <w:uiPriority w:val="39"/>
    <w:unhideWhenUsed/>
    <w:pPr>
      <w:ind w:left="1984"/>
      <w:spacing w:after="57"/>
    </w:pPr>
  </w:style>
  <w:style w:type="paragraph" w:styleId="890">
    <w:name w:val="toc 9"/>
    <w:basedOn w:val="704"/>
    <w:next w:val="704"/>
    <w:uiPriority w:val="39"/>
    <w:unhideWhenUsed/>
    <w:pPr>
      <w:ind w:left="2268"/>
      <w:spacing w:after="57"/>
    </w:pPr>
  </w:style>
  <w:style w:type="paragraph" w:styleId="891">
    <w:name w:val="TOC Heading"/>
    <w:uiPriority w:val="39"/>
    <w:unhideWhenUsed/>
  </w:style>
  <w:style w:type="paragraph" w:styleId="892">
    <w:name w:val="table of figures"/>
    <w:basedOn w:val="704"/>
    <w:next w:val="704"/>
    <w:uiPriority w:val="99"/>
    <w:unhideWhenUsed/>
    <w:pPr>
      <w:spacing w:after="0"/>
    </w:pPr>
  </w:style>
  <w:style w:type="character" w:styleId="893" w:customStyle="1">
    <w:name w:val="Заголовок 1 Знак"/>
    <w:basedOn w:val="705"/>
    <w:link w:val="722"/>
    <w:uiPriority w:val="99"/>
    <w:rPr>
      <w:rFonts w:ascii="Arial" w:hAnsi="Arial" w:cs="Arial"/>
      <w:b/>
      <w:bCs/>
      <w:sz w:val="32"/>
      <w:szCs w:val="32"/>
    </w:rPr>
  </w:style>
  <w:style w:type="character" w:styleId="894" w:customStyle="1">
    <w:name w:val="blk3"/>
    <w:uiPriority w:val="99"/>
  </w:style>
  <w:style w:type="table" w:styleId="895">
    <w:name w:val="Table Grid"/>
    <w:basedOn w:val="706"/>
    <w:uiPriority w:val="59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96">
    <w:name w:val="Hyperlink"/>
    <w:basedOn w:val="705"/>
    <w:uiPriority w:val="99"/>
    <w:rPr>
      <w:rFonts w:cs="Times New Roman"/>
      <w:color w:val="0000ff"/>
      <w:u w:val="single"/>
    </w:rPr>
  </w:style>
  <w:style w:type="character" w:styleId="897">
    <w:name w:val="Strong"/>
    <w:basedOn w:val="705"/>
    <w:uiPriority w:val="99"/>
    <w:qFormat/>
    <w:rPr>
      <w:rFonts w:cs="Times New Roman"/>
      <w:b/>
    </w:rPr>
  </w:style>
  <w:style w:type="character" w:styleId="898" w:customStyle="1">
    <w:name w:val="f"/>
    <w:uiPriority w:val="99"/>
  </w:style>
  <w:style w:type="paragraph" w:styleId="899">
    <w:name w:val="Balloon Text"/>
    <w:basedOn w:val="704"/>
    <w:link w:val="900"/>
    <w:uiPriority w:val="99"/>
    <w:pPr>
      <w:spacing w:after="0"/>
    </w:pPr>
    <w:rPr>
      <w:rFonts w:ascii="Tahoma" w:hAnsi="Tahoma" w:cs="Tahoma"/>
      <w:sz w:val="16"/>
      <w:szCs w:val="16"/>
    </w:rPr>
  </w:style>
  <w:style w:type="character" w:styleId="900" w:customStyle="1">
    <w:name w:val="Текст выноски Знак"/>
    <w:basedOn w:val="705"/>
    <w:link w:val="899"/>
    <w:uiPriority w:val="99"/>
    <w:rPr>
      <w:rFonts w:ascii="Tahoma" w:hAnsi="Tahoma" w:cs="Tahoma"/>
      <w:sz w:val="16"/>
      <w:szCs w:val="16"/>
    </w:rPr>
  </w:style>
  <w:style w:type="paragraph" w:styleId="901" w:customStyle="1">
    <w:name w:val="Header"/>
    <w:basedOn w:val="704"/>
    <w:link w:val="902"/>
    <w:uiPriority w:val="99"/>
    <w:pPr>
      <w:tabs>
        <w:tab w:val="center" w:pos="4677" w:leader="none"/>
        <w:tab w:val="right" w:pos="9355" w:leader="none"/>
      </w:tabs>
    </w:pPr>
  </w:style>
  <w:style w:type="character" w:styleId="902" w:customStyle="1">
    <w:name w:val="Верхний колонтитул Знак"/>
    <w:basedOn w:val="705"/>
    <w:link w:val="901"/>
    <w:uiPriority w:val="99"/>
    <w:rPr>
      <w:rFonts w:ascii="Times New Roman" w:hAnsi="Times New Roman" w:cs="Times New Roman"/>
      <w:sz w:val="24"/>
      <w:szCs w:val="24"/>
    </w:rPr>
  </w:style>
  <w:style w:type="paragraph" w:styleId="903" w:customStyle="1">
    <w:name w:val="Footer"/>
    <w:basedOn w:val="704"/>
    <w:link w:val="904"/>
    <w:uiPriority w:val="99"/>
    <w:pPr>
      <w:tabs>
        <w:tab w:val="center" w:pos="4677" w:leader="none"/>
        <w:tab w:val="right" w:pos="9355" w:leader="none"/>
      </w:tabs>
    </w:pPr>
  </w:style>
  <w:style w:type="character" w:styleId="904" w:customStyle="1">
    <w:name w:val="Нижний колонтитул Знак"/>
    <w:basedOn w:val="705"/>
    <w:link w:val="903"/>
    <w:uiPriority w:val="99"/>
    <w:rPr>
      <w:rFonts w:ascii="Times New Roman" w:hAnsi="Times New Roman" w:cs="Times New Roman"/>
      <w:sz w:val="24"/>
      <w:szCs w:val="24"/>
    </w:rPr>
  </w:style>
  <w:style w:type="paragraph" w:styleId="905" w:customStyle="1">
    <w:name w:val="ConsPlusNormal"/>
    <w:pPr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906">
    <w:name w:val="annotation reference"/>
    <w:basedOn w:val="705"/>
    <w:uiPriority w:val="99"/>
    <w:semiHidden/>
    <w:rPr>
      <w:rFonts w:cs="Times New Roman"/>
      <w:sz w:val="16"/>
    </w:rPr>
  </w:style>
  <w:style w:type="paragraph" w:styleId="907">
    <w:name w:val="annotation text"/>
    <w:basedOn w:val="704"/>
    <w:link w:val="908"/>
    <w:uiPriority w:val="99"/>
    <w:semiHidden/>
    <w:rPr>
      <w:sz w:val="20"/>
      <w:szCs w:val="20"/>
    </w:rPr>
  </w:style>
  <w:style w:type="character" w:styleId="908" w:customStyle="1">
    <w:name w:val="Текст примечания Знак"/>
    <w:basedOn w:val="705"/>
    <w:link w:val="907"/>
    <w:uiPriority w:val="99"/>
    <w:semiHidden/>
    <w:rPr>
      <w:rFonts w:ascii="Times New Roman" w:hAnsi="Times New Roman" w:cs="Times New Roman"/>
      <w:sz w:val="20"/>
      <w:szCs w:val="20"/>
    </w:rPr>
  </w:style>
  <w:style w:type="paragraph" w:styleId="909">
    <w:name w:val="annotation subject"/>
    <w:basedOn w:val="907"/>
    <w:next w:val="907"/>
    <w:link w:val="910"/>
    <w:uiPriority w:val="99"/>
    <w:semiHidden/>
    <w:rPr>
      <w:b/>
      <w:bCs/>
    </w:rPr>
  </w:style>
  <w:style w:type="character" w:styleId="910" w:customStyle="1">
    <w:name w:val="Тема примечания Знак"/>
    <w:basedOn w:val="908"/>
    <w:link w:val="909"/>
    <w:uiPriority w:val="99"/>
    <w:semiHidden/>
    <w:rPr>
      <w:rFonts w:ascii="Times New Roman" w:hAnsi="Times New Roman" w:cs="Times New Roman"/>
      <w:b/>
      <w:bCs/>
      <w:sz w:val="20"/>
      <w:szCs w:val="20"/>
    </w:rPr>
  </w:style>
  <w:style w:type="paragraph" w:styleId="911" w:customStyle="1">
    <w:name w:val="фриизз начало"/>
    <w:basedOn w:val="704"/>
    <w:uiPriority w:val="99"/>
    <w:pPr>
      <w:jc w:val="right"/>
      <w:spacing w:after="0"/>
    </w:pPr>
    <w:rPr>
      <w:rFonts w:ascii="GaramondC" w:hAnsi="GaramondC" w:cs="GaramondC"/>
      <w:b/>
      <w:bCs/>
      <w:sz w:val="22"/>
      <w:szCs w:val="22"/>
      <w:lang w:eastAsia="ru-RU"/>
    </w:rPr>
  </w:style>
  <w:style w:type="character" w:styleId="912">
    <w:name w:val="FollowedHyperlink"/>
    <w:basedOn w:val="705"/>
    <w:uiPriority w:val="99"/>
    <w:rPr>
      <w:rFonts w:cs="Times New Roman"/>
      <w:color w:val="800080"/>
      <w:u w:val="single"/>
    </w:rPr>
  </w:style>
  <w:style w:type="character" w:styleId="913">
    <w:name w:val="page number"/>
    <w:basedOn w:val="705"/>
    <w:uiPriority w:val="99"/>
    <w:rPr>
      <w:rFonts w:cs="Times New Roman"/>
    </w:rPr>
  </w:style>
  <w:style w:type="paragraph" w:styleId="914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character" w:styleId="915" w:customStyle="1">
    <w:name w:val="u"/>
    <w:basedOn w:val="705"/>
    <w:uiPriority w:val="99"/>
    <w:rPr>
      <w:rFonts w:cs="Times New Roman"/>
    </w:rPr>
  </w:style>
  <w:style w:type="character" w:styleId="916" w:customStyle="1">
    <w:name w:val="blk"/>
    <w:basedOn w:val="705"/>
    <w:uiPriority w:val="99"/>
    <w:rPr>
      <w:rFonts w:cs="Times New Roman"/>
    </w:rPr>
  </w:style>
  <w:style w:type="paragraph" w:styleId="917">
    <w:name w:val="HTML Preformatted"/>
    <w:basedOn w:val="704"/>
    <w:link w:val="918"/>
    <w:uiPriority w:val="99"/>
    <w:pPr>
      <w:jc w:val="left"/>
      <w:spacing w:after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  <w:lang w:eastAsia="ru-RU"/>
    </w:rPr>
  </w:style>
  <w:style w:type="character" w:styleId="918" w:customStyle="1">
    <w:name w:val="Стандартный HTML Знак"/>
    <w:basedOn w:val="705"/>
    <w:link w:val="917"/>
    <w:uiPriority w:val="99"/>
    <w:rPr>
      <w:rFonts w:ascii="Courier New" w:hAnsi="Courier New" w:cs="Courier New"/>
      <w:sz w:val="20"/>
      <w:szCs w:val="20"/>
      <w:lang w:eastAsia="ru-RU"/>
    </w:rPr>
  </w:style>
  <w:style w:type="paragraph" w:styleId="919" w:customStyle="1">
    <w:name w:val="ConsPlusCell"/>
    <w:uiPriority w:val="99"/>
    <w:pPr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paragraph" w:styleId="920" w:customStyle="1">
    <w:name w:val="ConsPlusTitle"/>
    <w:basedOn w:val="704"/>
    <w:uiPriority w:val="99"/>
    <w:pPr>
      <w:jc w:val="left"/>
      <w:spacing w:after="0"/>
    </w:pPr>
    <w:rPr>
      <w:rFonts w:ascii="Arial" w:hAnsi="Arial" w:cs="Arial"/>
      <w:b/>
      <w:bCs/>
      <w:sz w:val="16"/>
      <w:szCs w:val="16"/>
      <w:lang w:eastAsia="ru-RU"/>
    </w:rPr>
  </w:style>
  <w:style w:type="paragraph" w:styleId="921" w:customStyle="1">
    <w:name w:val="Абзац списка1"/>
    <w:basedOn w:val="704"/>
    <w:uiPriority w:val="99"/>
    <w:pPr>
      <w:contextualSpacing/>
      <w:ind w:left="720"/>
      <w:jc w:val="left"/>
      <w:spacing w:after="200" w:line="276" w:lineRule="auto"/>
    </w:pPr>
    <w:rPr>
      <w:rFonts w:ascii="Calibri" w:hAnsi="Calibri"/>
      <w:sz w:val="22"/>
      <w:szCs w:val="22"/>
    </w:rPr>
  </w:style>
  <w:style w:type="paragraph" w:styleId="922" w:customStyle="1">
    <w:name w:val="ConsPlusDocList"/>
    <w:uiPriority w:val="99"/>
    <w:pPr>
      <w:spacing w:after="0" w:line="240" w:lineRule="auto"/>
      <w:widowControl w:val="off"/>
    </w:pPr>
    <w:rPr>
      <w:rFonts w:ascii="Tahoma" w:hAnsi="Tahoma" w:cs="Tahoma"/>
      <w:sz w:val="18"/>
      <w:szCs w:val="18"/>
    </w:rPr>
  </w:style>
  <w:style w:type="paragraph" w:styleId="923" w:customStyle="1">
    <w:name w:val="consplusnormal"/>
    <w:basedOn w:val="704"/>
    <w:uiPriority w:val="99"/>
    <w:pPr>
      <w:ind w:firstLine="720"/>
      <w:jc w:val="left"/>
      <w:spacing w:after="0"/>
    </w:pPr>
    <w:rPr>
      <w:rFonts w:ascii="Arial" w:hAnsi="Arial" w:cs="Arial"/>
      <w:sz w:val="20"/>
      <w:szCs w:val="20"/>
      <w:lang w:eastAsia="ru-RU"/>
    </w:rPr>
  </w:style>
  <w:style w:type="character" w:styleId="924" w:customStyle="1">
    <w:name w:val="r"/>
    <w:basedOn w:val="705"/>
    <w:uiPriority w:val="99"/>
    <w:rPr>
      <w:rFonts w:cs="Times New Roman"/>
    </w:rPr>
  </w:style>
  <w:style w:type="character" w:styleId="925" w:customStyle="1">
    <w:name w:val="ep"/>
    <w:basedOn w:val="705"/>
    <w:uiPriority w:val="99"/>
    <w:rPr>
      <w:rFonts w:cs="Times New Roman"/>
    </w:rPr>
  </w:style>
  <w:style w:type="character" w:styleId="926" w:customStyle="1">
    <w:name w:val="Верхний колонтитул Знак1"/>
    <w:uiPriority w:val="99"/>
    <w:rPr>
      <w:sz w:val="24"/>
      <w:lang w:val="ru-RU" w:eastAsia="ru-RU"/>
    </w:rPr>
  </w:style>
  <w:style w:type="paragraph" w:styleId="927" w:customStyle="1">
    <w:name w:val="A_osn_text"/>
    <w:basedOn w:val="704"/>
    <w:uiPriority w:val="99"/>
    <w:pPr>
      <w:ind w:firstLine="340"/>
      <w:spacing w:after="0" w:line="192" w:lineRule="exact"/>
      <w:tabs>
        <w:tab w:val="left" w:pos="794" w:leader="none"/>
      </w:tabs>
    </w:pPr>
    <w:rPr>
      <w:rFonts w:ascii="Arial" w:hAnsi="Arial" w:cs="Arial"/>
      <w:sz w:val="18"/>
      <w:szCs w:val="20"/>
      <w:lang w:eastAsia="ru-RU"/>
    </w:rPr>
  </w:style>
  <w:style w:type="paragraph" w:styleId="928">
    <w:name w:val="toc 1"/>
    <w:basedOn w:val="704"/>
    <w:next w:val="704"/>
    <w:uiPriority w:val="99"/>
    <w:semiHidden/>
    <w:pPr>
      <w:jc w:val="left"/>
      <w:spacing w:before="60" w:after="60" w:line="276" w:lineRule="auto"/>
      <w:tabs>
        <w:tab w:val="left" w:pos="440" w:leader="none"/>
        <w:tab w:val="right" w:pos="9736" w:leader="dot"/>
      </w:tabs>
    </w:pPr>
    <w:rPr>
      <w:rFonts w:ascii="Calibri" w:hAnsi="Calibri"/>
      <w:sz w:val="22"/>
      <w:szCs w:val="22"/>
    </w:rPr>
  </w:style>
  <w:style w:type="paragraph" w:styleId="929">
    <w:name w:val="List Paragraph"/>
    <w:basedOn w:val="704"/>
    <w:uiPriority w:val="34"/>
    <w:qFormat/>
    <w:pPr>
      <w:ind w:left="708"/>
    </w:pPr>
  </w:style>
  <w:style w:type="paragraph" w:styleId="930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931">
    <w:name w:val="Body Text"/>
    <w:basedOn w:val="704"/>
    <w:link w:val="932"/>
    <w:uiPriority w:val="99"/>
    <w:pPr>
      <w:spacing w:after="0"/>
      <w:widowControl w:val="off"/>
    </w:pPr>
    <w:rPr>
      <w:sz w:val="20"/>
      <w:szCs w:val="20"/>
      <w:lang w:eastAsia="ru-RU"/>
    </w:rPr>
  </w:style>
  <w:style w:type="character" w:styleId="932" w:customStyle="1">
    <w:name w:val="Основной текст Знак"/>
    <w:basedOn w:val="705"/>
    <w:link w:val="931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933">
    <w:name w:val="Title"/>
    <w:basedOn w:val="704"/>
    <w:link w:val="935"/>
    <w:uiPriority w:val="99"/>
    <w:qFormat/>
    <w:pPr>
      <w:jc w:val="center"/>
      <w:spacing w:after="0"/>
      <w:widowControl w:val="off"/>
    </w:pPr>
    <w:rPr>
      <w:b/>
      <w:bCs/>
      <w:sz w:val="20"/>
      <w:szCs w:val="20"/>
      <w:lang w:eastAsia="ru-RU"/>
    </w:rPr>
  </w:style>
  <w:style w:type="paragraph" w:styleId="934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character" w:styleId="935" w:customStyle="1">
    <w:name w:val="Название Знак"/>
    <w:basedOn w:val="705"/>
    <w:link w:val="933"/>
    <w:uiPriority w:val="9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936" w:customStyle="1">
    <w:name w:val="Основной текст1"/>
    <w:uiPriority w:val="99"/>
    <w:pPr>
      <w:jc w:val="both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937" w:customStyle="1">
    <w:name w:val="ConsNormal"/>
    <w:pPr>
      <w:ind w:right="19772" w:firstLine="720"/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cs="Times New Roman"/>
      <w:sz w:val="20"/>
      <w:szCs w:val="20"/>
    </w:rPr>
  </w:style>
  <w:style w:type="paragraph" w:styleId="938" w:customStyle="1">
    <w:name w:val="LB Body Text 2"/>
    <w:qFormat/>
    <w:pPr>
      <w:ind w:left="720"/>
      <w:jc w:val="both"/>
      <w:spacing w:before="120" w:after="12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MS Mincho" w:cs="Times New Roman"/>
      <w:szCs w:val="20"/>
      <w:lang w:eastAsia="en-US"/>
    </w:rPr>
  </w:style>
  <w:style w:type="paragraph" w:styleId="939">
    <w:name w:val="Normal (Web)"/>
    <w:basedOn w:val="704"/>
    <w:uiPriority w:val="99"/>
    <w:semiHidden/>
    <w:unhideWhenUsed/>
    <w:pPr>
      <w:jc w:val="left"/>
      <w:spacing w:after="160" w:line="259" w:lineRule="auto"/>
    </w:pPr>
    <w:rPr>
      <w:rFonts w:eastAsiaTheme="minorHAnsi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E5267F-7161-40DD-97AE-076630781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zanina</dc:creator>
  <dc:description>DOC-MARKER-Hv14pNblHVJqac10bBS1Eg</dc:description>
  <cp:lastModifiedBy>user</cp:lastModifiedBy>
  <cp:revision>3</cp:revision>
  <dcterms:created xsi:type="dcterms:W3CDTF">2026-07-15T05:01:00Z</dcterms:created>
  <dcterms:modified xsi:type="dcterms:W3CDTF">2026-07-15T05:35:25Z</dcterms:modified>
</cp:coreProperties>
</file>