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1AF99FF" w14:textId="77777777" w:rsidR="001718D4" w:rsidRDefault="0019302C">
      <w:pPr>
        <w:spacing w:line="276" w:lineRule="auto"/>
        <w:ind w:firstLine="709"/>
        <w:jc w:val="center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Техническое задание на ремонт и обслуживание оргтехники АО «РСК»</w:t>
      </w:r>
    </w:p>
    <w:p w14:paraId="38B39451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1. Цель:</w:t>
      </w:r>
    </w:p>
    <w:p w14:paraId="5C4DC89B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Целью оказания Услуг является обеспечение бесперебойного и качественного функционирования оборудования ИТ и оргтехники АО «РСК».</w:t>
      </w:r>
    </w:p>
    <w:p w14:paraId="2F15D2B4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Основные задачи оказания Услуг по </w:t>
      </w:r>
      <w:r>
        <w:rPr>
          <w:rFonts w:ascii="Times New Roman" w:hAnsi="Times New Roman"/>
        </w:rPr>
        <w:t>обслуживанию оборудования ИТ и оргтехники:</w:t>
      </w:r>
    </w:p>
    <w:p w14:paraId="7341088C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обеспечение оптимального и бесперебойного режима работы оборудования и продление межремонтных сроков эксплуатации;</w:t>
      </w:r>
    </w:p>
    <w:p w14:paraId="20F1D5CD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контроль технического состояния оборудования и определение пригодности к дальнейшей эксплуатац</w:t>
      </w:r>
      <w:r>
        <w:rPr>
          <w:rFonts w:ascii="Times New Roman" w:hAnsi="Times New Roman"/>
        </w:rPr>
        <w:t>ии;</w:t>
      </w:r>
    </w:p>
    <w:p w14:paraId="78A3E586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выявление и устранение неисправностей, предупреждение отказов оборудования;</w:t>
      </w:r>
    </w:p>
    <w:p w14:paraId="42A92D88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оперативный ремонт оборудования;</w:t>
      </w:r>
    </w:p>
    <w:p w14:paraId="6F448AF4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оперативная поставка расходных материалов (замена/заправка картриджей и пр.).</w:t>
      </w:r>
    </w:p>
    <w:p w14:paraId="33939699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40052B0C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2. Термины и определения:</w:t>
      </w:r>
    </w:p>
    <w:p w14:paraId="21513F6E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Заявка - Обращение представителя</w:t>
      </w:r>
      <w:r>
        <w:rPr>
          <w:rFonts w:ascii="Times New Roman" w:hAnsi="Times New Roman"/>
        </w:rPr>
        <w:t xml:space="preserve"> Заказчика в службу поддержки Подрядчика по телефону или электронной почте.</w:t>
      </w:r>
    </w:p>
    <w:p w14:paraId="44FB3128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Ремонт – комплекс мероприятий, не относящихся к категории ТТО и выполняемых для восстановления работоспособности, полной функциональности оборудования, утраченной в результате непр</w:t>
      </w:r>
      <w:r>
        <w:rPr>
          <w:rFonts w:ascii="Times New Roman" w:hAnsi="Times New Roman"/>
        </w:rPr>
        <w:t>едвиденной аварийной ситуации.</w:t>
      </w:r>
    </w:p>
    <w:p w14:paraId="7399AF55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Ресурсные материалы - детали Оборудования с ограниченным ресурсом, ремонтные комплекты, в том числе ролики подач, печь в сборе, модули формирования изображения, предоставляемые Заказчику в целях оказания Услуг.</w:t>
      </w:r>
    </w:p>
    <w:p w14:paraId="69E84DFB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Запасные части</w:t>
      </w:r>
      <w:r>
        <w:rPr>
          <w:rFonts w:ascii="Times New Roman" w:hAnsi="Times New Roman"/>
        </w:rPr>
        <w:t xml:space="preserve"> - ресурсы, необходимые для проведения ремонтных работ оборудования с неустановленным сроком эксплуатации, вентиляторы, интерфейсные платы и адаптеры, жесткие диски, блоки электропитания, батареи, проекционные лампы, матрицы мониторов, другие элементы, не </w:t>
      </w:r>
      <w:r>
        <w:rPr>
          <w:rFonts w:ascii="Times New Roman" w:hAnsi="Times New Roman"/>
        </w:rPr>
        <w:t>относящиеся к категории Ресурсных материалов.</w:t>
      </w:r>
    </w:p>
    <w:p w14:paraId="10048B00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Резервное Оборудование - Оборудование, устанавливаемое на объектах Заказчика на время ремонта основного Оборудования (нахождения в сервисном центре).</w:t>
      </w:r>
    </w:p>
    <w:p w14:paraId="1955394C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7583D838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 xml:space="preserve">3. Место оказания услуг </w:t>
      </w:r>
      <w:r>
        <w:rPr>
          <w:rFonts w:ascii="Times New Roman" w:hAnsi="Times New Roman"/>
        </w:rPr>
        <w:t>— перечень офисов Заказчика указано</w:t>
      </w:r>
      <w:r>
        <w:rPr>
          <w:rFonts w:ascii="Times New Roman" w:hAnsi="Times New Roman"/>
        </w:rPr>
        <w:t xml:space="preserve"> в </w:t>
      </w:r>
      <w:r>
        <w:rPr>
          <w:rFonts w:ascii="Times New Roman" w:hAnsi="Times New Roman"/>
          <w:b/>
          <w:bCs/>
        </w:rPr>
        <w:t>Приложении №1</w:t>
      </w:r>
      <w:r>
        <w:rPr>
          <w:rFonts w:ascii="Times New Roman" w:hAnsi="Times New Roman"/>
        </w:rPr>
        <w:t xml:space="preserve"> к данному Техническому заданию.</w:t>
      </w:r>
    </w:p>
    <w:p w14:paraId="5E0AE4B6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62F50A6F" w14:textId="7E13A860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  <w:b/>
          <w:bCs/>
        </w:rPr>
        <w:t>4. Сроки оказания услуг:</w:t>
      </w:r>
      <w:r>
        <w:rPr>
          <w:rFonts w:ascii="Times New Roman" w:hAnsi="Times New Roman"/>
        </w:rPr>
        <w:t xml:space="preserve"> </w:t>
      </w:r>
      <w:r w:rsidRPr="0019302C">
        <w:rPr>
          <w:rFonts w:ascii="Times New Roman" w:hAnsi="Times New Roman"/>
        </w:rPr>
        <w:t xml:space="preserve">1 </w:t>
      </w:r>
      <w:r>
        <w:rPr>
          <w:rFonts w:ascii="Times New Roman" w:hAnsi="Times New Roman"/>
        </w:rPr>
        <w:t>год с даты заключения</w:t>
      </w:r>
      <w:r>
        <w:rPr>
          <w:rFonts w:ascii="Times New Roman" w:hAnsi="Times New Roman"/>
        </w:rPr>
        <w:t xml:space="preserve"> договора.</w:t>
      </w:r>
    </w:p>
    <w:p w14:paraId="6D9E28E0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6793106F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5. Оборудование, подлежащее комплексному обслуживанию:</w:t>
      </w:r>
    </w:p>
    <w:p w14:paraId="0FEA644B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В перечень оборудования включены единицы Оборудования, планируемые к приобретению и вводу в </w:t>
      </w:r>
      <w:r>
        <w:rPr>
          <w:rFonts w:ascii="Times New Roman" w:hAnsi="Times New Roman"/>
        </w:rPr>
        <w:t xml:space="preserve">эксплуатацию в течение предполагаемого срока оказания Услуг. Оборудование может быть перемещено Заказчиком в пределах объектов, указанных в </w:t>
      </w:r>
      <w:proofErr w:type="spellStart"/>
      <w:r>
        <w:rPr>
          <w:rFonts w:ascii="Times New Roman" w:hAnsi="Times New Roman"/>
        </w:rPr>
        <w:t>п.З</w:t>
      </w:r>
      <w:proofErr w:type="spellEnd"/>
      <w:r>
        <w:rPr>
          <w:rFonts w:ascii="Times New Roman" w:hAnsi="Times New Roman"/>
        </w:rPr>
        <w:t xml:space="preserve"> настоящего Технического задания. Из перечня обслуживания могут быть исключены единицы Оборудования, в случае выв</w:t>
      </w:r>
      <w:r>
        <w:rPr>
          <w:rFonts w:ascii="Times New Roman" w:hAnsi="Times New Roman"/>
        </w:rPr>
        <w:t>ода единиц Оборудования из эксплуатации, списания, нецелесообразности использования или по иным причинам. Ввиду плановой замены устаревшего оборудования и появления у Заказчика новых экземпляров и моделей оборудования Заказчик имеет право включить в перече</w:t>
      </w:r>
      <w:r>
        <w:rPr>
          <w:rFonts w:ascii="Times New Roman" w:hAnsi="Times New Roman"/>
        </w:rPr>
        <w:t xml:space="preserve">нь оборудования для ТТО и ремонта новые единицы оборудования по согласованию с Подрядчиком. Условия обслуживания при этом остаются неизменными на весь срок действия договора. Перечень оборудования и периодичность ТТО указаны в </w:t>
      </w:r>
      <w:r>
        <w:rPr>
          <w:rFonts w:ascii="Times New Roman" w:hAnsi="Times New Roman"/>
          <w:b/>
          <w:bCs/>
        </w:rPr>
        <w:t>Приложении 2</w:t>
      </w:r>
      <w:r>
        <w:rPr>
          <w:rFonts w:ascii="Times New Roman" w:hAnsi="Times New Roman"/>
        </w:rPr>
        <w:t xml:space="preserve"> к настоящему Тех</w:t>
      </w:r>
      <w:r>
        <w:rPr>
          <w:rFonts w:ascii="Times New Roman" w:hAnsi="Times New Roman"/>
        </w:rPr>
        <w:t>ническому заданию.</w:t>
      </w:r>
    </w:p>
    <w:p w14:paraId="2E164F4A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</w:p>
    <w:p w14:paraId="28EC8CA5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6. Состав услуг:</w:t>
      </w:r>
    </w:p>
    <w:p w14:paraId="15DC69B7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Подрядчик обязан своими средствами и силами производить техническое обслуживание и ремонт техники на основании заявок, поступивших от Заказчика, где указывается перечень, время и место проведения работ;</w:t>
      </w:r>
    </w:p>
    <w:p w14:paraId="43D047CE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</w:t>
      </w:r>
      <w:r>
        <w:rPr>
          <w:rFonts w:ascii="Times New Roman" w:hAnsi="Times New Roman"/>
        </w:rPr>
        <w:t>Ремонтные работы техники должны производиться в соответствии с требованиями технической документации на ремонтируемое оборудование;</w:t>
      </w:r>
    </w:p>
    <w:p w14:paraId="285F77C3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Запасные части, используемые для ремонта оборудования Заказчика, должны быть оригинальными, не бывшими в употреблении, не </w:t>
      </w:r>
      <w:r>
        <w:rPr>
          <w:rFonts w:ascii="Times New Roman" w:hAnsi="Times New Roman"/>
        </w:rPr>
        <w:t>восстановленными, с не просроченным сроком годности, рекомендованными заводом-изготовителем. В случае отсутствия оригинальных запасных частей в продаже, возможна установка совместимых запасных частей, по предварительному согласованию с Заказчиком;</w:t>
      </w:r>
    </w:p>
    <w:p w14:paraId="71824A14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Подряд</w:t>
      </w:r>
      <w:r>
        <w:rPr>
          <w:rFonts w:ascii="Times New Roman" w:hAnsi="Times New Roman"/>
        </w:rPr>
        <w:t>чик предоставляет гарантию на качество выполненных работ и на заменяемые запасные части и комплектующие на 30 (тридцать) дней с даты выполнения работ;</w:t>
      </w:r>
    </w:p>
    <w:p w14:paraId="2E60E418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Сроки ремонта: не более 14 дней;</w:t>
      </w:r>
    </w:p>
    <w:p w14:paraId="561B25E3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Ремонт оборудования включает:</w:t>
      </w:r>
    </w:p>
    <w:p w14:paraId="6A896601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диагностику оборудования;</w:t>
      </w:r>
    </w:p>
    <w:p w14:paraId="341B2DD3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разборку д</w:t>
      </w:r>
      <w:r>
        <w:rPr>
          <w:rFonts w:ascii="Times New Roman" w:hAnsi="Times New Roman"/>
        </w:rPr>
        <w:t>о отдельных узлов (при необходимости до деталей);</w:t>
      </w:r>
    </w:p>
    <w:p w14:paraId="11B9BBFD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очистку, промывку механических узлов и деталей;</w:t>
      </w:r>
    </w:p>
    <w:p w14:paraId="1D6DA590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очистку, восстановление специальными техническими жидкостями резиновых роликов подачи бумаги;</w:t>
      </w:r>
    </w:p>
    <w:p w14:paraId="12755830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диагностику, регулировку отдельных узлов;</w:t>
      </w:r>
    </w:p>
    <w:p w14:paraId="3AC4D8DE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ремонт или зам</w:t>
      </w:r>
      <w:r>
        <w:rPr>
          <w:rFonts w:ascii="Times New Roman" w:hAnsi="Times New Roman"/>
        </w:rPr>
        <w:t>ену неисправных деталей и узлов;</w:t>
      </w:r>
    </w:p>
    <w:p w14:paraId="2CC095AA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смазку механических узлов;</w:t>
      </w:r>
    </w:p>
    <w:p w14:paraId="733A6C80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сборку, проверку работоспособности при автономной работе;</w:t>
      </w:r>
    </w:p>
    <w:p w14:paraId="23617139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проверку работоспособности после подключения к компьютеру.</w:t>
      </w:r>
    </w:p>
    <w:p w14:paraId="6C4161F5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2357F46F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7. Требования к качеству оказания Услуг: </w:t>
      </w:r>
    </w:p>
    <w:p w14:paraId="004906B1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Обслуживание и ремонт оборудования выполняется на территории Заказчика, при невозможности ремонта на месте — в сервисном центре Подрядчика, доставка техники осуществляется транспортом и за счет средств Подрядчика</w:t>
      </w:r>
      <w:r>
        <w:rPr>
          <w:rFonts w:ascii="Times New Roman" w:hAnsi="Times New Roman"/>
        </w:rPr>
        <w:t>;</w:t>
      </w:r>
    </w:p>
    <w:p w14:paraId="0C9268E7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При оказании Услуг Подрядчик руководствуется и обеспечивает качество технического и профилактического обслуживания и ремонта Оборудования в соответствии с руководством по обслуживанию, технической документацией фирмы-производителя данного вида Оборудов</w:t>
      </w:r>
      <w:r>
        <w:rPr>
          <w:rFonts w:ascii="Times New Roman" w:hAnsi="Times New Roman"/>
        </w:rPr>
        <w:t>ания и другой нормативно-технической документацией;</w:t>
      </w:r>
    </w:p>
    <w:p w14:paraId="67CF2D06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ходе оказания Услуг Подрядчик своевременно обеспечивает Оборудование всеми необходимыми запчастями и расходными материалами (картриджи и пр.), включая услуги по их установке, исходя из рекомендованных</w:t>
      </w:r>
      <w:r>
        <w:rPr>
          <w:rFonts w:ascii="Times New Roman" w:hAnsi="Times New Roman"/>
        </w:rPr>
        <w:t xml:space="preserve"> производителем норм загрузки Оборудования и требований к запчастям;</w:t>
      </w:r>
    </w:p>
    <w:p w14:paraId="11FF35DC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Подрядчик обеспечивает возможность бесперебойной работы оборудования;</w:t>
      </w:r>
    </w:p>
    <w:p w14:paraId="06C1F8B1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Подрядчик по согласованию с Заказчиком предоставляет резервное Оборудование на время ремонта Оборудования Заказчи</w:t>
      </w:r>
      <w:r>
        <w:rPr>
          <w:rFonts w:ascii="Times New Roman" w:hAnsi="Times New Roman"/>
        </w:rPr>
        <w:t>ка при невозможности оперативного восстановления;</w:t>
      </w:r>
    </w:p>
    <w:p w14:paraId="5A6E4184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Подрядчик обязуется приступить к выполнению ремонтных работ в течение двух рабочих дней с момента обращения Заказчика и закончить ремонтные работы в срок до 14 дней, в зависимости от наличия необходимых з</w:t>
      </w:r>
      <w:r>
        <w:rPr>
          <w:rFonts w:ascii="Times New Roman" w:hAnsi="Times New Roman"/>
        </w:rPr>
        <w:t>апчастей на складе и сроков их поставки;</w:t>
      </w:r>
    </w:p>
    <w:p w14:paraId="52D44D07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- В случае невозможности выполнить ремонт в течение 14 дней, Подрядчик обязан предоставить подменную технику на период ремонта и восстановления по согласованию модели и характеристик с Заказчиком;</w:t>
      </w:r>
    </w:p>
    <w:p w14:paraId="359BEAD9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При поступлении </w:t>
      </w:r>
      <w:r>
        <w:rPr>
          <w:rFonts w:ascii="Times New Roman" w:hAnsi="Times New Roman"/>
        </w:rPr>
        <w:t>заявки от Заказчика на внеплановые работы по обслуживанию оборудования прибыть на место вызова в течение 2 дней. Заявка Заказчика может быть направлена Подрядчику посредством электронной почты или по телефону.</w:t>
      </w:r>
    </w:p>
    <w:p w14:paraId="398D507D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7D559416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>8. Порядок оказания и приемки Услуг:</w:t>
      </w:r>
    </w:p>
    <w:p w14:paraId="571F1789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Заявки</w:t>
      </w:r>
      <w:r>
        <w:rPr>
          <w:rFonts w:ascii="Times New Roman" w:hAnsi="Times New Roman"/>
        </w:rPr>
        <w:t xml:space="preserve"> на оказание Услуг подаются сотрудниками Заказчика по электронной почте, с автоматической обработкой системой </w:t>
      </w:r>
      <w:r>
        <w:rPr>
          <w:rFonts w:ascii="Times New Roman" w:hAnsi="Times New Roman"/>
          <w:lang w:val="en-US"/>
        </w:rPr>
        <w:t>Service</w:t>
      </w:r>
      <w:r w:rsidRPr="0019302C">
        <w:rPr>
          <w:rFonts w:ascii="Times New Roman" w:hAnsi="Times New Roman"/>
        </w:rPr>
        <w:t xml:space="preserve"> </w:t>
      </w:r>
      <w:r>
        <w:rPr>
          <w:rFonts w:ascii="Times New Roman" w:hAnsi="Times New Roman"/>
          <w:lang w:val="en-US"/>
        </w:rPr>
        <w:t>Desk</w:t>
      </w:r>
      <w:r w:rsidRPr="0019302C">
        <w:rPr>
          <w:rFonts w:ascii="Times New Roman" w:hAnsi="Times New Roman"/>
        </w:rPr>
        <w:t xml:space="preserve"> (</w:t>
      </w:r>
      <w:r>
        <w:rPr>
          <w:rFonts w:ascii="Times New Roman" w:hAnsi="Times New Roman"/>
        </w:rPr>
        <w:t>система находится на стороне Заказчика);</w:t>
      </w:r>
    </w:p>
    <w:p w14:paraId="5ED6D33C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Время исполнения заявки с 8-00 по 17-00 ежедневно;</w:t>
      </w:r>
    </w:p>
    <w:p w14:paraId="72729749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- Подрядчик ежемесячно не </w:t>
      </w:r>
      <w:r>
        <w:rPr>
          <w:rFonts w:ascii="Times New Roman" w:hAnsi="Times New Roman"/>
        </w:rPr>
        <w:t>позднее 2</w:t>
      </w:r>
      <w:r w:rsidRPr="0019302C">
        <w:rPr>
          <w:rFonts w:ascii="Times New Roman" w:hAnsi="Times New Roman"/>
        </w:rPr>
        <w:t>9</w:t>
      </w:r>
      <w:r>
        <w:rPr>
          <w:rFonts w:ascii="Times New Roman" w:hAnsi="Times New Roman"/>
        </w:rPr>
        <w:t xml:space="preserve"> (двадцать девятого) числа текущего месяца предоставляет Заказчику:</w:t>
      </w:r>
    </w:p>
    <w:p w14:paraId="3122BA57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1) Оригиналы счета, счета-фактуры, акты приемки оказанных Услуг;</w:t>
      </w:r>
    </w:p>
    <w:p w14:paraId="1C5367F6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ab/>
        <w:t>2) Отчет о выполнении заявок на оказание Услуг с группировкой по местам оказания услуг.</w:t>
      </w:r>
    </w:p>
    <w:p w14:paraId="46C7FF5D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В соответствии с п. 6</w:t>
      </w:r>
      <w:r>
        <w:rPr>
          <w:rFonts w:ascii="Times New Roman" w:hAnsi="Times New Roman"/>
        </w:rPr>
        <w:t>. настоящего ТЗ, Заказчик вправе отказаться от приемки и оплаты оказанных Услуг по единицам Оборудования, указанным в п.5. настоящего Технического задания, в случае нарушения нормативных сроков исполнения заявок, указанных в п. 7 настоящего Технического за</w:t>
      </w:r>
      <w:r>
        <w:rPr>
          <w:rFonts w:ascii="Times New Roman" w:hAnsi="Times New Roman"/>
        </w:rPr>
        <w:t>дания;</w:t>
      </w:r>
    </w:p>
    <w:p w14:paraId="019C7911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- Заказчик вправе приостановить оказание Подрядчиком Услуг или отказаться от оказания.</w:t>
      </w:r>
    </w:p>
    <w:p w14:paraId="6ADD3254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Подрядчиком Услуг в следующем отчетном периоде по единицам Оборудования, указанным в п.5. настоящего Технического задания, в случае вывода единиц Оборудования из </w:t>
      </w:r>
      <w:r>
        <w:rPr>
          <w:rFonts w:ascii="Times New Roman" w:hAnsi="Times New Roman"/>
        </w:rPr>
        <w:t>эксплуатации, списания, нецелесообразности использования или по иным причинам, уведомив об этом Подрядчика за 10 дней до окончания текущего отчетного периода.</w:t>
      </w:r>
    </w:p>
    <w:p w14:paraId="42E0A05A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3E746800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9. Порядок и условия оплаты: </w:t>
      </w:r>
    </w:p>
    <w:p w14:paraId="12C69089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Стоимость оказанных Услуг за отчетный период рассчитывается Подряд</w:t>
      </w:r>
      <w:r>
        <w:rPr>
          <w:rFonts w:ascii="Times New Roman" w:hAnsi="Times New Roman"/>
        </w:rPr>
        <w:t>чиком после приемки оказанных Услуг за отчетный период и составляет сумму стоимостей фактически оказанных и принятых Заказчиком Услуг по единицам Оборудования, указанным в п.5. настоящего Технического задания.</w:t>
      </w:r>
    </w:p>
    <w:p w14:paraId="66A384A6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Оплату за фактически оказанные и принятые в от</w:t>
      </w:r>
      <w:r>
        <w:rPr>
          <w:rFonts w:ascii="Times New Roman" w:hAnsi="Times New Roman"/>
        </w:rPr>
        <w:t>четном периоде Услуги осуществляет Заказчик в течение 10 рабочих дней после приемки результатов Услуг, порядок финансирования определяется настоящим Договором.</w:t>
      </w:r>
    </w:p>
    <w:p w14:paraId="2A24CCF1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стоимость услуги по сервисному обслуживанию оргтехники входят все расходы по замене необходимы</w:t>
      </w:r>
      <w:r>
        <w:rPr>
          <w:rFonts w:ascii="Times New Roman" w:hAnsi="Times New Roman"/>
        </w:rPr>
        <w:t>х запчастей, их доставке, установке/замене и послеремонтному пуску аппаратов</w:t>
      </w:r>
    </w:p>
    <w:p w14:paraId="60D6FDF5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 случае, невозможности восстановить работоспособность оборудования в течение 14 дней, а также невозможности предоставить подменное устройство, схожего по техническим характеристи</w:t>
      </w:r>
      <w:r>
        <w:rPr>
          <w:rFonts w:ascii="Times New Roman" w:hAnsi="Times New Roman"/>
        </w:rPr>
        <w:t>кам, ввести коэффициент оплаты, рассчитываемый по формуле:</w:t>
      </w:r>
    </w:p>
    <w:p w14:paraId="32D999FD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Формула расчета KPI R = ((S - O)/ S) * 100% , где</w:t>
      </w:r>
    </w:p>
    <w:p w14:paraId="60F54DA8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S - Общее количество запросов за отчетный период</w:t>
      </w:r>
    </w:p>
    <w:p w14:paraId="3DB12290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O - Количество запросов с признаком "просрочено": приезд исполнителя, ремонт и доставка</w:t>
      </w:r>
    </w:p>
    <w:p w14:paraId="4F87C3CE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оборудован</w:t>
      </w:r>
      <w:r>
        <w:rPr>
          <w:rFonts w:ascii="Times New Roman" w:hAnsi="Times New Roman"/>
        </w:rPr>
        <w:t>ия или восстановление сервиса</w:t>
      </w:r>
    </w:p>
    <w:p w14:paraId="266F9958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R - Процент успешно выполненных запросов.</w:t>
      </w:r>
    </w:p>
    <w:p w14:paraId="225A80D7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Нормальный уровень SLA принимается за 98%, если R&gt;98%, то коэффициент оплаты, применяемый к ежемесячному фиксированному платежу по контракту, равен 1</w:t>
      </w:r>
    </w:p>
    <w:p w14:paraId="050D709B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90% ≦R ≦98%, </w:t>
      </w:r>
      <w:proofErr w:type="spellStart"/>
      <w:r>
        <w:rPr>
          <w:rFonts w:ascii="Times New Roman" w:hAnsi="Times New Roman"/>
        </w:rPr>
        <w:t>коэф</w:t>
      </w:r>
      <w:proofErr w:type="spellEnd"/>
      <w:r>
        <w:rPr>
          <w:rFonts w:ascii="Times New Roman" w:hAnsi="Times New Roman"/>
        </w:rPr>
        <w:t>. оплаты 0,9</w:t>
      </w:r>
    </w:p>
    <w:p w14:paraId="6FA59C22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80% </w:t>
      </w:r>
      <w:r>
        <w:rPr>
          <w:rFonts w:ascii="Times New Roman" w:hAnsi="Times New Roman"/>
        </w:rPr>
        <w:t xml:space="preserve">≦R ≦90%, </w:t>
      </w:r>
      <w:proofErr w:type="spellStart"/>
      <w:r>
        <w:rPr>
          <w:rFonts w:ascii="Times New Roman" w:hAnsi="Times New Roman"/>
        </w:rPr>
        <w:t>коэф</w:t>
      </w:r>
      <w:proofErr w:type="spellEnd"/>
      <w:r>
        <w:rPr>
          <w:rFonts w:ascii="Times New Roman" w:hAnsi="Times New Roman"/>
        </w:rPr>
        <w:t>. оплаты 0,8</w:t>
      </w:r>
    </w:p>
    <w:p w14:paraId="3F63BC89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70% ≦R ≦80%, </w:t>
      </w:r>
      <w:proofErr w:type="spellStart"/>
      <w:r>
        <w:rPr>
          <w:rFonts w:ascii="Times New Roman" w:hAnsi="Times New Roman"/>
        </w:rPr>
        <w:t>коэф</w:t>
      </w:r>
      <w:proofErr w:type="spellEnd"/>
      <w:r>
        <w:rPr>
          <w:rFonts w:ascii="Times New Roman" w:hAnsi="Times New Roman"/>
        </w:rPr>
        <w:t>. оплаты 0,7</w:t>
      </w:r>
    </w:p>
    <w:p w14:paraId="7044BB18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………..</w:t>
      </w:r>
    </w:p>
    <w:p w14:paraId="17CA7411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10% ≦R ≦20%, </w:t>
      </w:r>
      <w:proofErr w:type="spellStart"/>
      <w:r>
        <w:rPr>
          <w:rFonts w:ascii="Times New Roman" w:hAnsi="Times New Roman"/>
        </w:rPr>
        <w:t>коэф</w:t>
      </w:r>
      <w:proofErr w:type="spellEnd"/>
      <w:r>
        <w:rPr>
          <w:rFonts w:ascii="Times New Roman" w:hAnsi="Times New Roman"/>
        </w:rPr>
        <w:t>. оплаты 0,1</w:t>
      </w:r>
    </w:p>
    <w:p w14:paraId="4CD37CD4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0% ≦R ≦10%, </w:t>
      </w:r>
      <w:proofErr w:type="spellStart"/>
      <w:r>
        <w:rPr>
          <w:rFonts w:ascii="Times New Roman" w:hAnsi="Times New Roman"/>
        </w:rPr>
        <w:t>коэф</w:t>
      </w:r>
      <w:proofErr w:type="spellEnd"/>
      <w:r>
        <w:rPr>
          <w:rFonts w:ascii="Times New Roman" w:hAnsi="Times New Roman"/>
        </w:rPr>
        <w:t>. Оплаты = 0</w:t>
      </w:r>
    </w:p>
    <w:p w14:paraId="6868A3E2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11641143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  <w:b/>
          <w:bCs/>
        </w:rPr>
      </w:pPr>
      <w:r>
        <w:rPr>
          <w:rFonts w:ascii="Times New Roman" w:hAnsi="Times New Roman"/>
          <w:b/>
          <w:bCs/>
        </w:rPr>
        <w:t xml:space="preserve">10. Гарантийные обязательства: </w:t>
      </w:r>
    </w:p>
    <w:p w14:paraId="46F6E9FE" w14:textId="77777777" w:rsidR="001718D4" w:rsidRDefault="0019302C">
      <w:pPr>
        <w:spacing w:line="276" w:lineRule="auto"/>
        <w:ind w:firstLine="709"/>
        <w:jc w:val="both"/>
        <w:rPr>
          <w:rFonts w:ascii="Times New Roman" w:hAnsi="Times New Roman"/>
        </w:rPr>
        <w:sectPr w:rsidR="001718D4">
          <w:pgSz w:w="11906" w:h="16838"/>
          <w:pgMar w:top="1134" w:right="1134" w:bottom="1134" w:left="1134" w:header="0" w:footer="0" w:gutter="0"/>
          <w:cols w:space="720"/>
          <w:formProt w:val="0"/>
          <w:docGrid w:linePitch="600" w:charSpace="32768"/>
        </w:sectPr>
      </w:pPr>
      <w:r>
        <w:rPr>
          <w:rFonts w:ascii="Times New Roman" w:hAnsi="Times New Roman"/>
        </w:rPr>
        <w:t>Заказчик обязуется за свой счет устранять в течение гарантийного срока (один месяц с момента приемки результата оказанных Услуг) выявленные дефекты в течение 14 (четырнадцати) календарных дней с момента получения извещения Заказчика о наличии дефектов. Гар</w:t>
      </w:r>
      <w:r>
        <w:rPr>
          <w:rFonts w:ascii="Times New Roman" w:hAnsi="Times New Roman"/>
        </w:rPr>
        <w:t xml:space="preserve">антийные обязательства не распространяются на случаи, когда Подрядчик сможет доказать, что дефекты появились в результате преднамеренного повреждения Оборудования со стороны третьих лиц или вызваны нарушением условий его эксплуатации. </w:t>
      </w:r>
      <w:r>
        <w:br w:type="page"/>
      </w:r>
    </w:p>
    <w:p w14:paraId="097B8706" w14:textId="77777777" w:rsidR="001718D4" w:rsidRDefault="0019302C">
      <w:pPr>
        <w:spacing w:line="276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 w:cs="Arial"/>
          <w:b/>
        </w:rPr>
        <w:lastRenderedPageBreak/>
        <w:t>Приложение № 1</w:t>
      </w:r>
    </w:p>
    <w:p w14:paraId="62F7AB2C" w14:textId="77777777" w:rsidR="001718D4" w:rsidRDefault="0019302C">
      <w:pPr>
        <w:spacing w:line="276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 w:cs="Arial"/>
          <w:b/>
        </w:rPr>
        <w:t>к Договору _____</w:t>
      </w:r>
    </w:p>
    <w:p w14:paraId="526EA773" w14:textId="77777777" w:rsidR="001718D4" w:rsidRDefault="0019302C">
      <w:pPr>
        <w:spacing w:line="276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 w:cs="Arial"/>
          <w:b/>
          <w:bCs/>
        </w:rPr>
        <w:t>от ______________</w:t>
      </w:r>
    </w:p>
    <w:p w14:paraId="7A1AD944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 w:cs="Arial"/>
          <w:b/>
        </w:rPr>
      </w:pPr>
    </w:p>
    <w:p w14:paraId="730DF485" w14:textId="77777777" w:rsidR="001718D4" w:rsidRDefault="0019302C">
      <w:pPr>
        <w:spacing w:line="276" w:lineRule="auto"/>
        <w:ind w:firstLine="709"/>
        <w:jc w:val="center"/>
        <w:rPr>
          <w:rFonts w:ascii="Times New Roman" w:hAnsi="Times New Roman"/>
        </w:rPr>
      </w:pPr>
      <w:r>
        <w:rPr>
          <w:rFonts w:ascii="Times New Roman" w:hAnsi="Times New Roman" w:cs="Arial"/>
          <w:b/>
        </w:rPr>
        <w:t>Перечень офисов Заказчика</w:t>
      </w:r>
    </w:p>
    <w:p w14:paraId="796A8507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 w:cs="Arial"/>
          <w:b/>
        </w:rPr>
      </w:pPr>
    </w:p>
    <w:tbl>
      <w:tblPr>
        <w:tblW w:w="9559" w:type="dxa"/>
        <w:tblInd w:w="-13" w:type="dxa"/>
        <w:tblLayout w:type="fixed"/>
        <w:tblCellMar>
          <w:left w:w="93" w:type="dxa"/>
        </w:tblCellMar>
        <w:tblLook w:val="04A0" w:firstRow="1" w:lastRow="0" w:firstColumn="1" w:lastColumn="0" w:noHBand="0" w:noVBand="1"/>
      </w:tblPr>
      <w:tblGrid>
        <w:gridCol w:w="3217"/>
        <w:gridCol w:w="6342"/>
      </w:tblGrid>
      <w:tr w:rsidR="001718D4" w14:paraId="13F9E577" w14:textId="77777777">
        <w:trPr>
          <w:trHeight w:val="258"/>
        </w:trPr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067E6158" w14:textId="77777777" w:rsidR="001718D4" w:rsidRDefault="0019302C">
            <w:pPr>
              <w:widowControl w:val="0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b/>
              </w:rPr>
              <w:t>Наименование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396933ED" w14:textId="77777777" w:rsidR="001718D4" w:rsidRDefault="0019302C">
            <w:pPr>
              <w:widowControl w:val="0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  <w:b/>
              </w:rPr>
              <w:t>Адрес офиса</w:t>
            </w:r>
          </w:p>
        </w:tc>
      </w:tr>
      <w:tr w:rsidR="001718D4" w14:paraId="7DD065B4" w14:textId="77777777">
        <w:trPr>
          <w:trHeight w:val="560"/>
        </w:trPr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74E4BBF3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Управление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60B628D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г. Екатеринбург, пер. Полимерный, 4</w:t>
            </w:r>
          </w:p>
        </w:tc>
      </w:tr>
      <w:tr w:rsidR="001718D4" w14:paraId="37846482" w14:textId="77777777">
        <w:trPr>
          <w:trHeight w:val="560"/>
        </w:trPr>
        <w:tc>
          <w:tcPr>
            <w:tcW w:w="3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vAlign w:val="center"/>
          </w:tcPr>
          <w:p w14:paraId="3EDAAA38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</w:rPr>
              <w:t>Б.Исток</w:t>
            </w:r>
            <w:proofErr w:type="spellEnd"/>
          </w:p>
        </w:tc>
        <w:tc>
          <w:tcPr>
            <w:tcW w:w="6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5C0FBAF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п. Б-Исток, ул. Луначарского, 16</w:t>
            </w:r>
          </w:p>
        </w:tc>
      </w:tr>
      <w:tr w:rsidR="001718D4" w14:paraId="51A5E3EE" w14:textId="77777777">
        <w:trPr>
          <w:trHeight w:val="564"/>
        </w:trPr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D109355" w14:textId="77777777" w:rsidR="001718D4" w:rsidRDefault="0019302C">
            <w:pPr>
              <w:pStyle w:val="a5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Каменск-Уральский РКЭС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FF1285A" w14:textId="77777777" w:rsidR="001718D4" w:rsidRDefault="0019302C">
            <w:pPr>
              <w:pStyle w:val="a5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г. К-Уральский, ул. </w:t>
            </w:r>
            <w:r>
              <w:rPr>
                <w:rFonts w:ascii="Times New Roman" w:hAnsi="Times New Roman" w:cs="Arial"/>
              </w:rPr>
              <w:t>Заводская, 15 «Б»</w:t>
            </w:r>
          </w:p>
        </w:tc>
      </w:tr>
      <w:tr w:rsidR="001718D4" w14:paraId="48A72AE0" w14:textId="77777777">
        <w:trPr>
          <w:trHeight w:val="258"/>
        </w:trPr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425F621" w14:textId="77777777" w:rsidR="001718D4" w:rsidRDefault="0019302C">
            <w:pPr>
              <w:pStyle w:val="a5"/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Среднеуральский РКЭС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1F603392" w14:textId="77777777" w:rsidR="001718D4" w:rsidRDefault="0019302C">
            <w:pPr>
              <w:pStyle w:val="a5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г. Среднеуральск, ул. Советская, 40</w:t>
            </w:r>
          </w:p>
        </w:tc>
      </w:tr>
      <w:tr w:rsidR="001718D4" w14:paraId="50D81EBF" w14:textId="77777777">
        <w:trPr>
          <w:trHeight w:val="258"/>
        </w:trPr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024AE1D" w14:textId="77777777" w:rsidR="001718D4" w:rsidRDefault="0019302C">
            <w:pPr>
              <w:pStyle w:val="a5"/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</w:rPr>
              <w:t>Североуральский</w:t>
            </w:r>
            <w:proofErr w:type="spellEnd"/>
            <w:r>
              <w:rPr>
                <w:rFonts w:ascii="Times New Roman" w:hAnsi="Times New Roman" w:cs="Arial"/>
              </w:rPr>
              <w:t xml:space="preserve"> РКЭС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A38671A" w14:textId="77777777" w:rsidR="001718D4" w:rsidRDefault="0019302C">
            <w:pPr>
              <w:pStyle w:val="a5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г. Североуральск, ул. Ленина,7</w:t>
            </w:r>
          </w:p>
        </w:tc>
      </w:tr>
      <w:tr w:rsidR="001718D4" w14:paraId="15B1D7CE" w14:textId="77777777">
        <w:trPr>
          <w:trHeight w:val="258"/>
        </w:trPr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0E20581C" w14:textId="77777777" w:rsidR="001718D4" w:rsidRDefault="0019302C">
            <w:pPr>
              <w:pStyle w:val="a5"/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</w:rPr>
              <w:t>Серовский</w:t>
            </w:r>
            <w:proofErr w:type="spellEnd"/>
            <w:r>
              <w:rPr>
                <w:rFonts w:ascii="Times New Roman" w:hAnsi="Times New Roman" w:cs="Arial"/>
              </w:rPr>
              <w:t xml:space="preserve"> РКЭС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9E0F208" w14:textId="77777777" w:rsidR="001718D4" w:rsidRDefault="0019302C">
            <w:pPr>
              <w:pStyle w:val="a5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г. Серов, ул. Кирова,</w:t>
            </w:r>
            <w:r>
              <w:rPr>
                <w:rFonts w:ascii="Times New Roman" w:hAnsi="Times New Roman" w:cs="Arial"/>
                <w:lang w:val="en-US"/>
              </w:rPr>
              <w:t>51</w:t>
            </w:r>
          </w:p>
        </w:tc>
      </w:tr>
      <w:tr w:rsidR="001718D4" w14:paraId="4CBBE196" w14:textId="77777777">
        <w:trPr>
          <w:trHeight w:val="258"/>
        </w:trPr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2B0A478" w14:textId="77777777" w:rsidR="001718D4" w:rsidRDefault="0019302C">
            <w:pPr>
              <w:pStyle w:val="a5"/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 w:cs="Arial"/>
              </w:rPr>
              <w:t>Краснотурьинский</w:t>
            </w:r>
            <w:proofErr w:type="spellEnd"/>
            <w:r>
              <w:rPr>
                <w:rFonts w:ascii="Times New Roman" w:hAnsi="Times New Roman" w:cs="Arial"/>
              </w:rPr>
              <w:t xml:space="preserve"> РКЭС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2DA276FF" w14:textId="5C9636BC" w:rsidR="001718D4" w:rsidRDefault="0019302C">
            <w:pPr>
              <w:pStyle w:val="a5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г. Краснотурьинск</w:t>
            </w:r>
            <w:r>
              <w:rPr>
                <w:rFonts w:ascii="Times New Roman" w:hAnsi="Times New Roman" w:cs="Arial"/>
              </w:rPr>
              <w:t>, ул. Октябрьская,34</w:t>
            </w:r>
          </w:p>
        </w:tc>
      </w:tr>
      <w:tr w:rsidR="001718D4" w14:paraId="3770511C" w14:textId="77777777">
        <w:trPr>
          <w:trHeight w:val="258"/>
        </w:trPr>
        <w:tc>
          <w:tcPr>
            <w:tcW w:w="3217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5ECA263C" w14:textId="77777777" w:rsidR="001718D4" w:rsidRDefault="0019302C">
            <w:pPr>
              <w:pStyle w:val="a5"/>
              <w:widowControl w:val="0"/>
              <w:spacing w:after="283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Н-</w:t>
            </w:r>
            <w:proofErr w:type="spellStart"/>
            <w:r>
              <w:rPr>
                <w:rFonts w:ascii="Times New Roman" w:hAnsi="Times New Roman" w:cs="Arial"/>
              </w:rPr>
              <w:t>Сергинский</w:t>
            </w:r>
            <w:proofErr w:type="spellEnd"/>
            <w:r>
              <w:rPr>
                <w:rFonts w:ascii="Times New Roman" w:hAnsi="Times New Roman" w:cs="Arial"/>
              </w:rPr>
              <w:t xml:space="preserve"> РКЭС</w:t>
            </w:r>
          </w:p>
        </w:tc>
        <w:tc>
          <w:tcPr>
            <w:tcW w:w="6341" w:type="dxa"/>
            <w:tcBorders>
              <w:top w:val="single" w:sz="4" w:space="0" w:color="00000A"/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0C29B779" w14:textId="77777777" w:rsidR="001718D4" w:rsidRDefault="0019302C">
            <w:pPr>
              <w:pStyle w:val="a5"/>
              <w:widowControl w:val="0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 xml:space="preserve">г. </w:t>
            </w:r>
            <w:r>
              <w:rPr>
                <w:rFonts w:ascii="Times New Roman" w:hAnsi="Times New Roman" w:cs="Arial"/>
              </w:rPr>
              <w:t>Нижние Серги, ул. Народной Воли,10</w:t>
            </w:r>
          </w:p>
        </w:tc>
      </w:tr>
      <w:tr w:rsidR="001718D4" w14:paraId="476157BE" w14:textId="77777777">
        <w:trPr>
          <w:trHeight w:val="258"/>
        </w:trPr>
        <w:tc>
          <w:tcPr>
            <w:tcW w:w="3217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</w:tcPr>
          <w:p w14:paraId="6AE462D4" w14:textId="77777777" w:rsidR="001718D4" w:rsidRDefault="0019302C">
            <w:pPr>
              <w:pStyle w:val="a5"/>
              <w:widowControl w:val="0"/>
              <w:spacing w:after="283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Тавдинский РКЭС</w:t>
            </w:r>
          </w:p>
        </w:tc>
        <w:tc>
          <w:tcPr>
            <w:tcW w:w="6341" w:type="dxa"/>
            <w:tcBorders>
              <w:left w:val="single" w:sz="4" w:space="0" w:color="00000A"/>
              <w:bottom w:val="single" w:sz="4" w:space="0" w:color="00000A"/>
              <w:right w:val="single" w:sz="4" w:space="0" w:color="00000A"/>
            </w:tcBorders>
            <w:shd w:val="clear" w:color="auto" w:fill="FFFFFF"/>
          </w:tcPr>
          <w:p w14:paraId="56B0600B" w14:textId="77777777" w:rsidR="001718D4" w:rsidRDefault="0019302C">
            <w:pPr>
              <w:pStyle w:val="a5"/>
              <w:widowControl w:val="0"/>
              <w:jc w:val="both"/>
              <w:rPr>
                <w:rFonts w:ascii="Times New Roman" w:hAnsi="Times New Roman" w:cs="Arial"/>
              </w:rPr>
            </w:pPr>
            <w:r>
              <w:rPr>
                <w:rFonts w:ascii="Times New Roman" w:hAnsi="Times New Roman" w:cs="Arial"/>
              </w:rPr>
              <w:t>г. Тавда, ул. Куйбышева, 1а</w:t>
            </w:r>
          </w:p>
        </w:tc>
      </w:tr>
    </w:tbl>
    <w:p w14:paraId="7C6FF461" w14:textId="77777777" w:rsidR="001718D4" w:rsidRDefault="001718D4">
      <w:pPr>
        <w:pStyle w:val="31"/>
        <w:spacing w:after="0" w:line="276" w:lineRule="auto"/>
        <w:ind w:left="0" w:firstLine="709"/>
        <w:jc w:val="both"/>
        <w:rPr>
          <w:rFonts w:ascii="Times New Roman" w:hAnsi="Times New Roman" w:cs="Arial"/>
          <w:sz w:val="24"/>
          <w:szCs w:val="24"/>
        </w:rPr>
      </w:pPr>
    </w:p>
    <w:tbl>
      <w:tblPr>
        <w:tblW w:w="9424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789"/>
        <w:gridCol w:w="4635"/>
      </w:tblGrid>
      <w:tr w:rsidR="001718D4" w14:paraId="0BA4BAF4" w14:textId="77777777">
        <w:tc>
          <w:tcPr>
            <w:tcW w:w="4788" w:type="dxa"/>
          </w:tcPr>
          <w:p w14:paraId="6DFF1DB4" w14:textId="77777777" w:rsidR="001718D4" w:rsidRDefault="001718D4">
            <w:pPr>
              <w:widowControl w:val="0"/>
              <w:snapToGrid w:val="0"/>
              <w:spacing w:line="276" w:lineRule="auto"/>
              <w:ind w:firstLine="709"/>
              <w:jc w:val="both"/>
              <w:rPr>
                <w:rFonts w:ascii="Times New Roman" w:hAnsi="Times New Roman" w:cs="Arial"/>
              </w:rPr>
            </w:pPr>
          </w:p>
          <w:p w14:paraId="6F2374F4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Директор</w:t>
            </w:r>
          </w:p>
          <w:p w14:paraId="3E4AAA81" w14:textId="77777777" w:rsidR="001718D4" w:rsidRDefault="001718D4">
            <w:pPr>
              <w:widowControl w:val="0"/>
              <w:spacing w:line="276" w:lineRule="auto"/>
              <w:ind w:firstLine="709"/>
              <w:jc w:val="both"/>
              <w:rPr>
                <w:rFonts w:ascii="Times New Roman" w:hAnsi="Times New Roman" w:cs="Arial"/>
              </w:rPr>
            </w:pPr>
          </w:p>
          <w:p w14:paraId="517BE610" w14:textId="77777777" w:rsidR="001718D4" w:rsidRDefault="0019302C">
            <w:pPr>
              <w:widowControl w:val="0"/>
              <w:spacing w:line="276" w:lineRule="auto"/>
              <w:jc w:val="both"/>
              <w:rPr>
                <w:rFonts w:eastAsia="Times New Roman"/>
                <w:color w:val="00000A"/>
                <w:lang w:eastAsia="ar-SA" w:bidi="ar-SA"/>
              </w:rPr>
            </w:pPr>
            <w:r>
              <w:rPr>
                <w:rFonts w:ascii="Times New Roman" w:hAnsi="Times New Roman"/>
              </w:rPr>
              <w:t>____________________/</w:t>
            </w:r>
          </w:p>
          <w:p w14:paraId="1935CD6E" w14:textId="77777777" w:rsidR="001718D4" w:rsidRDefault="0019302C">
            <w:pPr>
              <w:widowControl w:val="0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М.П.</w:t>
            </w:r>
          </w:p>
        </w:tc>
        <w:tc>
          <w:tcPr>
            <w:tcW w:w="4635" w:type="dxa"/>
          </w:tcPr>
          <w:p w14:paraId="4016B1BA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eastAsia="Calibri" w:hAnsi="Times New Roman" w:cs="Arial"/>
                <w:b/>
              </w:rPr>
              <w:t xml:space="preserve">Генеральный директор </w:t>
            </w:r>
            <w:r>
              <w:rPr>
                <w:rFonts w:ascii="Times New Roman" w:eastAsia="Calibri" w:hAnsi="Times New Roman" w:cs="Arial"/>
                <w:b/>
                <w:color w:val="00000A"/>
                <w:lang w:eastAsia="ar-SA" w:bidi="ar-SA"/>
              </w:rPr>
              <w:t>АО «РСК»</w:t>
            </w:r>
          </w:p>
          <w:p w14:paraId="41AD1253" w14:textId="77777777" w:rsidR="001718D4" w:rsidRDefault="001718D4">
            <w:pPr>
              <w:widowControl w:val="0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  <w:p w14:paraId="27A4C741" w14:textId="77777777" w:rsidR="001718D4" w:rsidRDefault="001718D4">
            <w:pPr>
              <w:widowControl w:val="0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  <w:p w14:paraId="777CDEED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____________________/</w:t>
            </w:r>
            <w:r>
              <w:rPr>
                <w:rFonts w:ascii="Times New Roman" w:eastAsia="Times New Roman" w:hAnsi="Times New Roman" w:cs="Arial"/>
                <w:color w:val="00000A"/>
                <w:lang w:eastAsia="ar-SA" w:bidi="ar-SA"/>
              </w:rPr>
              <w:t>Мирный А.С</w:t>
            </w:r>
            <w:r>
              <w:rPr>
                <w:rFonts w:ascii="Times New Roman" w:hAnsi="Times New Roman" w:cs="Arial"/>
              </w:rPr>
              <w:t>.</w:t>
            </w:r>
          </w:p>
          <w:p w14:paraId="0C8133E5" w14:textId="77777777" w:rsidR="001718D4" w:rsidRDefault="001718D4">
            <w:pPr>
              <w:widowControl w:val="0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  <w:p w14:paraId="53B08D2A" w14:textId="77777777" w:rsidR="001718D4" w:rsidRDefault="001718D4">
            <w:pPr>
              <w:widowControl w:val="0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</w:p>
          <w:p w14:paraId="37246E35" w14:textId="77777777" w:rsidR="001718D4" w:rsidRDefault="0019302C">
            <w:pPr>
              <w:widowControl w:val="0"/>
              <w:snapToGrid w:val="0"/>
              <w:spacing w:line="276" w:lineRule="auto"/>
              <w:ind w:firstLine="709"/>
              <w:jc w:val="both"/>
              <w:rPr>
                <w:rFonts w:ascii="Times New Roman" w:hAnsi="Times New Roman"/>
              </w:rPr>
            </w:pPr>
            <w:bookmarkStart w:id="0" w:name="__DdeLink__1232_542478963"/>
            <w:bookmarkEnd w:id="0"/>
            <w:r>
              <w:rPr>
                <w:rFonts w:ascii="Times New Roman" w:hAnsi="Times New Roman"/>
              </w:rPr>
              <w:t>М.П.</w:t>
            </w:r>
          </w:p>
        </w:tc>
      </w:tr>
    </w:tbl>
    <w:p w14:paraId="49A4D1FF" w14:textId="77777777" w:rsidR="001718D4" w:rsidRDefault="0019302C">
      <w:pPr>
        <w:pStyle w:val="31"/>
        <w:spacing w:after="0" w:line="276" w:lineRule="auto"/>
        <w:ind w:left="0" w:firstLine="709"/>
        <w:jc w:val="both"/>
        <w:rPr>
          <w:rFonts w:ascii="Times New Roman" w:hAnsi="Times New Roman" w:cs="Arial"/>
          <w:sz w:val="24"/>
          <w:szCs w:val="24"/>
        </w:rPr>
      </w:pPr>
      <w:r>
        <w:br w:type="page"/>
      </w:r>
    </w:p>
    <w:p w14:paraId="5318F5AF" w14:textId="77777777" w:rsidR="001718D4" w:rsidRDefault="0019302C">
      <w:pPr>
        <w:spacing w:line="276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 w:cs="Arial"/>
          <w:b/>
        </w:rPr>
        <w:lastRenderedPageBreak/>
        <w:t>Приложение № 2</w:t>
      </w:r>
    </w:p>
    <w:p w14:paraId="7F961070" w14:textId="77777777" w:rsidR="001718D4" w:rsidRDefault="0019302C">
      <w:pPr>
        <w:spacing w:line="276" w:lineRule="auto"/>
        <w:ind w:firstLine="709"/>
        <w:jc w:val="right"/>
        <w:rPr>
          <w:rFonts w:ascii="Times New Roman" w:hAnsi="Times New Roman"/>
        </w:rPr>
      </w:pPr>
      <w:r>
        <w:rPr>
          <w:rFonts w:ascii="Times New Roman" w:hAnsi="Times New Roman" w:cs="Arial"/>
          <w:b/>
        </w:rPr>
        <w:t>к Договору _____</w:t>
      </w:r>
    </w:p>
    <w:p w14:paraId="3B019F09" w14:textId="77777777" w:rsidR="001718D4" w:rsidRDefault="0019302C">
      <w:pPr>
        <w:spacing w:line="276" w:lineRule="auto"/>
        <w:ind w:firstLine="709"/>
        <w:jc w:val="right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  <w:b/>
          <w:bCs/>
        </w:rPr>
        <w:t xml:space="preserve">от </w:t>
      </w:r>
      <w:r>
        <w:rPr>
          <w:rFonts w:ascii="Times New Roman" w:hAnsi="Times New Roman" w:cs="Arial"/>
          <w:b/>
          <w:bCs/>
        </w:rPr>
        <w:t>______________</w:t>
      </w:r>
    </w:p>
    <w:p w14:paraId="483EE9F8" w14:textId="77777777" w:rsidR="001718D4" w:rsidRDefault="001718D4">
      <w:pPr>
        <w:spacing w:line="276" w:lineRule="auto"/>
        <w:ind w:firstLine="709"/>
        <w:jc w:val="right"/>
        <w:rPr>
          <w:rFonts w:ascii="Times New Roman" w:hAnsi="Times New Roman" w:cs="Arial"/>
          <w:b/>
          <w:bCs/>
        </w:rPr>
      </w:pPr>
    </w:p>
    <w:p w14:paraId="30A2B6CC" w14:textId="77777777" w:rsidR="001718D4" w:rsidRDefault="0019302C">
      <w:pPr>
        <w:spacing w:line="276" w:lineRule="auto"/>
        <w:ind w:firstLine="709"/>
        <w:jc w:val="center"/>
        <w:rPr>
          <w:rFonts w:ascii="Times New Roman" w:hAnsi="Times New Roman" w:cs="Arial"/>
          <w:b/>
          <w:bCs/>
        </w:rPr>
      </w:pPr>
      <w:r>
        <w:rPr>
          <w:rFonts w:ascii="Times New Roman" w:hAnsi="Times New Roman" w:cs="Arial"/>
          <w:b/>
          <w:bCs/>
        </w:rPr>
        <w:t>Перечень оборудования Заказчика</w:t>
      </w:r>
    </w:p>
    <w:p w14:paraId="6D4B7291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 w:cs="Arial"/>
          <w:b/>
          <w:bCs/>
        </w:rPr>
      </w:pPr>
    </w:p>
    <w:tbl>
      <w:tblPr>
        <w:tblW w:w="9360" w:type="dxa"/>
        <w:tblInd w:w="5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3975"/>
        <w:gridCol w:w="1185"/>
        <w:gridCol w:w="4200"/>
      </w:tblGrid>
      <w:tr w:rsidR="001718D4" w14:paraId="07E722BF" w14:textId="77777777">
        <w:tc>
          <w:tcPr>
            <w:tcW w:w="397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0277294E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Модель оборудования</w:t>
            </w:r>
          </w:p>
        </w:tc>
        <w:tc>
          <w:tcPr>
            <w:tcW w:w="1185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</w:tcBorders>
          </w:tcPr>
          <w:p w14:paraId="307835EE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Тип</w:t>
            </w:r>
          </w:p>
        </w:tc>
        <w:tc>
          <w:tcPr>
            <w:tcW w:w="4200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B9C5D5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</w:rPr>
              <w:t>Расположение оборудования</w:t>
            </w:r>
          </w:p>
        </w:tc>
      </w:tr>
      <w:tr w:rsidR="001718D4" w14:paraId="014043EC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492CACD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TaskAlfa</w:t>
            </w:r>
            <w:proofErr w:type="spellEnd"/>
            <w:r>
              <w:rPr>
                <w:rFonts w:ascii="Times New Roman" w:hAnsi="Times New Roman"/>
              </w:rPr>
              <w:t xml:space="preserve"> 2552ci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51F06BF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F6A6F66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792BCAAE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197A5A2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TaskAlfa</w:t>
            </w:r>
            <w:proofErr w:type="spellEnd"/>
            <w:r>
              <w:rPr>
                <w:rFonts w:ascii="Times New Roman" w:hAnsi="Times New Roman"/>
              </w:rPr>
              <w:t xml:space="preserve"> 2201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5E0499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874855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675B236A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200B71A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TaskAlfa</w:t>
            </w:r>
            <w:proofErr w:type="spellEnd"/>
            <w:r>
              <w:rPr>
                <w:rFonts w:ascii="Times New Roman" w:hAnsi="Times New Roman"/>
              </w:rPr>
              <w:t xml:space="preserve"> 1800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72130BD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FB96B6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</w:t>
            </w:r>
          </w:p>
        </w:tc>
      </w:tr>
      <w:tr w:rsidR="001718D4" w14:paraId="6A65B774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2E6A8C26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Taskalfa</w:t>
            </w:r>
            <w:proofErr w:type="spellEnd"/>
            <w:r>
              <w:rPr>
                <w:rFonts w:ascii="Times New Roman" w:hAnsi="Times New Roman"/>
              </w:rPr>
              <w:t xml:space="preserve"> 1800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488F643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03BC9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Каменск-Уральский</w:t>
            </w:r>
          </w:p>
        </w:tc>
      </w:tr>
      <w:tr w:rsidR="001718D4" w14:paraId="7D08B040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5B3BC07F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Taskalfa</w:t>
            </w:r>
            <w:proofErr w:type="spellEnd"/>
            <w:r>
              <w:rPr>
                <w:rFonts w:ascii="Times New Roman" w:hAnsi="Times New Roman"/>
              </w:rPr>
              <w:t xml:space="preserve"> 1801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1E549C6F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020F1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Каменск-Уральский</w:t>
            </w:r>
          </w:p>
        </w:tc>
      </w:tr>
      <w:tr w:rsidR="001718D4" w14:paraId="0D214204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515E867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Ecosys</w:t>
            </w:r>
            <w:proofErr w:type="spellEnd"/>
            <w:r>
              <w:rPr>
                <w:rFonts w:ascii="Times New Roman" w:hAnsi="Times New Roman"/>
              </w:rPr>
              <w:t xml:space="preserve"> M2535dn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3259E0A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0BEA1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Управление, Среднеуральск</w:t>
            </w:r>
          </w:p>
        </w:tc>
      </w:tr>
      <w:tr w:rsidR="001718D4" w14:paraId="26DBCE3C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4FEE410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Ecosys</w:t>
            </w:r>
            <w:proofErr w:type="spellEnd"/>
            <w:r>
              <w:rPr>
                <w:rFonts w:ascii="Times New Roman" w:hAnsi="Times New Roman"/>
              </w:rPr>
              <w:t xml:space="preserve"> M2035dn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240D45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1F466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</w:t>
            </w:r>
          </w:p>
        </w:tc>
      </w:tr>
      <w:tr w:rsidR="001718D4" w14:paraId="0D6DF567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598399D8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Ecosys</w:t>
            </w:r>
            <w:proofErr w:type="spellEnd"/>
            <w:r>
              <w:rPr>
                <w:rFonts w:ascii="Times New Roman" w:hAnsi="Times New Roman"/>
              </w:rPr>
              <w:t xml:space="preserve"> M2540dn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28B1DE0E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AA09481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Серов, Североуральск, Среднеуральск, </w:t>
            </w:r>
            <w:proofErr w:type="spellStart"/>
            <w:r>
              <w:rPr>
                <w:rFonts w:ascii="Times New Roman" w:hAnsi="Times New Roman"/>
              </w:rPr>
              <w:t>Б.Исток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r>
              <w:rPr>
                <w:rFonts w:ascii="Times New Roman" w:hAnsi="Times New Roman"/>
              </w:rPr>
              <w:t>Каменск-Уральский</w:t>
            </w:r>
          </w:p>
        </w:tc>
      </w:tr>
      <w:tr w:rsidR="001718D4" w14:paraId="52DC28EF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4E6C3068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Ecosys</w:t>
            </w:r>
            <w:proofErr w:type="spellEnd"/>
            <w:r>
              <w:rPr>
                <w:rFonts w:ascii="Times New Roman" w:hAnsi="Times New Roman"/>
              </w:rPr>
              <w:t xml:space="preserve"> P2235dn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2789E44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006E06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Управление, Ревда</w:t>
            </w:r>
          </w:p>
        </w:tc>
      </w:tr>
      <w:tr w:rsidR="0019302C" w14:paraId="136CCD77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12040E89" w14:textId="182630D8" w:rsidR="0019302C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Ecosys</w:t>
            </w:r>
            <w:proofErr w:type="spellEnd"/>
            <w:r>
              <w:rPr>
                <w:rFonts w:ascii="Times New Roman" w:hAnsi="Times New Roman"/>
              </w:rPr>
              <w:t xml:space="preserve"> P2</w:t>
            </w:r>
            <w:r>
              <w:rPr>
                <w:rFonts w:ascii="Times New Roman" w:hAnsi="Times New Roman"/>
              </w:rPr>
              <w:t>040</w:t>
            </w:r>
            <w:r>
              <w:rPr>
                <w:rFonts w:ascii="Times New Roman" w:hAnsi="Times New Roman"/>
              </w:rPr>
              <w:t>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40AE6926" w14:textId="2E9C1E61" w:rsidR="0019302C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E04A64D" w14:textId="2D4B0EDA" w:rsidR="0019302C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41E8E88D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631B3E5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Ecosys</w:t>
            </w:r>
            <w:proofErr w:type="spellEnd"/>
            <w:r>
              <w:rPr>
                <w:rFonts w:ascii="Times New Roman" w:hAnsi="Times New Roman"/>
              </w:rPr>
              <w:t xml:space="preserve"> M3145dn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2733E14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C555D4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Серов, Каменск-Уральский</w:t>
            </w:r>
          </w:p>
        </w:tc>
      </w:tr>
      <w:tr w:rsidR="001718D4" w14:paraId="2C5B2B5B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1F2E4F0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KM-1650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4E9B79C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D9C32F1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3139B16B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409B19CD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lang w:val="en-US"/>
              </w:rPr>
              <w:t>Kyocera FS-6525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19399BD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21CAD85" w14:textId="77777777" w:rsidR="001718D4" w:rsidRDefault="0019302C">
            <w:pPr>
              <w:widowControl w:val="0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 w:cs="Arial"/>
              </w:rPr>
              <w:t>Управление</w:t>
            </w:r>
          </w:p>
        </w:tc>
      </w:tr>
      <w:tr w:rsidR="001718D4" w14:paraId="178E876E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0D58112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FS-1135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6965F8F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1DC9D6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Управление, Среднеуральск</w:t>
            </w:r>
          </w:p>
        </w:tc>
      </w:tr>
      <w:tr w:rsidR="001718D4" w14:paraId="08E9A8B7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51EE3DB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FS-1028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3BC326A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8AF520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25354136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06FA186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Kyocera</w:t>
            </w:r>
            <w:proofErr w:type="spellEnd"/>
            <w:r>
              <w:rPr>
                <w:rFonts w:ascii="Times New Roman" w:hAnsi="Times New Roman"/>
              </w:rPr>
              <w:t xml:space="preserve"> FS-1060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4385CE93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F52C3F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</w:t>
            </w:r>
          </w:p>
        </w:tc>
      </w:tr>
      <w:tr w:rsidR="001718D4" w14:paraId="598D8F7F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071383F8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Epson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SureColor</w:t>
            </w:r>
            <w:proofErr w:type="spellEnd"/>
            <w:r>
              <w:rPr>
                <w:rFonts w:ascii="Times New Roman" w:hAnsi="Times New Roman"/>
              </w:rPr>
              <w:t xml:space="preserve"> SC-T7000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12BA8249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Плоттер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824DF0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626E66C4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26C6E78F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Pixma</w:t>
            </w:r>
            <w:proofErr w:type="spellEnd"/>
            <w:r>
              <w:rPr>
                <w:rFonts w:ascii="Times New Roman" w:hAnsi="Times New Roman"/>
              </w:rPr>
              <w:t xml:space="preserve"> MX884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37AE2C6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FEAEC0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222850D8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4069685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 xml:space="preserve"> i-</w:t>
            </w:r>
            <w:proofErr w:type="spellStart"/>
            <w:r>
              <w:rPr>
                <w:rFonts w:ascii="Times New Roman" w:hAnsi="Times New Roman"/>
              </w:rPr>
              <w:t>Sensys</w:t>
            </w:r>
            <w:proofErr w:type="spellEnd"/>
            <w:r>
              <w:rPr>
                <w:rFonts w:ascii="Times New Roman" w:hAnsi="Times New Roman"/>
              </w:rPr>
              <w:t xml:space="preserve"> 4410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26D3894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C451AF8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17350FFC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7FB2438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 xml:space="preserve"> i-</w:t>
            </w:r>
            <w:proofErr w:type="spellStart"/>
            <w:r>
              <w:rPr>
                <w:rFonts w:ascii="Times New Roman" w:hAnsi="Times New Roman"/>
              </w:rPr>
              <w:t>Sensys</w:t>
            </w:r>
            <w:proofErr w:type="spellEnd"/>
            <w:r>
              <w:rPr>
                <w:rFonts w:ascii="Times New Roman" w:hAnsi="Times New Roman"/>
              </w:rPr>
              <w:t xml:space="preserve"> 4730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74D4D8A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4882D0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Среднеуральск</w:t>
            </w:r>
          </w:p>
        </w:tc>
      </w:tr>
      <w:tr w:rsidR="001718D4" w14:paraId="79E29EFD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69B2FC3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Canon</w:t>
            </w:r>
            <w:proofErr w:type="spellEnd"/>
            <w:r>
              <w:rPr>
                <w:rFonts w:ascii="Times New Roman" w:hAnsi="Times New Roman"/>
              </w:rPr>
              <w:t xml:space="preserve"> i-</w:t>
            </w:r>
            <w:proofErr w:type="spellStart"/>
            <w:r>
              <w:rPr>
                <w:rFonts w:ascii="Times New Roman" w:hAnsi="Times New Roman"/>
              </w:rPr>
              <w:t>Sensys</w:t>
            </w:r>
            <w:proofErr w:type="spellEnd"/>
            <w:r>
              <w:rPr>
                <w:rFonts w:ascii="Times New Roman" w:hAnsi="Times New Roman"/>
              </w:rPr>
              <w:t xml:space="preserve"> 6680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12833A6E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F653D04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Каменск-Уральский</w:t>
            </w:r>
          </w:p>
        </w:tc>
      </w:tr>
      <w:tr w:rsidR="001718D4" w14:paraId="51433225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05FA3644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Konica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Minolta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Bizhub</w:t>
            </w:r>
            <w:proofErr w:type="spellEnd"/>
            <w:r>
              <w:rPr>
                <w:rFonts w:ascii="Times New Roman" w:hAnsi="Times New Roman"/>
              </w:rPr>
              <w:t xml:space="preserve"> 211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6B0086F9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E46E81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Управление, Североуральск</w:t>
            </w:r>
          </w:p>
        </w:tc>
      </w:tr>
      <w:tr w:rsidR="001718D4" w14:paraId="24FCD75D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19E78338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Konica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Minolta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Bizhub</w:t>
            </w:r>
            <w:proofErr w:type="spellEnd"/>
            <w:r>
              <w:rPr>
                <w:rFonts w:ascii="Times New Roman" w:hAnsi="Times New Roman"/>
              </w:rPr>
              <w:t xml:space="preserve"> 20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61A1C3A6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5DB9C03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Управление, Каменск-Уральский</w:t>
            </w:r>
          </w:p>
        </w:tc>
      </w:tr>
      <w:tr w:rsidR="001718D4" w14:paraId="664A65B1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12DECE13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Konica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Minolta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Bizhub</w:t>
            </w:r>
            <w:proofErr w:type="spellEnd"/>
            <w:r>
              <w:rPr>
                <w:rFonts w:ascii="Times New Roman" w:hAnsi="Times New Roman"/>
              </w:rPr>
              <w:t xml:space="preserve"> 164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89466B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035AD69" w14:textId="2EF55664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Н.Серги</w:t>
            </w:r>
            <w:proofErr w:type="spellEnd"/>
            <w:r>
              <w:rPr>
                <w:rFonts w:ascii="Times New Roman" w:hAnsi="Times New Roman"/>
              </w:rPr>
              <w:t xml:space="preserve">, </w:t>
            </w:r>
            <w:bookmarkStart w:id="1" w:name="_GoBack"/>
            <w:bookmarkEnd w:id="1"/>
            <w:r>
              <w:rPr>
                <w:rFonts w:ascii="Times New Roman" w:hAnsi="Times New Roman"/>
              </w:rPr>
              <w:t>Каменск-Уральский, Краснотурьинск</w:t>
            </w:r>
          </w:p>
        </w:tc>
      </w:tr>
      <w:tr w:rsidR="001718D4" w14:paraId="5D57FCAD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4F2C1B41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1320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6A1E724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D136D61" w14:textId="77777777" w:rsidR="001718D4" w:rsidRDefault="0019302C" w:rsidP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Управление, Серов, </w:t>
            </w:r>
            <w:r>
              <w:rPr>
                <w:rFonts w:ascii="Times New Roman" w:hAnsi="Times New Roman"/>
              </w:rPr>
              <w:t>Каменск-Уральский, Краснотурьинск</w:t>
            </w:r>
          </w:p>
        </w:tc>
      </w:tr>
      <w:tr w:rsidR="001718D4" w14:paraId="5D1BE1FA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13855BE8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2420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7E238BB3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4B3499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Управление, Каменск-Уральский</w:t>
            </w:r>
          </w:p>
        </w:tc>
      </w:tr>
      <w:tr w:rsidR="001718D4" w14:paraId="30EC5B63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11B91AC6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lastRenderedPageBreak/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1015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544E77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F6F6E6F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Управление, Каменск-Уральский</w:t>
            </w:r>
          </w:p>
        </w:tc>
      </w:tr>
      <w:tr w:rsidR="001718D4" w14:paraId="1E8F88AF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767AAE3E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1536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5B7B7316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9FB08D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53C16134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037B7439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</w:t>
            </w:r>
            <w:proofErr w:type="spellStart"/>
            <w:r>
              <w:rPr>
                <w:rFonts w:ascii="Times New Roman" w:hAnsi="Times New Roman"/>
              </w:rPr>
              <w:t>Pro</w:t>
            </w:r>
            <w:proofErr w:type="spellEnd"/>
            <w:r>
              <w:rPr>
                <w:rFonts w:ascii="Times New Roman" w:hAnsi="Times New Roman"/>
              </w:rPr>
              <w:t xml:space="preserve"> 400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32266F99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793FF9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Управление, Серов, </w:t>
            </w:r>
            <w:r>
              <w:rPr>
                <w:rFonts w:ascii="Times New Roman" w:hAnsi="Times New Roman"/>
              </w:rPr>
              <w:t>Каменск-Уральский</w:t>
            </w:r>
          </w:p>
        </w:tc>
      </w:tr>
      <w:tr w:rsidR="001718D4" w14:paraId="47462A8F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3CBAF2D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1010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6B01F71E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57226C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Управление, Североуральск</w:t>
            </w:r>
          </w:p>
        </w:tc>
      </w:tr>
      <w:tr w:rsidR="001718D4" w14:paraId="32044095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69DB855E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1300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259843B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D6976E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Североуральск, Серов, </w:t>
            </w:r>
            <w:proofErr w:type="spellStart"/>
            <w:r>
              <w:rPr>
                <w:rFonts w:ascii="Times New Roman" w:hAnsi="Times New Roman"/>
              </w:rPr>
              <w:t>Б.Исток</w:t>
            </w:r>
            <w:proofErr w:type="spellEnd"/>
            <w:r>
              <w:rPr>
                <w:rFonts w:ascii="Times New Roman" w:hAnsi="Times New Roman"/>
              </w:rPr>
              <w:t>, Каменск-Уральский</w:t>
            </w:r>
          </w:p>
        </w:tc>
      </w:tr>
      <w:tr w:rsidR="001718D4" w14:paraId="3ADAF684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682E6FD7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1100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58857188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26153D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Североуральск, Каменск-Уральский</w:t>
            </w:r>
          </w:p>
        </w:tc>
      </w:tr>
      <w:tr w:rsidR="001718D4" w14:paraId="42397DB3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7D2FE663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2300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31A66C43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58940966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Североуральск, Серов, Сред</w:t>
            </w:r>
            <w:r>
              <w:rPr>
                <w:rFonts w:ascii="Times New Roman" w:hAnsi="Times New Roman"/>
              </w:rPr>
              <w:t>неуральск, Каменск-Уральский</w:t>
            </w:r>
          </w:p>
        </w:tc>
      </w:tr>
      <w:tr w:rsidR="001718D4" w14:paraId="39F41409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3298083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4200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D808ED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7F5561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Североуральск, Серов</w:t>
            </w:r>
          </w:p>
        </w:tc>
      </w:tr>
      <w:tr w:rsidR="001718D4" w14:paraId="0F048A9E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63B15DC8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4250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2667AA8F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206EED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Краснотурьинск</w:t>
            </w:r>
          </w:p>
        </w:tc>
      </w:tr>
      <w:tr w:rsidR="001718D4" w14:paraId="4126E72D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3C4675F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1200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7629334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A1898F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Каменск-Уральский</w:t>
            </w:r>
          </w:p>
        </w:tc>
      </w:tr>
      <w:tr w:rsidR="001718D4" w14:paraId="7634B260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0C7F73F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2015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1091145E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8C705C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</w:t>
            </w:r>
          </w:p>
        </w:tc>
      </w:tr>
      <w:tr w:rsidR="001718D4" w14:paraId="7C73A0F3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5EABF0F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HP </w:t>
            </w:r>
            <w:proofErr w:type="spellStart"/>
            <w:r>
              <w:rPr>
                <w:rFonts w:ascii="Times New Roman" w:hAnsi="Times New Roman"/>
              </w:rPr>
              <w:t>LaserJet</w:t>
            </w:r>
            <w:proofErr w:type="spellEnd"/>
            <w:r>
              <w:rPr>
                <w:rFonts w:ascii="Times New Roman" w:hAnsi="Times New Roman"/>
              </w:rPr>
              <w:t xml:space="preserve"> 3390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5489A7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4D597894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Каменск-Уральский</w:t>
            </w:r>
          </w:p>
        </w:tc>
      </w:tr>
      <w:tr w:rsidR="001718D4" w14:paraId="0022FDC2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7AF28CA6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Brother</w:t>
            </w:r>
            <w:proofErr w:type="spellEnd"/>
            <w:r>
              <w:rPr>
                <w:rFonts w:ascii="Times New Roman" w:hAnsi="Times New Roman"/>
              </w:rPr>
              <w:t xml:space="preserve"> L2700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460ABE9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53F155B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Управление, </w:t>
            </w:r>
            <w:proofErr w:type="spellStart"/>
            <w:r>
              <w:rPr>
                <w:rFonts w:ascii="Times New Roman" w:hAnsi="Times New Roman"/>
              </w:rPr>
              <w:t>Н.Серги</w:t>
            </w:r>
            <w:proofErr w:type="spellEnd"/>
            <w:r>
              <w:rPr>
                <w:rFonts w:ascii="Times New Roman" w:hAnsi="Times New Roman"/>
              </w:rPr>
              <w:t>, Каменск-Уральский</w:t>
            </w:r>
          </w:p>
        </w:tc>
      </w:tr>
      <w:tr w:rsidR="001718D4" w14:paraId="04663F58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596DA9B5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Brother</w:t>
            </w:r>
            <w:proofErr w:type="spellEnd"/>
            <w:r>
              <w:rPr>
                <w:rFonts w:ascii="Times New Roman" w:hAnsi="Times New Roman"/>
              </w:rPr>
              <w:t xml:space="preserve"> L2540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5F14615D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E8287E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Североуральск</w:t>
            </w:r>
          </w:p>
        </w:tc>
      </w:tr>
      <w:tr w:rsidR="001718D4" w14:paraId="5D55B8D7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6198D714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Brother</w:t>
            </w:r>
            <w:proofErr w:type="spellEnd"/>
            <w:r>
              <w:rPr>
                <w:rFonts w:ascii="Times New Roman" w:hAnsi="Times New Roman"/>
              </w:rPr>
              <w:t xml:space="preserve"> L2300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3F7FF86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B685A1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</w:t>
            </w:r>
          </w:p>
        </w:tc>
      </w:tr>
      <w:tr w:rsidR="001718D4" w14:paraId="134D97B0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3CA0F3B0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Brother</w:t>
            </w:r>
            <w:proofErr w:type="spellEnd"/>
            <w:r>
              <w:rPr>
                <w:rFonts w:ascii="Times New Roman" w:hAnsi="Times New Roman"/>
              </w:rPr>
              <w:t xml:space="preserve"> L5100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05B169C7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Принтер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0233ABA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</w:t>
            </w:r>
          </w:p>
        </w:tc>
      </w:tr>
      <w:tr w:rsidR="001718D4" w14:paraId="12BBD8B3" w14:textId="77777777"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22C1093E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Ricoh</w:t>
            </w:r>
            <w:proofErr w:type="spellEnd"/>
            <w:r>
              <w:rPr>
                <w:rFonts w:ascii="Times New Roman" w:hAnsi="Times New Roman"/>
              </w:rPr>
              <w:t xml:space="preserve"> SP325SNw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628C52E2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3C548D41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Серов, Краснотурьинск</w:t>
            </w:r>
          </w:p>
        </w:tc>
      </w:tr>
      <w:tr w:rsidR="001718D4" w14:paraId="7E24B3FD" w14:textId="77777777">
        <w:trPr>
          <w:trHeight w:val="334"/>
        </w:trPr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4B74F596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proofErr w:type="spellStart"/>
            <w:r>
              <w:rPr>
                <w:rFonts w:ascii="Times New Roman" w:hAnsi="Times New Roman"/>
              </w:rPr>
              <w:t>Samsung</w:t>
            </w:r>
            <w:proofErr w:type="spellEnd"/>
            <w:r>
              <w:rPr>
                <w:rFonts w:ascii="Times New Roman" w:hAnsi="Times New Roman"/>
              </w:rPr>
              <w:t xml:space="preserve"> SCX-4824FN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60FE5BE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1919642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Краснотурьинск</w:t>
            </w:r>
          </w:p>
        </w:tc>
      </w:tr>
      <w:tr w:rsidR="001718D4" w14:paraId="2A497B24" w14:textId="77777777">
        <w:trPr>
          <w:trHeight w:val="334"/>
        </w:trPr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6119E01A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МФУ </w:t>
            </w:r>
            <w:proofErr w:type="spellStart"/>
            <w:r>
              <w:rPr>
                <w:rFonts w:ascii="Times New Roman" w:hAnsi="Times New Roman"/>
              </w:rPr>
              <w:t>Ricoh</w:t>
            </w:r>
            <w:proofErr w:type="spellEnd"/>
            <w:r>
              <w:rPr>
                <w:rFonts w:ascii="Times New Roman" w:hAnsi="Times New Roman"/>
              </w:rPr>
              <w:t xml:space="preserve"> SP 230SFNw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38B73491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67686076" w14:textId="121F2B3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Управление</w:t>
            </w:r>
          </w:p>
        </w:tc>
      </w:tr>
      <w:tr w:rsidR="001718D4" w14:paraId="7712923D" w14:textId="77777777">
        <w:trPr>
          <w:trHeight w:val="334"/>
        </w:trPr>
        <w:tc>
          <w:tcPr>
            <w:tcW w:w="3975" w:type="dxa"/>
            <w:tcBorders>
              <w:left w:val="single" w:sz="2" w:space="0" w:color="000000"/>
              <w:bottom w:val="single" w:sz="2" w:space="0" w:color="000000"/>
            </w:tcBorders>
          </w:tcPr>
          <w:p w14:paraId="6005D99C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МФУ </w:t>
            </w:r>
            <w:proofErr w:type="spellStart"/>
            <w:r>
              <w:rPr>
                <w:rFonts w:ascii="Times New Roman" w:hAnsi="Times New Roman"/>
              </w:rPr>
              <w:t>Avision</w:t>
            </w:r>
            <w:proofErr w:type="spellEnd"/>
            <w:r>
              <w:rPr>
                <w:rFonts w:ascii="Times New Roman" w:hAnsi="Times New Roman"/>
              </w:rPr>
              <w:t xml:space="preserve"> AM30A</w:t>
            </w:r>
          </w:p>
        </w:tc>
        <w:tc>
          <w:tcPr>
            <w:tcW w:w="1185" w:type="dxa"/>
            <w:tcBorders>
              <w:left w:val="single" w:sz="2" w:space="0" w:color="000000"/>
              <w:bottom w:val="single" w:sz="2" w:space="0" w:color="000000"/>
            </w:tcBorders>
          </w:tcPr>
          <w:p w14:paraId="5B7A2517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МФУ</w:t>
            </w:r>
          </w:p>
        </w:tc>
        <w:tc>
          <w:tcPr>
            <w:tcW w:w="4200" w:type="dxa"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77EDC103" w14:textId="77777777" w:rsidR="001718D4" w:rsidRDefault="0019302C">
            <w:pPr>
              <w:pStyle w:val="a9"/>
              <w:spacing w:line="276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Екатеринбург</w:t>
            </w:r>
            <w:r>
              <w:rPr>
                <w:rFonts w:ascii="Times New Roman" w:hAnsi="Times New Roman"/>
              </w:rPr>
              <w:t>,</w:t>
            </w:r>
            <w:r>
              <w:rPr>
                <w:rFonts w:ascii="Times New Roman" w:hAnsi="Times New Roman"/>
              </w:rPr>
              <w:t xml:space="preserve"> </w:t>
            </w:r>
            <w:r>
              <w:rPr>
                <w:rFonts w:ascii="Times New Roman" w:hAnsi="Times New Roman"/>
              </w:rPr>
              <w:t>Каменск-Уральский</w:t>
            </w:r>
          </w:p>
        </w:tc>
      </w:tr>
    </w:tbl>
    <w:p w14:paraId="1E811BA2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p w14:paraId="5A0DD7DD" w14:textId="77777777" w:rsidR="001718D4" w:rsidRDefault="001718D4">
      <w:pPr>
        <w:spacing w:line="276" w:lineRule="auto"/>
        <w:ind w:firstLine="709"/>
        <w:jc w:val="both"/>
        <w:rPr>
          <w:rFonts w:ascii="Times New Roman" w:hAnsi="Times New Roman"/>
        </w:rPr>
      </w:pPr>
    </w:p>
    <w:sectPr w:rsidR="001718D4">
      <w:pgSz w:w="11906" w:h="16838"/>
      <w:pgMar w:top="1134" w:right="847" w:bottom="1134" w:left="1701" w:header="0" w:footer="0" w:gutter="0"/>
      <w:cols w:space="720"/>
      <w:formProt w:val="0"/>
      <w:docGrid w:linePitch="360" w:charSpace="2457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Liberation Serif">
    <w:altName w:val="Times New Roman"/>
    <w:panose1 w:val="02020603050405020304"/>
    <w:charset w:val="01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20B0604020202020204"/>
    <w:charset w:val="01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Noto Sans CJK SC">
    <w:panose1 w:val="00000000000000000000"/>
    <w:charset w:val="00"/>
    <w:family w:val="roman"/>
    <w:notTrueType/>
    <w:pitch w:val="default"/>
  </w:font>
  <w:font w:name="Lohit Devanagari">
    <w:altName w:val="Cambria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/>
  <w:defaultTabStop w:val="709"/>
  <w:autoHyphenation/>
  <w:characterSpacingControl w:val="doNotCompress"/>
  <w:compat>
    <w:doNotBreakWrappedTables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1718D4"/>
    <w:rsid w:val="001718D4"/>
    <w:rsid w:val="001930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52E29E"/>
  <w15:docId w15:val="{3D1BDDB7-2389-4027-BBA4-0B6804F1BB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Liberation Serif" w:eastAsia="NSimSun" w:hAnsi="Liberation Serif" w:cs="Lucida Sans"/>
        <w:kern w:val="2"/>
        <w:sz w:val="24"/>
        <w:szCs w:val="24"/>
        <w:lang w:val="ru-RU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overflowPunct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Символ нумерации"/>
    <w:qFormat/>
  </w:style>
  <w:style w:type="paragraph" w:styleId="a4">
    <w:name w:val="Title"/>
    <w:basedOn w:val="a"/>
    <w:next w:val="a5"/>
    <w:uiPriority w:val="10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a5">
    <w:name w:val="Body Text"/>
    <w:basedOn w:val="a"/>
    <w:pPr>
      <w:spacing w:after="140" w:line="276" w:lineRule="auto"/>
    </w:pPr>
  </w:style>
  <w:style w:type="paragraph" w:styleId="a6">
    <w:name w:val="List"/>
    <w:basedOn w:val="a5"/>
  </w:style>
  <w:style w:type="paragraph" w:styleId="a7">
    <w:name w:val="caption"/>
    <w:basedOn w:val="a"/>
    <w:qFormat/>
    <w:pPr>
      <w:suppressLineNumbers/>
      <w:spacing w:before="120" w:after="120"/>
    </w:pPr>
    <w:rPr>
      <w:i/>
      <w:iCs/>
    </w:rPr>
  </w:style>
  <w:style w:type="paragraph" w:styleId="a8">
    <w:name w:val="index heading"/>
    <w:basedOn w:val="a"/>
    <w:qFormat/>
    <w:pPr>
      <w:suppressLineNumbers/>
    </w:pPr>
  </w:style>
  <w:style w:type="paragraph" w:customStyle="1" w:styleId="user">
    <w:name w:val="Заголовок (user)"/>
    <w:basedOn w:val="a"/>
    <w:next w:val="a5"/>
    <w:qFormat/>
    <w:pPr>
      <w:keepNext/>
      <w:spacing w:before="240" w:after="120"/>
    </w:pPr>
    <w:rPr>
      <w:rFonts w:ascii="Liberation Sans" w:eastAsia="Noto Sans CJK SC" w:hAnsi="Liberation Sans" w:cs="Lohit Devanagari"/>
      <w:sz w:val="28"/>
      <w:szCs w:val="28"/>
    </w:rPr>
  </w:style>
  <w:style w:type="paragraph" w:customStyle="1" w:styleId="user0">
    <w:name w:val="Указатель (user)"/>
    <w:basedOn w:val="a"/>
    <w:qFormat/>
    <w:pPr>
      <w:suppressLineNumbers/>
    </w:pPr>
    <w:rPr>
      <w:rFonts w:cs="Lohit Devanagari"/>
    </w:rPr>
  </w:style>
  <w:style w:type="paragraph" w:customStyle="1" w:styleId="a9">
    <w:name w:val="Содержимое таблицы"/>
    <w:basedOn w:val="a"/>
    <w:qFormat/>
    <w:pPr>
      <w:widowControl w:val="0"/>
      <w:suppressLineNumbers/>
    </w:pPr>
  </w:style>
  <w:style w:type="paragraph" w:customStyle="1" w:styleId="31">
    <w:name w:val="Основной текст с отступом 31"/>
    <w:basedOn w:val="a"/>
    <w:qFormat/>
    <w:pPr>
      <w:spacing w:after="120"/>
      <w:ind w:left="283"/>
    </w:pPr>
    <w:rPr>
      <w:sz w:val="16"/>
      <w:szCs w:val="16"/>
    </w:rPr>
  </w:style>
  <w:style w:type="paragraph" w:customStyle="1" w:styleId="aa">
    <w:name w:val="Заголовок таблицы"/>
    <w:basedOn w:val="a9"/>
    <w:qFormat/>
    <w:pPr>
      <w:jc w:val="center"/>
    </w:pPr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/>
        <a:ea typeface="DejaVu Sans"/>
        <a:cs typeface="DejaVu Sans"/>
      </a:majorFont>
      <a:minorFont>
        <a:latin typeface="Arial"/>
        <a:ea typeface="DejaVu Sans"/>
        <a:cs typeface="DejaVu Sans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167</TotalTime>
  <Pages>7</Pages>
  <Words>1824</Words>
  <Characters>10398</Characters>
  <Application>Microsoft Office Word</Application>
  <DocSecurity>0</DocSecurity>
  <Lines>86</Lines>
  <Paragraphs>24</Paragraphs>
  <ScaleCrop>false</ScaleCrop>
  <Company/>
  <LinksUpToDate>false</LinksUpToDate>
  <CharactersWithSpaces>12198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Яскевич Сергей Константинович</cp:lastModifiedBy>
  <cp:revision>37</cp:revision>
  <dcterms:created xsi:type="dcterms:W3CDTF">2021-11-15T16:16:00Z</dcterms:created>
  <dcterms:modified xsi:type="dcterms:W3CDTF">2026-06-22T06:59:00Z</dcterms:modified>
  <dc:language>ru-RU</dc:language>
</cp:coreProperties>
</file>