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228A4" w14:textId="5DEC860D" w:rsidR="005C4F6E" w:rsidRPr="00C57B61" w:rsidRDefault="00A36E68" w:rsidP="00C57B6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7B61">
        <w:rPr>
          <w:rFonts w:ascii="Times New Roman" w:hAnsi="Times New Roman" w:cs="Times New Roman"/>
          <w:b/>
        </w:rPr>
        <w:t>Техническ</w:t>
      </w:r>
      <w:r w:rsidR="00C57B61" w:rsidRPr="00C57B61">
        <w:rPr>
          <w:rFonts w:ascii="Times New Roman" w:hAnsi="Times New Roman" w:cs="Times New Roman"/>
          <w:b/>
        </w:rPr>
        <w:t>ое задание</w:t>
      </w:r>
    </w:p>
    <w:p w14:paraId="00CE0DA0" w14:textId="6912B2B3" w:rsidR="00F512B7" w:rsidRPr="00C57B61" w:rsidRDefault="00C57B61" w:rsidP="00C57B61">
      <w:pPr>
        <w:pStyle w:val="a3"/>
        <w:tabs>
          <w:tab w:val="left" w:pos="284"/>
        </w:tabs>
        <w:suppressAutoHyphens/>
        <w:ind w:firstLine="0"/>
        <w:rPr>
          <w:szCs w:val="22"/>
        </w:rPr>
      </w:pPr>
      <w:r w:rsidRPr="00C57B61">
        <w:rPr>
          <w:szCs w:val="22"/>
        </w:rPr>
        <w:t>на у</w:t>
      </w:r>
      <w:r w:rsidR="00F512B7" w:rsidRPr="00C57B61">
        <w:rPr>
          <w:szCs w:val="22"/>
        </w:rPr>
        <w:t>слуги по веде‌﻿‍‍‌​​​‍​​﻿‍﻿​﻿​‌﻿‍‍‌​​​​‍‌‍​​‍‌​⁠‌​​⁠﻿⁠﻿‍‍нию бухгалтерского, финансового и налогового учета</w:t>
      </w:r>
    </w:p>
    <w:p w14:paraId="0D5E7EA8" w14:textId="4974DD32" w:rsidR="00C57B61" w:rsidRDefault="00C57B61" w:rsidP="00C57B61">
      <w:pPr>
        <w:pStyle w:val="a3"/>
        <w:tabs>
          <w:tab w:val="left" w:pos="284"/>
        </w:tabs>
        <w:suppressAutoHyphens/>
        <w:ind w:firstLine="0"/>
        <w:rPr>
          <w:szCs w:val="22"/>
        </w:rPr>
      </w:pPr>
    </w:p>
    <w:tbl>
      <w:tblPr>
        <w:tblStyle w:val="a5"/>
        <w:tblW w:w="10225" w:type="dxa"/>
        <w:tblLook w:val="04A0" w:firstRow="1" w:lastRow="0" w:firstColumn="1" w:lastColumn="0" w:noHBand="0" w:noVBand="1"/>
      </w:tblPr>
      <w:tblGrid>
        <w:gridCol w:w="670"/>
        <w:gridCol w:w="1517"/>
        <w:gridCol w:w="3195"/>
        <w:gridCol w:w="1258"/>
        <w:gridCol w:w="1693"/>
        <w:gridCol w:w="1878"/>
        <w:gridCol w:w="14"/>
      </w:tblGrid>
      <w:tr w:rsidR="00C57B61" w:rsidRPr="00C57B61" w14:paraId="6AD6E265" w14:textId="77777777" w:rsidTr="00C57B61">
        <w:trPr>
          <w:trHeight w:val="345"/>
        </w:trPr>
        <w:tc>
          <w:tcPr>
            <w:tcW w:w="670" w:type="dxa"/>
            <w:vMerge w:val="restart"/>
            <w:hideMark/>
          </w:tcPr>
          <w:p w14:paraId="062AE53D" w14:textId="71E8B80F" w:rsidR="00C57B61" w:rsidRPr="00C57B61" w:rsidRDefault="00C57B61" w:rsidP="00C57B61">
            <w:pPr>
              <w:pStyle w:val="a3"/>
              <w:tabs>
                <w:tab w:val="left" w:pos="284"/>
              </w:tabs>
              <w:suppressAutoHyphens/>
              <w:ind w:firstLine="22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1517" w:type="dxa"/>
            <w:vMerge w:val="restart"/>
            <w:hideMark/>
          </w:tcPr>
          <w:p w14:paraId="36A8FE26" w14:textId="77777777" w:rsidR="00C57B61" w:rsidRPr="00C57B61" w:rsidRDefault="00C57B61" w:rsidP="00C57B61">
            <w:pPr>
              <w:pStyle w:val="a3"/>
              <w:tabs>
                <w:tab w:val="left" w:pos="284"/>
              </w:tabs>
              <w:suppressAutoHyphens/>
              <w:ind w:firstLine="22"/>
              <w:rPr>
                <w:bCs/>
              </w:rPr>
            </w:pPr>
            <w:r w:rsidRPr="00C57B61">
              <w:rPr>
                <w:bCs/>
              </w:rPr>
              <w:t>Код</w:t>
            </w:r>
          </w:p>
        </w:tc>
        <w:tc>
          <w:tcPr>
            <w:tcW w:w="3195" w:type="dxa"/>
            <w:vMerge w:val="restart"/>
            <w:hideMark/>
          </w:tcPr>
          <w:p w14:paraId="0C2AB8FF" w14:textId="77777777" w:rsidR="00C57B61" w:rsidRPr="00C57B61" w:rsidRDefault="00C57B61" w:rsidP="00C57B61">
            <w:pPr>
              <w:pStyle w:val="a3"/>
              <w:tabs>
                <w:tab w:val="left" w:pos="284"/>
              </w:tabs>
              <w:suppressAutoHyphens/>
              <w:ind w:firstLine="22"/>
              <w:rPr>
                <w:bCs/>
              </w:rPr>
            </w:pPr>
            <w:r w:rsidRPr="00C57B61">
              <w:rPr>
                <w:bCs/>
              </w:rPr>
              <w:t>Наименование</w:t>
            </w:r>
          </w:p>
        </w:tc>
        <w:tc>
          <w:tcPr>
            <w:tcW w:w="4843" w:type="dxa"/>
            <w:gridSpan w:val="4"/>
            <w:hideMark/>
          </w:tcPr>
          <w:p w14:paraId="5E07C329" w14:textId="77777777" w:rsidR="00C57B61" w:rsidRPr="00C57B61" w:rsidRDefault="00C57B61" w:rsidP="00C57B61">
            <w:pPr>
              <w:pStyle w:val="a3"/>
              <w:tabs>
                <w:tab w:val="left" w:pos="284"/>
              </w:tabs>
              <w:suppressAutoHyphens/>
              <w:ind w:firstLine="22"/>
              <w:rPr>
                <w:bCs/>
              </w:rPr>
            </w:pPr>
            <w:r w:rsidRPr="00C57B61">
              <w:rPr>
                <w:bCs/>
              </w:rPr>
              <w:t>Национальный режим</w:t>
            </w:r>
          </w:p>
        </w:tc>
      </w:tr>
      <w:tr w:rsidR="00C57B61" w:rsidRPr="00C57B61" w14:paraId="394424BD" w14:textId="77777777" w:rsidTr="00C57B61">
        <w:trPr>
          <w:gridAfter w:val="1"/>
          <w:wAfter w:w="14" w:type="dxa"/>
          <w:trHeight w:val="345"/>
        </w:trPr>
        <w:tc>
          <w:tcPr>
            <w:tcW w:w="670" w:type="dxa"/>
            <w:vMerge/>
            <w:hideMark/>
          </w:tcPr>
          <w:p w14:paraId="50B8291D" w14:textId="77777777" w:rsidR="00C57B61" w:rsidRPr="00C57B61" w:rsidRDefault="00C57B61" w:rsidP="00C57B61">
            <w:pPr>
              <w:pStyle w:val="a3"/>
              <w:tabs>
                <w:tab w:val="left" w:pos="284"/>
              </w:tabs>
              <w:suppressAutoHyphens/>
              <w:ind w:firstLine="22"/>
              <w:rPr>
                <w:bCs/>
              </w:rPr>
            </w:pPr>
          </w:p>
        </w:tc>
        <w:tc>
          <w:tcPr>
            <w:tcW w:w="1517" w:type="dxa"/>
            <w:vMerge/>
            <w:hideMark/>
          </w:tcPr>
          <w:p w14:paraId="440E1115" w14:textId="77777777" w:rsidR="00C57B61" w:rsidRPr="00C57B61" w:rsidRDefault="00C57B61" w:rsidP="00C57B61">
            <w:pPr>
              <w:pStyle w:val="a3"/>
              <w:tabs>
                <w:tab w:val="left" w:pos="284"/>
              </w:tabs>
              <w:suppressAutoHyphens/>
              <w:ind w:firstLine="22"/>
              <w:rPr>
                <w:bCs/>
              </w:rPr>
            </w:pPr>
          </w:p>
        </w:tc>
        <w:tc>
          <w:tcPr>
            <w:tcW w:w="3195" w:type="dxa"/>
            <w:vMerge/>
            <w:hideMark/>
          </w:tcPr>
          <w:p w14:paraId="6AB21A68" w14:textId="77777777" w:rsidR="00C57B61" w:rsidRPr="00C57B61" w:rsidRDefault="00C57B61" w:rsidP="00C57B61">
            <w:pPr>
              <w:pStyle w:val="a3"/>
              <w:tabs>
                <w:tab w:val="left" w:pos="284"/>
              </w:tabs>
              <w:suppressAutoHyphens/>
              <w:ind w:firstLine="22"/>
              <w:rPr>
                <w:bCs/>
              </w:rPr>
            </w:pPr>
          </w:p>
        </w:tc>
        <w:tc>
          <w:tcPr>
            <w:tcW w:w="1258" w:type="dxa"/>
            <w:hideMark/>
          </w:tcPr>
          <w:p w14:paraId="4DAC086F" w14:textId="77777777" w:rsidR="00C57B61" w:rsidRPr="00C57B61" w:rsidRDefault="00C57B61" w:rsidP="00C57B61">
            <w:pPr>
              <w:pStyle w:val="a3"/>
              <w:tabs>
                <w:tab w:val="left" w:pos="284"/>
              </w:tabs>
              <w:suppressAutoHyphens/>
              <w:ind w:firstLine="22"/>
              <w:rPr>
                <w:bCs/>
              </w:rPr>
            </w:pPr>
            <w:r w:rsidRPr="00C57B61">
              <w:rPr>
                <w:bCs/>
              </w:rPr>
              <w:t>1875 (Запрет)</w:t>
            </w:r>
          </w:p>
        </w:tc>
        <w:tc>
          <w:tcPr>
            <w:tcW w:w="1693" w:type="dxa"/>
            <w:hideMark/>
          </w:tcPr>
          <w:p w14:paraId="5BCC5F71" w14:textId="77777777" w:rsidR="00C57B61" w:rsidRPr="00C57B61" w:rsidRDefault="00C57B61" w:rsidP="00C57B61">
            <w:pPr>
              <w:pStyle w:val="a3"/>
              <w:tabs>
                <w:tab w:val="left" w:pos="284"/>
              </w:tabs>
              <w:suppressAutoHyphens/>
              <w:ind w:firstLine="22"/>
              <w:rPr>
                <w:bCs/>
              </w:rPr>
            </w:pPr>
            <w:r w:rsidRPr="00C57B61">
              <w:rPr>
                <w:bCs/>
              </w:rPr>
              <w:t>1875 (Ограничение)</w:t>
            </w:r>
          </w:p>
        </w:tc>
        <w:tc>
          <w:tcPr>
            <w:tcW w:w="1878" w:type="dxa"/>
            <w:hideMark/>
          </w:tcPr>
          <w:p w14:paraId="4A765914" w14:textId="77777777" w:rsidR="00C57B61" w:rsidRPr="00C57B61" w:rsidRDefault="00C57B61" w:rsidP="00C57B61">
            <w:pPr>
              <w:pStyle w:val="a3"/>
              <w:tabs>
                <w:tab w:val="left" w:pos="284"/>
              </w:tabs>
              <w:suppressAutoHyphens/>
              <w:ind w:firstLine="22"/>
              <w:rPr>
                <w:bCs/>
              </w:rPr>
            </w:pPr>
            <w:r w:rsidRPr="00C57B61">
              <w:rPr>
                <w:bCs/>
              </w:rPr>
              <w:t>1875 (Преимущество)</w:t>
            </w:r>
          </w:p>
        </w:tc>
      </w:tr>
      <w:tr w:rsidR="00C57B61" w:rsidRPr="00C57B61" w14:paraId="509DBB1A" w14:textId="77777777" w:rsidTr="00C57B61">
        <w:trPr>
          <w:gridAfter w:val="1"/>
          <w:wAfter w:w="14" w:type="dxa"/>
          <w:trHeight w:val="315"/>
        </w:trPr>
        <w:tc>
          <w:tcPr>
            <w:tcW w:w="670" w:type="dxa"/>
            <w:hideMark/>
          </w:tcPr>
          <w:p w14:paraId="064243A6" w14:textId="77777777" w:rsidR="00C57B61" w:rsidRPr="00C57B61" w:rsidRDefault="00C57B61" w:rsidP="00C57B61">
            <w:pPr>
              <w:pStyle w:val="a3"/>
              <w:tabs>
                <w:tab w:val="left" w:pos="284"/>
              </w:tabs>
              <w:suppressAutoHyphens/>
              <w:ind w:firstLine="22"/>
              <w:rPr>
                <w:b w:val="0"/>
                <w:bCs/>
              </w:rPr>
            </w:pPr>
            <w:r w:rsidRPr="00C57B61">
              <w:rPr>
                <w:b w:val="0"/>
                <w:bCs/>
              </w:rPr>
              <w:t>1</w:t>
            </w:r>
          </w:p>
        </w:tc>
        <w:tc>
          <w:tcPr>
            <w:tcW w:w="1517" w:type="dxa"/>
            <w:hideMark/>
          </w:tcPr>
          <w:p w14:paraId="3729FABE" w14:textId="77777777" w:rsidR="00C57B61" w:rsidRPr="00C57B61" w:rsidRDefault="00C57B61" w:rsidP="00C57B61">
            <w:pPr>
              <w:pStyle w:val="a3"/>
              <w:tabs>
                <w:tab w:val="left" w:pos="284"/>
              </w:tabs>
              <w:suppressAutoHyphens/>
              <w:ind w:firstLine="22"/>
              <w:rPr>
                <w:b w:val="0"/>
                <w:bCs/>
              </w:rPr>
            </w:pPr>
            <w:r w:rsidRPr="00C57B61">
              <w:rPr>
                <w:b w:val="0"/>
                <w:bCs/>
              </w:rPr>
              <w:t>69.20.29.000</w:t>
            </w:r>
          </w:p>
        </w:tc>
        <w:tc>
          <w:tcPr>
            <w:tcW w:w="3195" w:type="dxa"/>
            <w:hideMark/>
          </w:tcPr>
          <w:p w14:paraId="608510C8" w14:textId="77777777" w:rsidR="00C57B61" w:rsidRPr="00C57B61" w:rsidRDefault="00C57B61" w:rsidP="00C57B61">
            <w:pPr>
              <w:pStyle w:val="a3"/>
              <w:tabs>
                <w:tab w:val="left" w:pos="284"/>
              </w:tabs>
              <w:suppressAutoHyphens/>
              <w:ind w:firstLine="22"/>
              <w:rPr>
                <w:b w:val="0"/>
                <w:bCs/>
              </w:rPr>
            </w:pPr>
            <w:r w:rsidRPr="00C57B61">
              <w:rPr>
                <w:b w:val="0"/>
                <w:bCs/>
              </w:rPr>
              <w:t>Услуги по ведению бухгалтерского, финансового и налогового учета</w:t>
            </w:r>
          </w:p>
        </w:tc>
        <w:tc>
          <w:tcPr>
            <w:tcW w:w="1258" w:type="dxa"/>
            <w:hideMark/>
          </w:tcPr>
          <w:p w14:paraId="6BE1A69D" w14:textId="77777777" w:rsidR="00C57B61" w:rsidRPr="00C57B61" w:rsidRDefault="00C57B61" w:rsidP="00C57B61">
            <w:pPr>
              <w:pStyle w:val="a3"/>
              <w:tabs>
                <w:tab w:val="left" w:pos="284"/>
              </w:tabs>
              <w:suppressAutoHyphens/>
              <w:ind w:firstLine="22"/>
              <w:rPr>
                <w:b w:val="0"/>
                <w:bCs/>
              </w:rPr>
            </w:pPr>
            <w:r w:rsidRPr="00C57B61">
              <w:rPr>
                <w:rFonts w:ascii="Segoe UI Symbol" w:hAnsi="Segoe UI Symbol" w:cs="Segoe UI Symbol"/>
                <w:b w:val="0"/>
                <w:bCs/>
              </w:rPr>
              <w:t>✓</w:t>
            </w:r>
          </w:p>
        </w:tc>
        <w:tc>
          <w:tcPr>
            <w:tcW w:w="1693" w:type="dxa"/>
            <w:hideMark/>
          </w:tcPr>
          <w:p w14:paraId="4AC1CCB2" w14:textId="77777777" w:rsidR="00C57B61" w:rsidRPr="00C57B61" w:rsidRDefault="00C57B61" w:rsidP="00C57B61">
            <w:pPr>
              <w:pStyle w:val="a3"/>
              <w:tabs>
                <w:tab w:val="left" w:pos="284"/>
              </w:tabs>
              <w:suppressAutoHyphens/>
              <w:ind w:firstLine="22"/>
              <w:rPr>
                <w:b w:val="0"/>
                <w:bCs/>
              </w:rPr>
            </w:pPr>
          </w:p>
        </w:tc>
        <w:tc>
          <w:tcPr>
            <w:tcW w:w="1878" w:type="dxa"/>
            <w:hideMark/>
          </w:tcPr>
          <w:p w14:paraId="07D6A5A7" w14:textId="77777777" w:rsidR="00C57B61" w:rsidRPr="00C57B61" w:rsidRDefault="00C57B61" w:rsidP="00C57B61">
            <w:pPr>
              <w:pStyle w:val="a3"/>
              <w:tabs>
                <w:tab w:val="left" w:pos="284"/>
              </w:tabs>
              <w:suppressAutoHyphens/>
              <w:ind w:firstLine="22"/>
              <w:rPr>
                <w:b w:val="0"/>
                <w:bCs/>
              </w:rPr>
            </w:pPr>
          </w:p>
        </w:tc>
      </w:tr>
    </w:tbl>
    <w:p w14:paraId="39C29ED2" w14:textId="77777777" w:rsidR="00C57B61" w:rsidRPr="00C57B61" w:rsidRDefault="00C57B61" w:rsidP="00C57B61">
      <w:pPr>
        <w:pStyle w:val="a3"/>
        <w:tabs>
          <w:tab w:val="left" w:pos="284"/>
        </w:tabs>
        <w:suppressAutoHyphens/>
        <w:ind w:firstLine="0"/>
        <w:rPr>
          <w:szCs w:val="22"/>
        </w:rPr>
      </w:pPr>
    </w:p>
    <w:p w14:paraId="5CB84B1F" w14:textId="42DD9971" w:rsidR="00C57B61" w:rsidRPr="00C57B61" w:rsidRDefault="00C57B61" w:rsidP="00C57B61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bCs/>
          <w:iCs/>
          <w:szCs w:val="22"/>
        </w:rPr>
      </w:pPr>
      <w:r w:rsidRPr="00C57B61">
        <w:rPr>
          <w:bCs/>
          <w:iCs/>
          <w:szCs w:val="22"/>
        </w:rPr>
        <w:t>Объем услуг:</w:t>
      </w:r>
    </w:p>
    <w:p w14:paraId="7BED51C4" w14:textId="0E74D276" w:rsidR="00F512B7" w:rsidRPr="00C57B61" w:rsidRDefault="00C57B61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i/>
          <w:szCs w:val="22"/>
        </w:rPr>
      </w:pPr>
      <w:r w:rsidRPr="00C57B61">
        <w:rPr>
          <w:b w:val="0"/>
          <w:i/>
          <w:szCs w:val="22"/>
        </w:rPr>
        <w:t xml:space="preserve">1.1. </w:t>
      </w:r>
      <w:r w:rsidR="00F512B7" w:rsidRPr="00C57B61">
        <w:rPr>
          <w:b w:val="0"/>
          <w:i/>
          <w:szCs w:val="22"/>
        </w:rPr>
        <w:t>Контроль по вопросам:</w:t>
      </w:r>
    </w:p>
    <w:p w14:paraId="5A66D792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текущего ведения бухгалтерского, налогового учета по всем регистрам;</w:t>
      </w:r>
    </w:p>
    <w:p w14:paraId="3668DBB9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оформления первичной документации по операциям бухгалтерского, налогового, складского учета:</w:t>
      </w:r>
    </w:p>
    <w:p w14:paraId="6FC22052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реализации услуг, товаров, материалов, основных средств;</w:t>
      </w:r>
    </w:p>
    <w:p w14:paraId="055EDB02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списания материалов, отнесения полученных услуг по статьям и объектам затрат, формирования статей расходов по объектам учета затрат;</w:t>
      </w:r>
    </w:p>
    <w:p w14:paraId="2304A0E3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расчетов с контрагентами;</w:t>
      </w:r>
    </w:p>
    <w:p w14:paraId="039CF10C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расчетов по подотчетным средствам;</w:t>
      </w:r>
    </w:p>
    <w:p w14:paraId="36D7FEE6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правильности ведения кассовых операций;</w:t>
      </w:r>
    </w:p>
    <w:p w14:paraId="175A9779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правильности проведения операций в 1С, которые вносит в программу не Исполнитель.</w:t>
      </w:r>
    </w:p>
    <w:p w14:paraId="0971AF3D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</w:p>
    <w:p w14:paraId="695C6610" w14:textId="3A169769" w:rsidR="00F512B7" w:rsidRPr="00C57B61" w:rsidRDefault="00C57B61" w:rsidP="00C57B61">
      <w:pPr>
        <w:pStyle w:val="a3"/>
        <w:tabs>
          <w:tab w:val="left" w:pos="284"/>
        </w:tabs>
        <w:suppressAutoHyphens/>
        <w:ind w:firstLine="0"/>
        <w:jc w:val="left"/>
        <w:rPr>
          <w:b w:val="0"/>
          <w:i/>
          <w:szCs w:val="22"/>
        </w:rPr>
      </w:pPr>
      <w:r w:rsidRPr="00C57B61">
        <w:rPr>
          <w:b w:val="0"/>
          <w:i/>
          <w:szCs w:val="22"/>
        </w:rPr>
        <w:t xml:space="preserve">1.2. </w:t>
      </w:r>
      <w:r w:rsidR="00F512B7" w:rsidRPr="00C57B61">
        <w:rPr>
          <w:b w:val="0"/>
          <w:i/>
          <w:szCs w:val="22"/>
        </w:rPr>
        <w:t>Проведение следующих операций в 1С:</w:t>
      </w:r>
    </w:p>
    <w:p w14:paraId="18C468C7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выгрузка и проведение выгруженных банковских выписок;</w:t>
      </w:r>
    </w:p>
    <w:p w14:paraId="41F46286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проведение поступления товаров, работ, услуг от поставщиков;</w:t>
      </w:r>
    </w:p>
    <w:p w14:paraId="57748C6A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распределение расходов по статьям и объектам, в целях соблюдения требования о раздельном учете хозяйственных операций;</w:t>
      </w:r>
    </w:p>
    <w:p w14:paraId="2D3BA144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учет основных средств: поступление, амортизация, выбытие;</w:t>
      </w:r>
    </w:p>
    <w:p w14:paraId="63A6709D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начисление заработной платы и налогов, взносов с фонда оплаты труда;</w:t>
      </w:r>
    </w:p>
    <w:p w14:paraId="033B18BF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начисление налогов (водный налог, УСН);</w:t>
      </w:r>
    </w:p>
    <w:p w14:paraId="0D310579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проведение бухгалтерских операций (операции вручную), отражение бухгалтерских справок в учете;</w:t>
      </w:r>
    </w:p>
    <w:p w14:paraId="2CAB9B46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начисление субсидии;</w:t>
      </w:r>
    </w:p>
    <w:p w14:paraId="4E708C42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начисление резервов, в соответствии с законодательством в области бухгалтерского учета;</w:t>
      </w:r>
    </w:p>
    <w:p w14:paraId="4EC1A7A4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проведение операций по закрытию месяца, года, реформация баланса;</w:t>
      </w:r>
    </w:p>
    <w:p w14:paraId="764910B2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>отражение прочих операций, сообразно необходимости проведения в учете организации, не затронутых должностными обязанностями других работников бухгалтерии.</w:t>
      </w:r>
    </w:p>
    <w:p w14:paraId="6C127FDC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</w:p>
    <w:p w14:paraId="1CC01D3A" w14:textId="2EB135F0" w:rsidR="00F512B7" w:rsidRPr="00C57B61" w:rsidRDefault="00F512B7" w:rsidP="00C57B61">
      <w:pPr>
        <w:pStyle w:val="a3"/>
        <w:numPr>
          <w:ilvl w:val="1"/>
          <w:numId w:val="1"/>
        </w:numPr>
        <w:tabs>
          <w:tab w:val="left" w:pos="284"/>
        </w:tabs>
        <w:suppressAutoHyphens/>
        <w:ind w:left="0" w:firstLine="0"/>
        <w:jc w:val="both"/>
        <w:rPr>
          <w:b w:val="0"/>
          <w:i/>
          <w:szCs w:val="22"/>
        </w:rPr>
      </w:pPr>
      <w:r w:rsidRPr="00C57B61">
        <w:rPr>
          <w:b w:val="0"/>
          <w:i/>
          <w:szCs w:val="22"/>
        </w:rPr>
        <w:t>Составление и сдача бухгалтерской, налоговой, статистической отчетности в органы инспекции ФНС, внебюджетные фонды, статистику в установленные законодательством сроки.</w:t>
      </w:r>
    </w:p>
    <w:p w14:paraId="112DE8C1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</w:p>
    <w:p w14:paraId="2946EDCF" w14:textId="60C96019" w:rsidR="00F512B7" w:rsidRPr="00C57B61" w:rsidRDefault="00C57B61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i/>
          <w:szCs w:val="22"/>
        </w:rPr>
      </w:pPr>
      <w:r w:rsidRPr="00C57B61">
        <w:rPr>
          <w:b w:val="0"/>
          <w:i/>
          <w:szCs w:val="22"/>
        </w:rPr>
        <w:t xml:space="preserve">1.4. </w:t>
      </w:r>
      <w:r w:rsidR="00F512B7" w:rsidRPr="00C57B61">
        <w:rPr>
          <w:b w:val="0"/>
          <w:i/>
          <w:szCs w:val="22"/>
        </w:rPr>
        <w:t>Работа с Управлением Алтайского края по государственному регулированию цен и тарифов, а именно:</w:t>
      </w:r>
    </w:p>
    <w:p w14:paraId="211DF2CC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 xml:space="preserve">подготовка пакета документов и защита тарифов на регулируемые виды деятельности; </w:t>
      </w:r>
    </w:p>
    <w:p w14:paraId="14F8325C" w14:textId="2B85CA05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  <w:r w:rsidRPr="00C57B61">
        <w:rPr>
          <w:b w:val="0"/>
          <w:szCs w:val="22"/>
        </w:rPr>
        <w:t>-</w:t>
      </w:r>
      <w:r w:rsidRPr="00C57B61">
        <w:rPr>
          <w:b w:val="0"/>
          <w:szCs w:val="22"/>
        </w:rPr>
        <w:tab/>
        <w:t xml:space="preserve">сдача отчетов </w:t>
      </w:r>
      <w:r w:rsidR="00C57B61" w:rsidRPr="00C57B61">
        <w:rPr>
          <w:b w:val="0"/>
          <w:szCs w:val="22"/>
        </w:rPr>
        <w:t>согласно графику</w:t>
      </w:r>
      <w:r w:rsidRPr="00C57B61">
        <w:rPr>
          <w:b w:val="0"/>
          <w:szCs w:val="22"/>
        </w:rPr>
        <w:t xml:space="preserve"> или уведомлений регулятора.</w:t>
      </w:r>
    </w:p>
    <w:p w14:paraId="10B0BA62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szCs w:val="22"/>
        </w:rPr>
      </w:pPr>
    </w:p>
    <w:p w14:paraId="66EAF59A" w14:textId="48D6AAD9" w:rsidR="00F512B7" w:rsidRPr="00C57B61" w:rsidRDefault="00C57B61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i/>
          <w:szCs w:val="22"/>
        </w:rPr>
      </w:pPr>
      <w:r w:rsidRPr="00C57B61">
        <w:rPr>
          <w:b w:val="0"/>
          <w:i/>
          <w:szCs w:val="22"/>
        </w:rPr>
        <w:t xml:space="preserve">1.5. </w:t>
      </w:r>
      <w:r w:rsidR="00F512B7" w:rsidRPr="00C57B61">
        <w:rPr>
          <w:b w:val="0"/>
          <w:i/>
          <w:szCs w:val="22"/>
        </w:rPr>
        <w:t>Подготовка и сдача отчетности по требованию Администрации муниципального образования муниципальный округ город Славгород Алтайского края.</w:t>
      </w:r>
    </w:p>
    <w:p w14:paraId="5EDCF108" w14:textId="77777777" w:rsidR="00F512B7" w:rsidRPr="00C57B61" w:rsidRDefault="00F512B7" w:rsidP="00C57B61">
      <w:pPr>
        <w:pStyle w:val="a3"/>
        <w:tabs>
          <w:tab w:val="left" w:pos="284"/>
        </w:tabs>
        <w:suppressAutoHyphens/>
        <w:ind w:firstLine="0"/>
        <w:jc w:val="both"/>
        <w:rPr>
          <w:b w:val="0"/>
          <w:i/>
          <w:szCs w:val="22"/>
        </w:rPr>
      </w:pPr>
      <w:r w:rsidRPr="00C57B61">
        <w:rPr>
          <w:b w:val="0"/>
          <w:i/>
          <w:szCs w:val="22"/>
        </w:rPr>
        <w:t>Расчет калькуляций, анализ издержек, анализ рентабельности и прочие экономические отчеты выполняются по запросу руководителя.</w:t>
      </w:r>
    </w:p>
    <w:p w14:paraId="5D17A2CF" w14:textId="77777777" w:rsidR="00F512B7" w:rsidRPr="00C57B61" w:rsidRDefault="00F512B7" w:rsidP="00C57B6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3BC8B2" w14:textId="77777777" w:rsidR="00C57B61" w:rsidRPr="00C57B61" w:rsidRDefault="00C57B61" w:rsidP="00C57B61">
      <w:pPr>
        <w:tabs>
          <w:tab w:val="left" w:pos="284"/>
          <w:tab w:val="left" w:pos="7836"/>
        </w:tabs>
        <w:spacing w:after="0" w:line="240" w:lineRule="auto"/>
        <w:jc w:val="both"/>
        <w:rPr>
          <w:rFonts w:ascii="Times New Roman" w:hAnsi="Times New Roman" w:cs="Times New Roman"/>
          <w:color w:val="000000"/>
          <w:highlight w:val="yellow"/>
        </w:rPr>
      </w:pPr>
      <w:r w:rsidRPr="00C57B61">
        <w:rPr>
          <w:rFonts w:ascii="Times New Roman" w:eastAsia="Calibri" w:hAnsi="Times New Roman" w:cs="Times New Roman"/>
          <w:b/>
          <w:bCs/>
          <w:highlight w:val="yellow"/>
        </w:rPr>
        <w:t>2. Срок оказания у</w:t>
      </w:r>
      <w:r w:rsidRPr="00C57B61">
        <w:rPr>
          <w:rFonts w:ascii="Times New Roman" w:hAnsi="Times New Roman" w:cs="Times New Roman"/>
          <w:b/>
          <w:bCs/>
          <w:color w:val="000000"/>
          <w:highlight w:val="yellow"/>
        </w:rPr>
        <w:t>слуг:</w:t>
      </w:r>
      <w:r w:rsidRPr="00C57B61">
        <w:rPr>
          <w:rFonts w:ascii="Times New Roman" w:hAnsi="Times New Roman" w:cs="Times New Roman"/>
          <w:color w:val="000000"/>
          <w:highlight w:val="yellow"/>
        </w:rPr>
        <w:t xml:space="preserve"> оказываются с 22.07.2026г. по 21.08.2026 г.</w:t>
      </w:r>
    </w:p>
    <w:p w14:paraId="1E8F4895" w14:textId="77777777" w:rsidR="00C57B61" w:rsidRPr="00C57B61" w:rsidRDefault="00C57B61" w:rsidP="00C57B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57B61">
        <w:rPr>
          <w:rFonts w:ascii="Times New Roman" w:hAnsi="Times New Roman" w:cs="Times New Roman"/>
          <w:b/>
          <w:bCs/>
          <w:color w:val="000000"/>
          <w:highlight w:val="yellow"/>
        </w:rPr>
        <w:t xml:space="preserve">3. Место оказания услуг: </w:t>
      </w:r>
      <w:r w:rsidRPr="00C57B61">
        <w:rPr>
          <w:rFonts w:ascii="Times New Roman" w:hAnsi="Times New Roman" w:cs="Times New Roman"/>
          <w:color w:val="000000"/>
          <w:highlight w:val="yellow"/>
        </w:rPr>
        <w:t>на территории заказчика по адресу: 658820, Алтайский край, г. Славгород, ул. Володарского 120</w:t>
      </w:r>
    </w:p>
    <w:p w14:paraId="79E02F87" w14:textId="77777777" w:rsidR="00C57B61" w:rsidRPr="00DD2614" w:rsidRDefault="00C57B61" w:rsidP="00C57B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D2614">
        <w:rPr>
          <w:rFonts w:ascii="Times New Roman" w:hAnsi="Times New Roman" w:cs="Times New Roman"/>
          <w:b/>
          <w:bCs/>
        </w:rPr>
        <w:t xml:space="preserve">4. Требования к качеству товаров, качественным (потребительским) свойствам товаров: </w:t>
      </w:r>
    </w:p>
    <w:p w14:paraId="288C3F1D" w14:textId="77777777" w:rsidR="00C57B61" w:rsidRPr="00C57B61" w:rsidRDefault="00C57B61" w:rsidP="00C57B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57B61">
        <w:rPr>
          <w:rFonts w:ascii="Times New Roman" w:hAnsi="Times New Roman" w:cs="Times New Roman"/>
          <w:bCs/>
          <w:iCs/>
        </w:rPr>
        <w:t xml:space="preserve">4.1. Оказываемые услуги по своему качеству должна соответствовать установленным стандартам качества на данный вид услуг. </w:t>
      </w:r>
    </w:p>
    <w:p w14:paraId="275DF2C2" w14:textId="77777777" w:rsidR="00C57B61" w:rsidRPr="00C57B61" w:rsidRDefault="00C57B61" w:rsidP="00C57B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57B61">
        <w:rPr>
          <w:rFonts w:ascii="Times New Roman" w:hAnsi="Times New Roman" w:cs="Times New Roman"/>
          <w:bCs/>
        </w:rPr>
        <w:lastRenderedPageBreak/>
        <w:t>4.3. Компетентность специалистов, оказывающих услуги, должны подтверждаться: дипломами об образовании, сертификатами, благодарственными письмами, положительными отзывами клиентов.</w:t>
      </w:r>
    </w:p>
    <w:p w14:paraId="5A36D14B" w14:textId="77777777" w:rsidR="00C57B61" w:rsidRPr="00C57B61" w:rsidRDefault="00C57B61" w:rsidP="00C57B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57B61">
        <w:rPr>
          <w:rFonts w:ascii="Times New Roman" w:hAnsi="Times New Roman" w:cs="Times New Roman"/>
          <w:bCs/>
        </w:rPr>
        <w:t xml:space="preserve">4.4. 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 w14:paraId="04081BC4" w14:textId="77777777" w:rsidR="00C57B61" w:rsidRPr="00C57B61" w:rsidRDefault="00C57B61" w:rsidP="00C57B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57B61">
        <w:rPr>
          <w:rFonts w:ascii="Times New Roman" w:hAnsi="Times New Roman" w:cs="Times New Roman"/>
          <w:b/>
          <w:bCs/>
        </w:rPr>
        <w:t xml:space="preserve">5. </w:t>
      </w:r>
      <w:r w:rsidRPr="00C57B61">
        <w:rPr>
          <w:rFonts w:ascii="Times New Roman" w:hAnsi="Times New Roman" w:cs="Times New Roman"/>
          <w:b/>
        </w:rPr>
        <w:t>Условия оказания услуг</w:t>
      </w:r>
      <w:r w:rsidRPr="00C57B61">
        <w:rPr>
          <w:rFonts w:ascii="Times New Roman" w:hAnsi="Times New Roman" w:cs="Times New Roman"/>
        </w:rPr>
        <w:t xml:space="preserve">: </w:t>
      </w:r>
    </w:p>
    <w:p w14:paraId="69A7539B" w14:textId="461DE8CC" w:rsidR="00167307" w:rsidRPr="00C57B61" w:rsidRDefault="00C57B61" w:rsidP="00C57B6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C57B61">
        <w:rPr>
          <w:rFonts w:ascii="Times New Roman" w:hAnsi="Times New Roman" w:cs="Times New Roman"/>
          <w:bCs/>
        </w:rPr>
        <w:t>5.1. Специалистов на место оказания услуг Исполнитель доставляет самостоятельно и за свой счет</w:t>
      </w:r>
    </w:p>
    <w:sectPr w:rsidR="00167307" w:rsidRPr="00C57B61" w:rsidSect="00C57B61">
      <w:pgSz w:w="11906" w:h="16838"/>
      <w:pgMar w:top="1134" w:right="850" w:bottom="993" w:left="1134" w:header="708" w:footer="708" w:gutter="0"/>
      <w:cols w:space="708"/>
      <w:docGrid w:linePitch="360"/>
    </w:sectPr>
    <!-- MKR-13469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F0D89"/>
    <w:multiLevelType w:val="multilevel"/>
    <w:tmpl w:val="BEDC8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40"/>
    <w:rsid w:val="00007F52"/>
    <w:rsid w:val="00016BDB"/>
    <w:rsid w:val="00033FF4"/>
    <w:rsid w:val="000650C2"/>
    <w:rsid w:val="00167307"/>
    <w:rsid w:val="00224C7B"/>
    <w:rsid w:val="00247274"/>
    <w:rsid w:val="00357F70"/>
    <w:rsid w:val="003C0340"/>
    <w:rsid w:val="003C777D"/>
    <w:rsid w:val="0051013B"/>
    <w:rsid w:val="005C4F6E"/>
    <w:rsid w:val="006F7F34"/>
    <w:rsid w:val="009439FB"/>
    <w:rsid w:val="009515F5"/>
    <w:rsid w:val="009B6BA0"/>
    <w:rsid w:val="00A36E68"/>
    <w:rsid w:val="00AB4828"/>
    <w:rsid w:val="00AE0AF8"/>
    <w:rsid w:val="00B50208"/>
    <w:rsid w:val="00C57B61"/>
    <w:rsid w:val="00C84D18"/>
    <w:rsid w:val="00DD2614"/>
    <w:rsid w:val="00EA6927"/>
    <w:rsid w:val="00F512B7"/>
    <w:rsid w:val="00F5746C"/>
    <w:rsid w:val="00FA5E00"/>
    <w:rsid w:val="00F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3806"/>
  <w15:chartTrackingRefBased/>
  <w15:docId w15:val="{9AD6CEBF-C689-48F0-9B9B-6BF4A085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36E68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36E68"/>
    <w:rPr>
      <w:rFonts w:ascii="Times New Roman" w:eastAsia="Times New Roman" w:hAnsi="Times New Roman" w:cs="Times New Roman"/>
      <w:b/>
      <w:szCs w:val="20"/>
      <w:lang w:eastAsia="ru-RU"/>
    </w:rPr>
  </w:style>
  <w:style w:type="table" w:styleId="a5">
    <w:name w:val="Table Grid"/>
    <w:basedOn w:val="a1"/>
    <w:uiPriority w:val="39"/>
    <w:rsid w:val="00C5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Юристконсульт</dc:creator>
  <cp:keywords/>
  <dc:description>DOC-MARKER-AwQZWOBJotbPPbRpQm_HCw</dc:description>
  <cp:lastModifiedBy>Анатолий Жерновков Алексеевич</cp:lastModifiedBy>
  <cp:revision>2</cp:revision>
  <dcterms:created xsi:type="dcterms:W3CDTF">2026-07-20T03:57:00Z</dcterms:created>
  <dcterms:modified xsi:type="dcterms:W3CDTF">2026-07-20T03:57:00Z</dcterms:modified>
</cp:coreProperties>
</file>