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886C2" w14:textId="4DCDCD59" w:rsidR="009422D6" w:rsidRDefault="00285B24" w:rsidP="00C376A5">
      <w:pPr>
        <w:autoSpaceDE w:val="0"/>
        <w:autoSpaceDN w:val="0"/>
        <w:spacing w:after="0" w:line="240" w:lineRule="auto"/>
        <w:ind w:left="142"/>
        <w:jc w:val="center"/>
        <w:rPr>
          <w:rFonts w:ascii="Times New Roman" w:hAnsi="Times New Roman" w:cs="Times New Roman"/>
          <w:b/>
          <w:bCs/>
          <w:color w:val="151515"/>
          <w:shd w:val="clear" w:color="auto" w:fill="FFFFFF"/>
        </w:rPr>
      </w:pPr>
      <w:r w:rsidRPr="00E654A6">
        <w:rPr>
          <w:rFonts w:ascii="Times New Roman" w:hAnsi="Times New Roman" w:cs="Times New Roman"/>
          <w:b/>
          <w:bCs/>
          <w:color w:val="151515"/>
          <w:shd w:val="clear" w:color="auto" w:fill="FFFFFF"/>
        </w:rPr>
        <w:t>ТЕХНИЧЕСКОЕ ЗАДАНИЕ</w:t>
      </w:r>
    </w:p>
    <w:p w14:paraId="5439310D" w14:textId="77777777" w:rsidR="00943CCF" w:rsidRPr="00507CBE" w:rsidRDefault="00943CCF" w:rsidP="00943CCF">
      <w:pPr>
        <w:widowControl w:val="0"/>
        <w:spacing w:after="0" w:line="240" w:lineRule="auto"/>
        <w:jc w:val="center"/>
        <w:rPr>
          <w:rFonts w:ascii="Times New Roman" w:eastAsia="Calibri" w:hAnsi="Times New Roman" w:cs="Times New Roman"/>
          <w:b/>
          <w:color w:val="000000"/>
        </w:rPr>
      </w:pPr>
      <w:r w:rsidRPr="00B60CB8">
        <w:rPr>
          <w:rFonts w:ascii="Times New Roman" w:hAnsi="Times New Roman" w:cs="Times New Roman"/>
          <w:b/>
          <w:bCs/>
          <w:color w:val="151515"/>
          <w:shd w:val="clear" w:color="auto" w:fill="FFFFFF"/>
        </w:rPr>
        <w:t xml:space="preserve">на поставку </w:t>
      </w:r>
      <w:r>
        <w:rPr>
          <w:rFonts w:ascii="Times New Roman" w:hAnsi="Times New Roman" w:cs="Times New Roman"/>
          <w:b/>
          <w:bCs/>
          <w:color w:val="151515"/>
          <w:shd w:val="clear" w:color="auto" w:fill="FFFFFF"/>
        </w:rPr>
        <w:t xml:space="preserve">учебного оборудования </w:t>
      </w:r>
    </w:p>
    <w:p w14:paraId="311BB536" w14:textId="77777777" w:rsidR="00943CCF" w:rsidRPr="00E654A6" w:rsidRDefault="00943CCF" w:rsidP="00943CCF">
      <w:pPr>
        <w:autoSpaceDE w:val="0"/>
        <w:autoSpaceDN w:val="0"/>
        <w:spacing w:after="0" w:line="240" w:lineRule="auto"/>
        <w:ind w:left="142"/>
        <w:jc w:val="center"/>
        <w:rPr>
          <w:rFonts w:ascii="Times New Roman" w:hAnsi="Times New Roman" w:cs="Times New Roman"/>
          <w:b/>
          <w:bCs/>
          <w:color w:val="151515"/>
          <w:shd w:val="clear" w:color="auto" w:fill="FFFFFF"/>
        </w:rPr>
      </w:pPr>
      <w:r>
        <w:rPr>
          <w:rFonts w:ascii="Times New Roman" w:hAnsi="Times New Roman" w:cs="Times New Roman"/>
          <w:b/>
          <w:bCs/>
          <w:color w:val="151515"/>
          <w:shd w:val="clear" w:color="auto" w:fill="FFFFFF"/>
        </w:rPr>
        <w:t xml:space="preserve">для базового кружка </w:t>
      </w:r>
      <w:proofErr w:type="gramStart"/>
      <w:r>
        <w:rPr>
          <w:rFonts w:ascii="Times New Roman" w:hAnsi="Times New Roman" w:cs="Times New Roman"/>
          <w:b/>
          <w:bCs/>
          <w:color w:val="151515"/>
          <w:shd w:val="clear" w:color="auto" w:fill="FFFFFF"/>
        </w:rPr>
        <w:t>естественно-научной</w:t>
      </w:r>
      <w:proofErr w:type="gramEnd"/>
      <w:r>
        <w:rPr>
          <w:rFonts w:ascii="Times New Roman" w:hAnsi="Times New Roman" w:cs="Times New Roman"/>
          <w:b/>
          <w:bCs/>
          <w:color w:val="151515"/>
          <w:shd w:val="clear" w:color="auto" w:fill="FFFFFF"/>
        </w:rPr>
        <w:t xml:space="preserve"> направленности (биология)</w:t>
      </w:r>
    </w:p>
    <w:p w14:paraId="0F03AB44" w14:textId="77777777" w:rsidR="00943CCF" w:rsidRDefault="00943CCF" w:rsidP="00943CCF">
      <w:pPr>
        <w:widowControl w:val="0"/>
        <w:spacing w:after="0" w:line="240" w:lineRule="auto"/>
        <w:jc w:val="center"/>
        <w:rPr>
          <w:rFonts w:ascii="Times New Roman" w:eastAsia="Calibri" w:hAnsi="Times New Roman" w:cs="Times New Roman"/>
          <w:b/>
          <w:color w:val="000000"/>
        </w:rPr>
      </w:pPr>
    </w:p>
    <w:p w14:paraId="79EAE7EF" w14:textId="77777777" w:rsidR="00C376A5" w:rsidRPr="00E654A6" w:rsidRDefault="00C376A5" w:rsidP="00C376A5">
      <w:pPr>
        <w:spacing w:after="0" w:line="240" w:lineRule="auto"/>
        <w:rPr>
          <w:rFonts w:ascii="Times New Roman" w:eastAsia="Times New Roman" w:hAnsi="Times New Roman" w:cs="Times New Roman"/>
          <w:i/>
          <w:iCs/>
          <w:color w:val="333333"/>
          <w:lang w:eastAsia="ru-RU"/>
        </w:rPr>
      </w:pPr>
      <w:bookmarkStart w:id="0" w:name="_GoBack"/>
      <w:bookmarkEnd w:id="0"/>
      <w:r w:rsidRPr="00E654A6">
        <w:rPr>
          <w:rFonts w:ascii="Times New Roman" w:eastAsia="Times New Roman" w:hAnsi="Times New Roman" w:cs="Times New Roman"/>
          <w:i/>
          <w:iCs/>
          <w:color w:val="333333"/>
          <w:lang w:eastAsia="ru-RU"/>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3"/>
        <w:tblW w:w="0" w:type="auto"/>
        <w:tblLayout w:type="fixed"/>
        <w:tblLook w:val="04A0" w:firstRow="1" w:lastRow="0" w:firstColumn="1" w:lastColumn="0" w:noHBand="0" w:noVBand="1"/>
      </w:tblPr>
      <w:tblGrid>
        <w:gridCol w:w="1129"/>
        <w:gridCol w:w="1532"/>
        <w:gridCol w:w="1967"/>
        <w:gridCol w:w="1580"/>
        <w:gridCol w:w="1644"/>
        <w:gridCol w:w="1387"/>
      </w:tblGrid>
      <w:tr w:rsidR="00C67729" w:rsidRPr="00E654A6" w14:paraId="0A57EE04" w14:textId="77777777" w:rsidTr="00C67729">
        <w:trPr>
          <w:trHeight w:val="345"/>
        </w:trPr>
        <w:tc>
          <w:tcPr>
            <w:tcW w:w="1129" w:type="dxa"/>
            <w:vMerge w:val="restart"/>
            <w:hideMark/>
          </w:tcPr>
          <w:p w14:paraId="267BD927" w14:textId="426E937B"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 п/п</w:t>
            </w:r>
          </w:p>
        </w:tc>
        <w:tc>
          <w:tcPr>
            <w:tcW w:w="1532" w:type="dxa"/>
            <w:vMerge w:val="restart"/>
            <w:hideMark/>
          </w:tcPr>
          <w:p w14:paraId="78466942"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Код</w:t>
            </w:r>
          </w:p>
        </w:tc>
        <w:tc>
          <w:tcPr>
            <w:tcW w:w="1967" w:type="dxa"/>
            <w:vMerge w:val="restart"/>
            <w:hideMark/>
          </w:tcPr>
          <w:p w14:paraId="4040FCBE"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Наименование</w:t>
            </w:r>
          </w:p>
        </w:tc>
        <w:tc>
          <w:tcPr>
            <w:tcW w:w="4611" w:type="dxa"/>
            <w:gridSpan w:val="3"/>
            <w:hideMark/>
          </w:tcPr>
          <w:p w14:paraId="182CD0EE"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Национальный режим</w:t>
            </w:r>
          </w:p>
        </w:tc>
      </w:tr>
      <w:tr w:rsidR="00C67729" w:rsidRPr="00E654A6" w14:paraId="08A36F2C" w14:textId="77777777" w:rsidTr="00C67729">
        <w:trPr>
          <w:trHeight w:val="345"/>
        </w:trPr>
        <w:tc>
          <w:tcPr>
            <w:tcW w:w="1129" w:type="dxa"/>
            <w:vMerge/>
            <w:hideMark/>
          </w:tcPr>
          <w:p w14:paraId="6A52C1BA"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532" w:type="dxa"/>
            <w:vMerge/>
            <w:hideMark/>
          </w:tcPr>
          <w:p w14:paraId="03DEF835"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967" w:type="dxa"/>
            <w:vMerge/>
            <w:hideMark/>
          </w:tcPr>
          <w:p w14:paraId="1BE4B17E"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580" w:type="dxa"/>
            <w:hideMark/>
          </w:tcPr>
          <w:p w14:paraId="2F79F701"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1875 (Запрет)</w:t>
            </w:r>
          </w:p>
        </w:tc>
        <w:tc>
          <w:tcPr>
            <w:tcW w:w="1644" w:type="dxa"/>
            <w:hideMark/>
          </w:tcPr>
          <w:p w14:paraId="7505BF18"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1875 (Ограничение)</w:t>
            </w:r>
          </w:p>
        </w:tc>
        <w:tc>
          <w:tcPr>
            <w:tcW w:w="1387" w:type="dxa"/>
            <w:hideMark/>
          </w:tcPr>
          <w:p w14:paraId="788104D6"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1875 (Преимущество)</w:t>
            </w:r>
          </w:p>
        </w:tc>
      </w:tr>
      <w:tr w:rsidR="00C67729" w:rsidRPr="00E654A6" w14:paraId="536956F3" w14:textId="77777777" w:rsidTr="00C67729">
        <w:trPr>
          <w:trHeight w:val="315"/>
        </w:trPr>
        <w:tc>
          <w:tcPr>
            <w:tcW w:w="1129" w:type="dxa"/>
            <w:hideMark/>
          </w:tcPr>
          <w:p w14:paraId="00EC8DFB"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1</w:t>
            </w:r>
          </w:p>
        </w:tc>
        <w:tc>
          <w:tcPr>
            <w:tcW w:w="1532" w:type="dxa"/>
            <w:hideMark/>
          </w:tcPr>
          <w:p w14:paraId="0E0F82FE"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32.99.53.199</w:t>
            </w:r>
          </w:p>
        </w:tc>
        <w:tc>
          <w:tcPr>
            <w:tcW w:w="1967" w:type="dxa"/>
            <w:hideMark/>
          </w:tcPr>
          <w:p w14:paraId="04211595"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Набор «Определение резус-фактора»</w:t>
            </w:r>
          </w:p>
        </w:tc>
        <w:tc>
          <w:tcPr>
            <w:tcW w:w="1580" w:type="dxa"/>
            <w:hideMark/>
          </w:tcPr>
          <w:p w14:paraId="0445A2CD"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644" w:type="dxa"/>
            <w:hideMark/>
          </w:tcPr>
          <w:p w14:paraId="7E834E00" w14:textId="77777777" w:rsidR="00C67729" w:rsidRPr="00C76BE2" w:rsidRDefault="00C67729" w:rsidP="00C67729">
            <w:pPr>
              <w:autoSpaceDE w:val="0"/>
              <w:autoSpaceDN w:val="0"/>
              <w:rPr>
                <w:rFonts w:ascii="Times New Roman" w:hAnsi="Times New Roman" w:cs="Times New Roman"/>
                <w:b/>
                <w:bCs/>
                <w:color w:val="151515"/>
                <w:shd w:val="clear" w:color="auto" w:fill="FFFFFF"/>
              </w:rPr>
            </w:pPr>
            <w:r w:rsidRPr="00C76BE2">
              <w:rPr>
                <w:rFonts w:ascii="Segoe UI Symbol" w:hAnsi="Segoe UI Symbol" w:cs="Segoe UI Symbol"/>
                <w:b/>
                <w:bCs/>
                <w:color w:val="151515"/>
                <w:shd w:val="clear" w:color="auto" w:fill="FFFFFF"/>
              </w:rPr>
              <w:t>✓</w:t>
            </w:r>
          </w:p>
        </w:tc>
        <w:tc>
          <w:tcPr>
            <w:tcW w:w="1387" w:type="dxa"/>
            <w:hideMark/>
          </w:tcPr>
          <w:p w14:paraId="0E544F0D"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r>
      <w:tr w:rsidR="00C67729" w:rsidRPr="00E654A6" w14:paraId="2CC4F7E6" w14:textId="77777777" w:rsidTr="00C67729">
        <w:trPr>
          <w:trHeight w:val="315"/>
        </w:trPr>
        <w:tc>
          <w:tcPr>
            <w:tcW w:w="1129" w:type="dxa"/>
            <w:hideMark/>
          </w:tcPr>
          <w:p w14:paraId="0B398F15"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2</w:t>
            </w:r>
          </w:p>
        </w:tc>
        <w:tc>
          <w:tcPr>
            <w:tcW w:w="1532" w:type="dxa"/>
            <w:hideMark/>
          </w:tcPr>
          <w:p w14:paraId="3A32D433"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32.99.53.199</w:t>
            </w:r>
          </w:p>
        </w:tc>
        <w:tc>
          <w:tcPr>
            <w:tcW w:w="1967" w:type="dxa"/>
            <w:hideMark/>
          </w:tcPr>
          <w:p w14:paraId="4B036B83"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Набор «Определение пола человека»</w:t>
            </w:r>
          </w:p>
        </w:tc>
        <w:tc>
          <w:tcPr>
            <w:tcW w:w="1580" w:type="dxa"/>
            <w:hideMark/>
          </w:tcPr>
          <w:p w14:paraId="5D406943"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644" w:type="dxa"/>
            <w:hideMark/>
          </w:tcPr>
          <w:p w14:paraId="0B132608" w14:textId="77777777" w:rsidR="00C67729" w:rsidRPr="00C76BE2" w:rsidRDefault="00C67729" w:rsidP="00C67729">
            <w:pPr>
              <w:autoSpaceDE w:val="0"/>
              <w:autoSpaceDN w:val="0"/>
              <w:rPr>
                <w:rFonts w:ascii="Times New Roman" w:hAnsi="Times New Roman" w:cs="Times New Roman"/>
                <w:b/>
                <w:bCs/>
                <w:color w:val="151515"/>
                <w:shd w:val="clear" w:color="auto" w:fill="FFFFFF"/>
              </w:rPr>
            </w:pPr>
            <w:r w:rsidRPr="00C76BE2">
              <w:rPr>
                <w:rFonts w:ascii="Segoe UI Symbol" w:hAnsi="Segoe UI Symbol" w:cs="Segoe UI Symbol"/>
                <w:b/>
                <w:bCs/>
                <w:color w:val="151515"/>
                <w:shd w:val="clear" w:color="auto" w:fill="FFFFFF"/>
              </w:rPr>
              <w:t>✓</w:t>
            </w:r>
          </w:p>
        </w:tc>
        <w:tc>
          <w:tcPr>
            <w:tcW w:w="1387" w:type="dxa"/>
            <w:hideMark/>
          </w:tcPr>
          <w:p w14:paraId="78A6A997"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r>
      <w:tr w:rsidR="00C67729" w:rsidRPr="00E654A6" w14:paraId="33F216D6" w14:textId="77777777" w:rsidTr="00C67729">
        <w:trPr>
          <w:trHeight w:val="315"/>
        </w:trPr>
        <w:tc>
          <w:tcPr>
            <w:tcW w:w="1129" w:type="dxa"/>
          </w:tcPr>
          <w:p w14:paraId="6453226D" w14:textId="44A89D98"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2.1.</w:t>
            </w:r>
          </w:p>
        </w:tc>
        <w:tc>
          <w:tcPr>
            <w:tcW w:w="1532" w:type="dxa"/>
          </w:tcPr>
          <w:p w14:paraId="645C9C8B" w14:textId="0E5CDAB1" w:rsidR="00C67729" w:rsidRPr="00E654A6" w:rsidRDefault="00D6071A"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62.01.29.000</w:t>
            </w:r>
          </w:p>
        </w:tc>
        <w:tc>
          <w:tcPr>
            <w:tcW w:w="1967" w:type="dxa"/>
          </w:tcPr>
          <w:p w14:paraId="4FEE5E61" w14:textId="44B615E6"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Программное обеспечение</w:t>
            </w:r>
          </w:p>
        </w:tc>
        <w:tc>
          <w:tcPr>
            <w:tcW w:w="1580" w:type="dxa"/>
          </w:tcPr>
          <w:p w14:paraId="06A79FEF" w14:textId="53C00874" w:rsidR="00C67729" w:rsidRPr="00C76BE2" w:rsidRDefault="00C67729" w:rsidP="00C67729">
            <w:pPr>
              <w:autoSpaceDE w:val="0"/>
              <w:autoSpaceDN w:val="0"/>
              <w:rPr>
                <w:rFonts w:ascii="Times New Roman" w:hAnsi="Times New Roman" w:cs="Times New Roman"/>
                <w:b/>
                <w:bCs/>
                <w:color w:val="151515"/>
                <w:shd w:val="clear" w:color="auto" w:fill="FFFFFF"/>
              </w:rPr>
            </w:pPr>
            <w:r w:rsidRPr="00C76BE2">
              <w:rPr>
                <w:rFonts w:ascii="Segoe UI Symbol" w:hAnsi="Segoe UI Symbol" w:cs="Segoe UI Symbol"/>
                <w:b/>
                <w:bCs/>
                <w:shd w:val="clear" w:color="auto" w:fill="FFFFFF"/>
              </w:rPr>
              <w:t>✓</w:t>
            </w:r>
          </w:p>
        </w:tc>
        <w:tc>
          <w:tcPr>
            <w:tcW w:w="1644" w:type="dxa"/>
          </w:tcPr>
          <w:p w14:paraId="67AF4E7E" w14:textId="77777777" w:rsidR="00C67729" w:rsidRPr="00C76BE2" w:rsidRDefault="00C67729" w:rsidP="00C67729">
            <w:pPr>
              <w:autoSpaceDE w:val="0"/>
              <w:autoSpaceDN w:val="0"/>
              <w:rPr>
                <w:rFonts w:ascii="Times New Roman" w:hAnsi="Times New Roman" w:cs="Times New Roman"/>
                <w:b/>
                <w:bCs/>
                <w:color w:val="151515"/>
                <w:shd w:val="clear" w:color="auto" w:fill="FFFFFF"/>
              </w:rPr>
            </w:pPr>
          </w:p>
        </w:tc>
        <w:tc>
          <w:tcPr>
            <w:tcW w:w="1387" w:type="dxa"/>
          </w:tcPr>
          <w:p w14:paraId="4B631A3B"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r>
      <w:tr w:rsidR="00C67729" w:rsidRPr="00E654A6" w14:paraId="4D0F237A" w14:textId="77777777" w:rsidTr="00C67729">
        <w:trPr>
          <w:trHeight w:val="315"/>
        </w:trPr>
        <w:tc>
          <w:tcPr>
            <w:tcW w:w="1129" w:type="dxa"/>
            <w:hideMark/>
          </w:tcPr>
          <w:p w14:paraId="1B66F7B7"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3</w:t>
            </w:r>
          </w:p>
        </w:tc>
        <w:tc>
          <w:tcPr>
            <w:tcW w:w="1532" w:type="dxa"/>
            <w:hideMark/>
          </w:tcPr>
          <w:p w14:paraId="5839F40E"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32.99.53.199</w:t>
            </w:r>
          </w:p>
        </w:tc>
        <w:tc>
          <w:tcPr>
            <w:tcW w:w="1967" w:type="dxa"/>
            <w:hideMark/>
          </w:tcPr>
          <w:p w14:paraId="4254AF5A"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Набор «Равновесие в популяции»</w:t>
            </w:r>
          </w:p>
        </w:tc>
        <w:tc>
          <w:tcPr>
            <w:tcW w:w="1580" w:type="dxa"/>
            <w:hideMark/>
          </w:tcPr>
          <w:p w14:paraId="45D7E99C"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644" w:type="dxa"/>
            <w:hideMark/>
          </w:tcPr>
          <w:p w14:paraId="0729DE51" w14:textId="77777777" w:rsidR="00C67729" w:rsidRPr="00C76BE2" w:rsidRDefault="00C67729" w:rsidP="00C67729">
            <w:pPr>
              <w:autoSpaceDE w:val="0"/>
              <w:autoSpaceDN w:val="0"/>
              <w:rPr>
                <w:rFonts w:ascii="Times New Roman" w:hAnsi="Times New Roman" w:cs="Times New Roman"/>
                <w:b/>
                <w:bCs/>
                <w:color w:val="151515"/>
                <w:shd w:val="clear" w:color="auto" w:fill="FFFFFF"/>
              </w:rPr>
            </w:pPr>
            <w:r w:rsidRPr="00C76BE2">
              <w:rPr>
                <w:rFonts w:ascii="Segoe UI Symbol" w:hAnsi="Segoe UI Symbol" w:cs="Segoe UI Symbol"/>
                <w:b/>
                <w:bCs/>
                <w:color w:val="151515"/>
                <w:shd w:val="clear" w:color="auto" w:fill="FFFFFF"/>
              </w:rPr>
              <w:t>✓</w:t>
            </w:r>
          </w:p>
        </w:tc>
        <w:tc>
          <w:tcPr>
            <w:tcW w:w="1387" w:type="dxa"/>
            <w:hideMark/>
          </w:tcPr>
          <w:p w14:paraId="6C427854"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r>
      <w:tr w:rsidR="00C67729" w:rsidRPr="00E654A6" w14:paraId="2F7F3831" w14:textId="77777777" w:rsidTr="00C67729">
        <w:trPr>
          <w:trHeight w:val="315"/>
        </w:trPr>
        <w:tc>
          <w:tcPr>
            <w:tcW w:w="1129" w:type="dxa"/>
            <w:hideMark/>
          </w:tcPr>
          <w:p w14:paraId="58D0EDFD"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4</w:t>
            </w:r>
          </w:p>
        </w:tc>
        <w:tc>
          <w:tcPr>
            <w:tcW w:w="1532" w:type="dxa"/>
            <w:hideMark/>
          </w:tcPr>
          <w:p w14:paraId="6246E79D"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32.99.53.199</w:t>
            </w:r>
          </w:p>
        </w:tc>
        <w:tc>
          <w:tcPr>
            <w:tcW w:w="1967" w:type="dxa"/>
            <w:hideMark/>
          </w:tcPr>
          <w:p w14:paraId="553050AB"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Набор «Определение гена метаболизма кофеина»</w:t>
            </w:r>
          </w:p>
        </w:tc>
        <w:tc>
          <w:tcPr>
            <w:tcW w:w="1580" w:type="dxa"/>
            <w:hideMark/>
          </w:tcPr>
          <w:p w14:paraId="399399C5"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644" w:type="dxa"/>
            <w:hideMark/>
          </w:tcPr>
          <w:p w14:paraId="6E7EF8C0" w14:textId="77777777" w:rsidR="00C67729" w:rsidRPr="00C76BE2" w:rsidRDefault="00C67729" w:rsidP="00C67729">
            <w:pPr>
              <w:autoSpaceDE w:val="0"/>
              <w:autoSpaceDN w:val="0"/>
              <w:rPr>
                <w:rFonts w:ascii="Times New Roman" w:hAnsi="Times New Roman" w:cs="Times New Roman"/>
                <w:b/>
                <w:bCs/>
                <w:color w:val="151515"/>
                <w:shd w:val="clear" w:color="auto" w:fill="FFFFFF"/>
              </w:rPr>
            </w:pPr>
            <w:r w:rsidRPr="00C76BE2">
              <w:rPr>
                <w:rFonts w:ascii="Segoe UI Symbol" w:hAnsi="Segoe UI Symbol" w:cs="Segoe UI Symbol"/>
                <w:b/>
                <w:bCs/>
                <w:color w:val="151515"/>
                <w:shd w:val="clear" w:color="auto" w:fill="FFFFFF"/>
              </w:rPr>
              <w:t>✓</w:t>
            </w:r>
          </w:p>
        </w:tc>
        <w:tc>
          <w:tcPr>
            <w:tcW w:w="1387" w:type="dxa"/>
            <w:hideMark/>
          </w:tcPr>
          <w:p w14:paraId="1819C3F4"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r>
      <w:tr w:rsidR="00C67729" w:rsidRPr="00E654A6" w14:paraId="197DBF1C" w14:textId="77777777" w:rsidTr="00C67729">
        <w:trPr>
          <w:trHeight w:val="315"/>
        </w:trPr>
        <w:tc>
          <w:tcPr>
            <w:tcW w:w="1129" w:type="dxa"/>
            <w:hideMark/>
          </w:tcPr>
          <w:p w14:paraId="3E9B6D64"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5</w:t>
            </w:r>
          </w:p>
        </w:tc>
        <w:tc>
          <w:tcPr>
            <w:tcW w:w="1532" w:type="dxa"/>
            <w:hideMark/>
          </w:tcPr>
          <w:p w14:paraId="6BC07B01"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32.99.53.199</w:t>
            </w:r>
          </w:p>
        </w:tc>
        <w:tc>
          <w:tcPr>
            <w:tcW w:w="1967" w:type="dxa"/>
            <w:hideMark/>
          </w:tcPr>
          <w:p w14:paraId="523BC1DC"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Набор «Состав злаков в хлебной продукции»</w:t>
            </w:r>
          </w:p>
        </w:tc>
        <w:tc>
          <w:tcPr>
            <w:tcW w:w="1580" w:type="dxa"/>
            <w:hideMark/>
          </w:tcPr>
          <w:p w14:paraId="5988EF5C"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644" w:type="dxa"/>
            <w:hideMark/>
          </w:tcPr>
          <w:p w14:paraId="75537F79" w14:textId="77777777" w:rsidR="00C67729" w:rsidRPr="00C76BE2" w:rsidRDefault="00C67729" w:rsidP="00C67729">
            <w:pPr>
              <w:autoSpaceDE w:val="0"/>
              <w:autoSpaceDN w:val="0"/>
              <w:rPr>
                <w:rFonts w:ascii="Times New Roman" w:hAnsi="Times New Roman" w:cs="Times New Roman"/>
                <w:b/>
                <w:bCs/>
                <w:color w:val="151515"/>
                <w:shd w:val="clear" w:color="auto" w:fill="FFFFFF"/>
              </w:rPr>
            </w:pPr>
            <w:r w:rsidRPr="00C76BE2">
              <w:rPr>
                <w:rFonts w:ascii="Segoe UI Symbol" w:hAnsi="Segoe UI Symbol" w:cs="Segoe UI Symbol"/>
                <w:b/>
                <w:bCs/>
                <w:color w:val="151515"/>
                <w:shd w:val="clear" w:color="auto" w:fill="FFFFFF"/>
              </w:rPr>
              <w:t>✓</w:t>
            </w:r>
          </w:p>
        </w:tc>
        <w:tc>
          <w:tcPr>
            <w:tcW w:w="1387" w:type="dxa"/>
            <w:hideMark/>
          </w:tcPr>
          <w:p w14:paraId="1F4E4A1B"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r>
      <w:tr w:rsidR="00C67729" w:rsidRPr="00E654A6" w14:paraId="2C2C10A1" w14:textId="77777777" w:rsidTr="00C67729">
        <w:trPr>
          <w:trHeight w:val="315"/>
        </w:trPr>
        <w:tc>
          <w:tcPr>
            <w:tcW w:w="1129" w:type="dxa"/>
            <w:hideMark/>
          </w:tcPr>
          <w:p w14:paraId="08194BB9"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6</w:t>
            </w:r>
          </w:p>
        </w:tc>
        <w:tc>
          <w:tcPr>
            <w:tcW w:w="1532" w:type="dxa"/>
            <w:hideMark/>
          </w:tcPr>
          <w:p w14:paraId="4D7AB4AC"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32.99.53.199</w:t>
            </w:r>
          </w:p>
        </w:tc>
        <w:tc>
          <w:tcPr>
            <w:tcW w:w="1967" w:type="dxa"/>
            <w:hideMark/>
          </w:tcPr>
          <w:p w14:paraId="77721AB9" w14:textId="77777777" w:rsidR="00C67729" w:rsidRPr="00E654A6" w:rsidRDefault="00C67729" w:rsidP="00C67729">
            <w:pPr>
              <w:autoSpaceDE w:val="0"/>
              <w:autoSpaceDN w:val="0"/>
              <w:rPr>
                <w:rFonts w:ascii="Times New Roman" w:hAnsi="Times New Roman" w:cs="Times New Roman"/>
                <w:color w:val="151515"/>
                <w:shd w:val="clear" w:color="auto" w:fill="FFFFFF"/>
              </w:rPr>
            </w:pPr>
            <w:r w:rsidRPr="00E654A6">
              <w:rPr>
                <w:rFonts w:ascii="Times New Roman" w:hAnsi="Times New Roman" w:cs="Times New Roman"/>
                <w:color w:val="151515"/>
                <w:shd w:val="clear" w:color="auto" w:fill="FFFFFF"/>
              </w:rPr>
              <w:t>Набор «Определение ГМО в продуктах питания»</w:t>
            </w:r>
          </w:p>
        </w:tc>
        <w:tc>
          <w:tcPr>
            <w:tcW w:w="1580" w:type="dxa"/>
            <w:hideMark/>
          </w:tcPr>
          <w:p w14:paraId="6F782F27"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c>
          <w:tcPr>
            <w:tcW w:w="1644" w:type="dxa"/>
            <w:hideMark/>
          </w:tcPr>
          <w:p w14:paraId="70B5E66C" w14:textId="77777777" w:rsidR="00C67729" w:rsidRPr="00C76BE2" w:rsidRDefault="00C67729" w:rsidP="00C67729">
            <w:pPr>
              <w:autoSpaceDE w:val="0"/>
              <w:autoSpaceDN w:val="0"/>
              <w:rPr>
                <w:rFonts w:ascii="Times New Roman" w:hAnsi="Times New Roman" w:cs="Times New Roman"/>
                <w:b/>
                <w:bCs/>
                <w:color w:val="151515"/>
                <w:shd w:val="clear" w:color="auto" w:fill="FFFFFF"/>
              </w:rPr>
            </w:pPr>
            <w:r w:rsidRPr="00C76BE2">
              <w:rPr>
                <w:rFonts w:ascii="Segoe UI Symbol" w:hAnsi="Segoe UI Symbol" w:cs="Segoe UI Symbol"/>
                <w:b/>
                <w:bCs/>
                <w:color w:val="151515"/>
                <w:shd w:val="clear" w:color="auto" w:fill="FFFFFF"/>
              </w:rPr>
              <w:t>✓</w:t>
            </w:r>
          </w:p>
        </w:tc>
        <w:tc>
          <w:tcPr>
            <w:tcW w:w="1387" w:type="dxa"/>
            <w:hideMark/>
          </w:tcPr>
          <w:p w14:paraId="0D55B5CC" w14:textId="77777777" w:rsidR="00C67729" w:rsidRPr="00E654A6" w:rsidRDefault="00C67729" w:rsidP="00C67729">
            <w:pPr>
              <w:autoSpaceDE w:val="0"/>
              <w:autoSpaceDN w:val="0"/>
              <w:rPr>
                <w:rFonts w:ascii="Times New Roman" w:hAnsi="Times New Roman" w:cs="Times New Roman"/>
                <w:color w:val="151515"/>
                <w:shd w:val="clear" w:color="auto" w:fill="FFFFFF"/>
              </w:rPr>
            </w:pPr>
          </w:p>
        </w:tc>
      </w:tr>
    </w:tbl>
    <w:p w14:paraId="1A0F08AF" w14:textId="4DCCEB74" w:rsidR="00847C14" w:rsidRPr="00E654A6" w:rsidRDefault="00847C14" w:rsidP="00C376A5">
      <w:pPr>
        <w:autoSpaceDE w:val="0"/>
        <w:autoSpaceDN w:val="0"/>
        <w:spacing w:after="0" w:line="240" w:lineRule="auto"/>
        <w:rPr>
          <w:rFonts w:ascii="Times New Roman" w:hAnsi="Times New Roman" w:cs="Times New Roman"/>
          <w:color w:val="151515"/>
          <w:shd w:val="clear" w:color="auto" w:fill="FFFFFF"/>
        </w:rPr>
      </w:pPr>
    </w:p>
    <w:p w14:paraId="485B0F0C" w14:textId="56E8A732" w:rsidR="00F7531D" w:rsidRPr="00E654A6" w:rsidRDefault="008C37F9" w:rsidP="001B4B83">
      <w:pPr>
        <w:autoSpaceDE w:val="0"/>
        <w:autoSpaceDN w:val="0"/>
        <w:spacing w:after="0" w:line="240" w:lineRule="auto"/>
        <w:rPr>
          <w:rFonts w:ascii="Times New Roman" w:hAnsi="Times New Roman" w:cs="Times New Roman"/>
          <w:i/>
          <w:iCs/>
          <w:color w:val="151515"/>
          <w:shd w:val="clear" w:color="auto" w:fill="FFFFFF"/>
        </w:rPr>
      </w:pPr>
      <w:r w:rsidRPr="00E654A6">
        <w:rPr>
          <w:rFonts w:ascii="Times New Roman" w:hAnsi="Times New Roman" w:cs="Times New Roman"/>
          <w:i/>
          <w:iCs/>
          <w:color w:val="151515"/>
          <w:shd w:val="clear" w:color="auto" w:fill="FFFFFF"/>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663076D" w14:textId="77777777" w:rsidR="008C37F9" w:rsidRPr="00E654A6" w:rsidRDefault="008C37F9" w:rsidP="001B4B83">
      <w:pPr>
        <w:autoSpaceDE w:val="0"/>
        <w:autoSpaceDN w:val="0"/>
        <w:spacing w:after="0" w:line="240" w:lineRule="auto"/>
        <w:rPr>
          <w:rFonts w:ascii="Times New Roman" w:hAnsi="Times New Roman" w:cs="Times New Roman"/>
          <w:i/>
          <w:iCs/>
          <w:color w:val="151515"/>
          <w:shd w:val="clear" w:color="auto" w:fill="FFFFFF"/>
        </w:rPr>
      </w:pPr>
    </w:p>
    <w:tbl>
      <w:tblPr>
        <w:tblW w:w="5213" w:type="pct"/>
        <w:tblInd w:w="-142" w:type="dxa"/>
        <w:tblLayout w:type="fixed"/>
        <w:tblLook w:val="00A0" w:firstRow="1" w:lastRow="0" w:firstColumn="1" w:lastColumn="0" w:noHBand="0" w:noVBand="0"/>
      </w:tblPr>
      <w:tblGrid>
        <w:gridCol w:w="584"/>
        <w:gridCol w:w="667"/>
        <w:gridCol w:w="1241"/>
        <w:gridCol w:w="3524"/>
        <w:gridCol w:w="2277"/>
        <w:gridCol w:w="868"/>
        <w:gridCol w:w="639"/>
        <w:gridCol w:w="178"/>
      </w:tblGrid>
      <w:tr w:rsidR="009422D6" w:rsidRPr="00E654A6" w14:paraId="72C74320" w14:textId="77777777" w:rsidTr="00A112CD">
        <w:trPr>
          <w:gridBefore w:val="2"/>
          <w:wBefore w:w="627" w:type="pct"/>
        </w:trPr>
        <w:tc>
          <w:tcPr>
            <w:tcW w:w="2388" w:type="pct"/>
            <w:gridSpan w:val="2"/>
          </w:tcPr>
          <w:p w14:paraId="6D65128C" w14:textId="622B1F2D" w:rsidR="009422D6" w:rsidRPr="00E654A6" w:rsidRDefault="00C376A5" w:rsidP="00C376A5">
            <w:pPr>
              <w:autoSpaceDE w:val="0"/>
              <w:autoSpaceDN w:val="0"/>
              <w:spacing w:after="0" w:line="240" w:lineRule="auto"/>
              <w:ind w:left="360"/>
              <w:rPr>
                <w:rFonts w:ascii="Times New Roman" w:hAnsi="Times New Roman" w:cs="Times New Roman"/>
                <w:b/>
                <w:bCs/>
                <w:color w:val="151515"/>
                <w:shd w:val="clear" w:color="auto" w:fill="FFFFFF"/>
              </w:rPr>
            </w:pPr>
            <w:r w:rsidRPr="00E654A6">
              <w:rPr>
                <w:rFonts w:ascii="Times New Roman" w:hAnsi="Times New Roman" w:cs="Times New Roman"/>
                <w:b/>
                <w:bCs/>
                <w:color w:val="151515"/>
                <w:shd w:val="clear" w:color="auto" w:fill="FFFFFF"/>
              </w:rPr>
              <w:t>1.</w:t>
            </w:r>
            <w:r w:rsidR="003C420A" w:rsidRPr="00E654A6">
              <w:rPr>
                <w:rFonts w:ascii="Times New Roman" w:hAnsi="Times New Roman" w:cs="Times New Roman"/>
                <w:b/>
                <w:bCs/>
                <w:color w:val="151515"/>
                <w:shd w:val="clear" w:color="auto" w:fill="FFFFFF"/>
              </w:rPr>
              <w:t>Объект закупки:</w:t>
            </w:r>
          </w:p>
        </w:tc>
        <w:tc>
          <w:tcPr>
            <w:tcW w:w="1986" w:type="pct"/>
            <w:gridSpan w:val="4"/>
          </w:tcPr>
          <w:p w14:paraId="59858835" w14:textId="77777777" w:rsidR="009422D6" w:rsidRPr="00E654A6" w:rsidRDefault="009422D6" w:rsidP="00C376A5">
            <w:pPr>
              <w:autoSpaceDE w:val="0"/>
              <w:autoSpaceDN w:val="0"/>
              <w:spacing w:after="0" w:line="240" w:lineRule="auto"/>
              <w:ind w:left="142"/>
              <w:jc w:val="center"/>
              <w:rPr>
                <w:rFonts w:ascii="Times New Roman" w:hAnsi="Times New Roman" w:cs="Times New Roman"/>
                <w:color w:val="151515"/>
                <w:shd w:val="clear" w:color="auto" w:fill="FFFFFF"/>
              </w:rPr>
            </w:pPr>
          </w:p>
        </w:tc>
      </w:tr>
      <w:tr w:rsidR="00DC347E" w:rsidRPr="00E654A6" w14:paraId="3EA1AC7B" w14:textId="77777777" w:rsidTr="00BE73D9">
        <w:tblPrEx>
          <w:tblLook w:val="04A0" w:firstRow="1" w:lastRow="0" w:firstColumn="1" w:lastColumn="0" w:noHBand="0" w:noVBand="1"/>
        </w:tblPrEx>
        <w:trPr>
          <w:gridAfter w:val="1"/>
          <w:wAfter w:w="90" w:type="pct"/>
          <w:trHeight w:val="20"/>
        </w:trPr>
        <w:tc>
          <w:tcPr>
            <w:tcW w:w="293" w:type="pct"/>
            <w:tcBorders>
              <w:top w:val="single" w:sz="4" w:space="0" w:color="000000"/>
              <w:left w:val="single" w:sz="4" w:space="0" w:color="000000"/>
              <w:bottom w:val="single" w:sz="4" w:space="0" w:color="000000"/>
              <w:right w:val="single" w:sz="4" w:space="0" w:color="000000"/>
            </w:tcBorders>
            <w:vAlign w:val="center"/>
          </w:tcPr>
          <w:p w14:paraId="220C6846" w14:textId="77777777" w:rsidR="00DC347E" w:rsidRPr="00E654A6" w:rsidRDefault="00DC347E" w:rsidP="00C4449D">
            <w:pPr>
              <w:spacing w:after="0" w:line="240" w:lineRule="auto"/>
              <w:jc w:val="center"/>
              <w:rPr>
                <w:rFonts w:ascii="Times New Roman" w:hAnsi="Times New Roman" w:cs="Times New Roman"/>
              </w:rPr>
            </w:pPr>
            <w:r w:rsidRPr="00E654A6">
              <w:rPr>
                <w:rFonts w:ascii="Times New Roman" w:eastAsia="Times New Roman" w:hAnsi="Times New Roman" w:cs="Times New Roman"/>
                <w:color w:val="000000"/>
                <w:lang w:eastAsia="ru-RU"/>
              </w:rPr>
              <w:t>№</w:t>
            </w:r>
          </w:p>
        </w:tc>
        <w:tc>
          <w:tcPr>
            <w:tcW w:w="956" w:type="pct"/>
            <w:gridSpan w:val="2"/>
            <w:tcBorders>
              <w:top w:val="single" w:sz="4" w:space="0" w:color="000000"/>
              <w:bottom w:val="single" w:sz="4" w:space="0" w:color="000000"/>
              <w:right w:val="single" w:sz="4" w:space="0" w:color="000000"/>
            </w:tcBorders>
            <w:vAlign w:val="center"/>
          </w:tcPr>
          <w:p w14:paraId="51090EB5"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Наименование</w:t>
            </w:r>
          </w:p>
        </w:tc>
        <w:tc>
          <w:tcPr>
            <w:tcW w:w="2907" w:type="pct"/>
            <w:gridSpan w:val="2"/>
            <w:tcBorders>
              <w:top w:val="single" w:sz="4" w:space="0" w:color="000000"/>
              <w:bottom w:val="single" w:sz="4" w:space="0" w:color="000000"/>
              <w:right w:val="single" w:sz="4" w:space="0" w:color="000000"/>
            </w:tcBorders>
            <w:vAlign w:val="center"/>
          </w:tcPr>
          <w:p w14:paraId="63862851" w14:textId="77777777" w:rsidR="00DC347E" w:rsidRPr="00E654A6" w:rsidRDefault="00DC347E" w:rsidP="00C4449D">
            <w:pPr>
              <w:spacing w:after="0" w:line="240" w:lineRule="auto"/>
              <w:jc w:val="center"/>
              <w:rPr>
                <w:rFonts w:ascii="Times New Roman" w:hAnsi="Times New Roman" w:cs="Times New Roman"/>
              </w:rPr>
            </w:pPr>
            <w:r w:rsidRPr="00E654A6">
              <w:rPr>
                <w:rFonts w:ascii="Times New Roman" w:eastAsia="Times New Roman" w:hAnsi="Times New Roman" w:cs="Times New Roman"/>
                <w:color w:val="000000"/>
                <w:lang w:eastAsia="ru-RU"/>
              </w:rPr>
              <w:t>Технические характеристики</w:t>
            </w:r>
          </w:p>
        </w:tc>
        <w:tc>
          <w:tcPr>
            <w:tcW w:w="435" w:type="pct"/>
            <w:tcBorders>
              <w:top w:val="single" w:sz="4" w:space="0" w:color="000000"/>
              <w:bottom w:val="single" w:sz="4" w:space="0" w:color="000000"/>
              <w:right w:val="single" w:sz="4" w:space="0" w:color="000000"/>
            </w:tcBorders>
            <w:vAlign w:val="center"/>
          </w:tcPr>
          <w:p w14:paraId="2CC5A137" w14:textId="77777777" w:rsidR="00DC347E" w:rsidRPr="00E654A6" w:rsidRDefault="00DC347E" w:rsidP="00C4449D">
            <w:pPr>
              <w:spacing w:after="0" w:line="240" w:lineRule="auto"/>
              <w:jc w:val="center"/>
              <w:rPr>
                <w:rFonts w:ascii="Times New Roman" w:hAnsi="Times New Roman" w:cs="Times New Roman"/>
              </w:rPr>
            </w:pPr>
            <w:r w:rsidRPr="00E654A6">
              <w:rPr>
                <w:rFonts w:ascii="Times New Roman" w:eastAsia="Times New Roman" w:hAnsi="Times New Roman" w:cs="Times New Roman"/>
                <w:color w:val="000000"/>
                <w:lang w:eastAsia="ru-RU"/>
              </w:rPr>
              <w:t>Ед. измерения</w:t>
            </w:r>
          </w:p>
        </w:tc>
        <w:tc>
          <w:tcPr>
            <w:tcW w:w="320" w:type="pct"/>
            <w:tcBorders>
              <w:top w:val="single" w:sz="4" w:space="0" w:color="000000"/>
              <w:bottom w:val="single" w:sz="4" w:space="0" w:color="000000"/>
              <w:right w:val="single" w:sz="4" w:space="0" w:color="000000"/>
            </w:tcBorders>
            <w:vAlign w:val="center"/>
          </w:tcPr>
          <w:p w14:paraId="34C68323" w14:textId="77777777" w:rsidR="00DC347E" w:rsidRPr="00E654A6" w:rsidRDefault="00DC347E" w:rsidP="00C4449D">
            <w:pPr>
              <w:spacing w:after="0" w:line="240" w:lineRule="auto"/>
              <w:jc w:val="center"/>
              <w:rPr>
                <w:rFonts w:ascii="Times New Roman" w:hAnsi="Times New Roman" w:cs="Times New Roman"/>
              </w:rPr>
            </w:pPr>
            <w:r w:rsidRPr="00E654A6">
              <w:rPr>
                <w:rFonts w:ascii="Times New Roman" w:eastAsia="Times New Roman" w:hAnsi="Times New Roman" w:cs="Times New Roman"/>
                <w:color w:val="000000"/>
                <w:lang w:eastAsia="ru-RU"/>
              </w:rPr>
              <w:t>Кол-во</w:t>
            </w:r>
          </w:p>
        </w:tc>
      </w:tr>
      <w:tr w:rsidR="00DC347E" w:rsidRPr="00E654A6" w14:paraId="1654DA2B" w14:textId="77777777" w:rsidTr="00BE73D9">
        <w:tblPrEx>
          <w:tblLook w:val="04A0" w:firstRow="1" w:lastRow="0" w:firstColumn="1" w:lastColumn="0" w:noHBand="0" w:noVBand="1"/>
        </w:tblPrEx>
        <w:trPr>
          <w:gridAfter w:val="1"/>
          <w:wAfter w:w="90" w:type="pct"/>
          <w:trHeight w:val="81"/>
        </w:trPr>
        <w:tc>
          <w:tcPr>
            <w:tcW w:w="293" w:type="pct"/>
            <w:tcBorders>
              <w:left w:val="single" w:sz="4" w:space="0" w:color="000000"/>
              <w:bottom w:val="single" w:sz="4" w:space="0" w:color="000000"/>
              <w:right w:val="single" w:sz="4" w:space="0" w:color="000000"/>
            </w:tcBorders>
          </w:tcPr>
          <w:p w14:paraId="5B62D18F"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w:t>
            </w:r>
          </w:p>
        </w:tc>
        <w:tc>
          <w:tcPr>
            <w:tcW w:w="956" w:type="pct"/>
            <w:gridSpan w:val="2"/>
            <w:tcBorders>
              <w:bottom w:val="single" w:sz="4" w:space="0" w:color="000000"/>
              <w:right w:val="single" w:sz="4" w:space="0" w:color="000000"/>
            </w:tcBorders>
          </w:tcPr>
          <w:p w14:paraId="790E43D8"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Набор «Определение резус-фактора»</w:t>
            </w:r>
          </w:p>
        </w:tc>
        <w:tc>
          <w:tcPr>
            <w:tcW w:w="2907" w:type="pct"/>
            <w:gridSpan w:val="2"/>
            <w:tcBorders>
              <w:bottom w:val="single" w:sz="4" w:space="0" w:color="000000"/>
              <w:right w:val="single" w:sz="4" w:space="0" w:color="000000"/>
            </w:tcBorders>
          </w:tcPr>
          <w:p w14:paraId="334DC110" w14:textId="0677B9F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Назначение: набор знакомит школьников со способом определения резус-фактора, использующимся в криминалистике: занятие начинается с выделения ДНК человека из </w:t>
            </w:r>
            <w:proofErr w:type="spellStart"/>
            <w:r w:rsidRPr="00E654A6">
              <w:rPr>
                <w:rFonts w:ascii="Times New Roman" w:eastAsia="Times New Roman" w:hAnsi="Times New Roman" w:cs="Times New Roman"/>
                <w:color w:val="000000"/>
                <w:lang w:eastAsia="ru-RU"/>
              </w:rPr>
              <w:t>буккального</w:t>
            </w:r>
            <w:proofErr w:type="spellEnd"/>
            <w:r w:rsidRPr="00E654A6">
              <w:rPr>
                <w:rFonts w:ascii="Times New Roman" w:eastAsia="Times New Roman" w:hAnsi="Times New Roman" w:cs="Times New Roman"/>
                <w:color w:val="000000"/>
                <w:lang w:eastAsia="ru-RU"/>
              </w:rPr>
              <w:t xml:space="preserve"> эпителия, которая затем подвергается исследованию методом ПЦР. </w:t>
            </w:r>
          </w:p>
          <w:p w14:paraId="48F44593"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Число экспериментов: не менее 20 занятий/человек.</w:t>
            </w:r>
          </w:p>
          <w:p w14:paraId="5E1DEC2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Состав набора:</w:t>
            </w:r>
          </w:p>
          <w:p w14:paraId="3CFA30AC"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 стерильная ватная палочка – не менее 20 шт.; </w:t>
            </w:r>
          </w:p>
          <w:p w14:paraId="652A0468"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2) пробирки для ПЦР, содержащие </w:t>
            </w:r>
            <w:proofErr w:type="spellStart"/>
            <w:r w:rsidRPr="00E654A6">
              <w:rPr>
                <w:rFonts w:ascii="Times New Roman" w:eastAsia="Times New Roman" w:hAnsi="Times New Roman" w:cs="Times New Roman"/>
                <w:color w:val="000000"/>
                <w:lang w:eastAsia="ru-RU"/>
              </w:rPr>
              <w:t>лиофилизованные</w:t>
            </w:r>
            <w:proofErr w:type="spellEnd"/>
            <w:r w:rsidRPr="00E654A6">
              <w:rPr>
                <w:rFonts w:ascii="Times New Roman" w:eastAsia="Times New Roman" w:hAnsi="Times New Roman" w:cs="Times New Roman"/>
                <w:color w:val="000000"/>
                <w:lang w:eastAsia="ru-RU"/>
              </w:rPr>
              <w:t xml:space="preserve"> готовые реакционные смеси – не менее 60 шт.; </w:t>
            </w:r>
          </w:p>
          <w:p w14:paraId="17F80664"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lastRenderedPageBreak/>
              <w:t xml:space="preserve">3) пробирки 1,5 мл – не менее 50 шт.; </w:t>
            </w:r>
          </w:p>
          <w:p w14:paraId="2119E06E"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4) наконечники для автоматических пипеток объемом 200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 не менее 200 шт.; </w:t>
            </w:r>
          </w:p>
          <w:p w14:paraId="78C394FA"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5) пинцет – не менее 1 шт.; </w:t>
            </w:r>
          </w:p>
          <w:p w14:paraId="023743CB"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6) растворы для выделения ДНК – не менее 2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 xml:space="preserve">; </w:t>
            </w:r>
          </w:p>
          <w:p w14:paraId="1D3077B9"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7) положительный контроль – не менее 3 шт.; </w:t>
            </w:r>
          </w:p>
          <w:p w14:paraId="676DB7CB"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8) отрицательный контроль – не менее 3 шт.; </w:t>
            </w:r>
          </w:p>
          <w:p w14:paraId="7730D171"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9) </w:t>
            </w:r>
            <w:proofErr w:type="spellStart"/>
            <w:r w:rsidRPr="00E654A6">
              <w:rPr>
                <w:rFonts w:ascii="Times New Roman" w:eastAsia="Times New Roman" w:hAnsi="Times New Roman" w:cs="Times New Roman"/>
                <w:color w:val="000000"/>
                <w:lang w:eastAsia="ru-RU"/>
              </w:rPr>
              <w:t>агароза</w:t>
            </w:r>
            <w:proofErr w:type="spellEnd"/>
            <w:r w:rsidRPr="00E654A6">
              <w:rPr>
                <w:rFonts w:ascii="Times New Roman" w:eastAsia="Times New Roman" w:hAnsi="Times New Roman" w:cs="Times New Roman"/>
                <w:color w:val="000000"/>
                <w:lang w:eastAsia="ru-RU"/>
              </w:rPr>
              <w:t xml:space="preserve"> с низким </w:t>
            </w:r>
            <w:proofErr w:type="spellStart"/>
            <w:r w:rsidRPr="00E654A6">
              <w:rPr>
                <w:rFonts w:ascii="Times New Roman" w:eastAsia="Times New Roman" w:hAnsi="Times New Roman" w:cs="Times New Roman"/>
                <w:color w:val="000000"/>
                <w:lang w:eastAsia="ru-RU"/>
              </w:rPr>
              <w:t>эндоэлектроосмосом</w:t>
            </w:r>
            <w:proofErr w:type="spellEnd"/>
            <w:r w:rsidRPr="00E654A6">
              <w:rPr>
                <w:rFonts w:ascii="Times New Roman" w:eastAsia="Times New Roman" w:hAnsi="Times New Roman" w:cs="Times New Roman"/>
                <w:color w:val="000000"/>
                <w:lang w:eastAsia="ru-RU"/>
              </w:rPr>
              <w:t xml:space="preserve"> – не менее 10 г.; </w:t>
            </w:r>
          </w:p>
          <w:p w14:paraId="26DFCF11"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10) буферный раствор ТАЕ 50х – не менее 40 мл.; </w:t>
            </w:r>
          </w:p>
          <w:p w14:paraId="7317921E"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11) маркеры молекулярной массы ДНК – не менее 50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w:t>
            </w:r>
          </w:p>
          <w:p w14:paraId="6A4D8C05"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12) буфер для нанесения образцов на </w:t>
            </w:r>
            <w:proofErr w:type="spellStart"/>
            <w:r w:rsidRPr="00E654A6">
              <w:rPr>
                <w:rFonts w:ascii="Times New Roman" w:eastAsia="Times New Roman" w:hAnsi="Times New Roman" w:cs="Times New Roman"/>
                <w:color w:val="000000"/>
                <w:lang w:eastAsia="ru-RU"/>
              </w:rPr>
              <w:t>агарозный</w:t>
            </w:r>
            <w:proofErr w:type="spellEnd"/>
            <w:r w:rsidRPr="00E654A6">
              <w:rPr>
                <w:rFonts w:ascii="Times New Roman" w:eastAsia="Times New Roman" w:hAnsi="Times New Roman" w:cs="Times New Roman"/>
                <w:color w:val="000000"/>
                <w:lang w:eastAsia="ru-RU"/>
              </w:rPr>
              <w:t xml:space="preserve"> гель 4х – не менее 1 мл </w:t>
            </w:r>
          </w:p>
          <w:p w14:paraId="3C019739"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13) упаковка с </w:t>
            </w:r>
            <w:proofErr w:type="spellStart"/>
            <w:r w:rsidRPr="00E654A6">
              <w:rPr>
                <w:rFonts w:ascii="Times New Roman" w:eastAsia="Times New Roman" w:hAnsi="Times New Roman" w:cs="Times New Roman"/>
                <w:color w:val="000000"/>
                <w:lang w:eastAsia="ru-RU"/>
              </w:rPr>
              <w:t>хладоэлементами</w:t>
            </w:r>
            <w:proofErr w:type="spellEnd"/>
            <w:r w:rsidRPr="00E654A6">
              <w:rPr>
                <w:rFonts w:ascii="Times New Roman" w:eastAsia="Times New Roman" w:hAnsi="Times New Roman" w:cs="Times New Roman"/>
                <w:color w:val="000000"/>
                <w:lang w:eastAsia="ru-RU"/>
              </w:rPr>
              <w:t xml:space="preserve"> (при транспортировке в теплое время года) – не менее 1 шт. </w:t>
            </w:r>
          </w:p>
          <w:p w14:paraId="241345C4" w14:textId="77777777" w:rsidR="00DC347E" w:rsidRPr="00E654A6" w:rsidRDefault="00DC347E" w:rsidP="00C4449D">
            <w:pPr>
              <w:spacing w:after="0"/>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14) методические рекомендации – не менее 5 экз. </w:t>
            </w:r>
          </w:p>
        </w:tc>
        <w:tc>
          <w:tcPr>
            <w:tcW w:w="435" w:type="pct"/>
            <w:tcBorders>
              <w:bottom w:val="single" w:sz="4" w:space="0" w:color="000000"/>
              <w:right w:val="single" w:sz="4" w:space="0" w:color="000000"/>
            </w:tcBorders>
          </w:tcPr>
          <w:p w14:paraId="126844CD"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proofErr w:type="spellStart"/>
            <w:r w:rsidRPr="00E654A6">
              <w:rPr>
                <w:rFonts w:ascii="Times New Roman" w:eastAsia="Times New Roman" w:hAnsi="Times New Roman" w:cs="Times New Roman"/>
                <w:color w:val="000000"/>
                <w:lang w:eastAsia="ru-RU"/>
              </w:rPr>
              <w:lastRenderedPageBreak/>
              <w:t>шт</w:t>
            </w:r>
            <w:proofErr w:type="spellEnd"/>
          </w:p>
        </w:tc>
        <w:tc>
          <w:tcPr>
            <w:tcW w:w="320" w:type="pct"/>
            <w:tcBorders>
              <w:bottom w:val="single" w:sz="4" w:space="0" w:color="000000"/>
              <w:right w:val="single" w:sz="4" w:space="0" w:color="000000"/>
            </w:tcBorders>
          </w:tcPr>
          <w:p w14:paraId="452422B9"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w:t>
            </w:r>
          </w:p>
        </w:tc>
      </w:tr>
      <w:tr w:rsidR="00DC347E" w:rsidRPr="00E654A6" w14:paraId="6015712B" w14:textId="77777777" w:rsidTr="00BE73D9">
        <w:tblPrEx>
          <w:tblLook w:val="04A0" w:firstRow="1" w:lastRow="0" w:firstColumn="1" w:lastColumn="0" w:noHBand="0" w:noVBand="1"/>
        </w:tblPrEx>
        <w:trPr>
          <w:gridAfter w:val="1"/>
          <w:wAfter w:w="90" w:type="pct"/>
          <w:trHeight w:val="112"/>
        </w:trPr>
        <w:tc>
          <w:tcPr>
            <w:tcW w:w="293" w:type="pct"/>
            <w:tcBorders>
              <w:left w:val="single" w:sz="4" w:space="0" w:color="000000"/>
              <w:bottom w:val="single" w:sz="4" w:space="0" w:color="000000"/>
              <w:right w:val="single" w:sz="4" w:space="0" w:color="000000"/>
            </w:tcBorders>
            <w:shd w:val="clear" w:color="FFFFFF" w:fill="FFFFFF"/>
          </w:tcPr>
          <w:p w14:paraId="5042579F"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lastRenderedPageBreak/>
              <w:t>2</w:t>
            </w:r>
          </w:p>
        </w:tc>
        <w:tc>
          <w:tcPr>
            <w:tcW w:w="956" w:type="pct"/>
            <w:gridSpan w:val="2"/>
            <w:tcBorders>
              <w:bottom w:val="single" w:sz="4" w:space="0" w:color="000000"/>
              <w:right w:val="single" w:sz="4" w:space="0" w:color="000000"/>
            </w:tcBorders>
            <w:shd w:val="clear" w:color="FFFFFF" w:fill="FFFFFF"/>
          </w:tcPr>
          <w:p w14:paraId="1C284ADA"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Набор «Определение пола человека»</w:t>
            </w:r>
          </w:p>
        </w:tc>
        <w:tc>
          <w:tcPr>
            <w:tcW w:w="2907" w:type="pct"/>
            <w:gridSpan w:val="2"/>
            <w:tcBorders>
              <w:bottom w:val="single" w:sz="4" w:space="0" w:color="000000"/>
              <w:right w:val="single" w:sz="4" w:space="0" w:color="000000"/>
            </w:tcBorders>
            <w:shd w:val="clear" w:color="FFFFFF" w:fill="FFFFFF"/>
          </w:tcPr>
          <w:p w14:paraId="50CC49BD" w14:textId="7660CD8F"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Назначение – Занятие обучает школьника основам ранней диагностики: определению наличия Y-хромосомы методом ПЦР.</w:t>
            </w:r>
          </w:p>
          <w:p w14:paraId="4835A882" w14:textId="7352FDD9"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Число экспериментов: не менее 20 занятий/человек. </w:t>
            </w:r>
          </w:p>
          <w:p w14:paraId="44307E95"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Состав набора:</w:t>
            </w:r>
          </w:p>
          <w:p w14:paraId="1374FEE9"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 стерильная ватная палочка – не менее 20 шт.; </w:t>
            </w:r>
          </w:p>
          <w:p w14:paraId="0A63EFE3"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2) пробирки для ПЦР, содержащие </w:t>
            </w:r>
            <w:proofErr w:type="spellStart"/>
            <w:r w:rsidRPr="00E654A6">
              <w:rPr>
                <w:rFonts w:ascii="Times New Roman" w:eastAsia="Times New Roman" w:hAnsi="Times New Roman" w:cs="Times New Roman"/>
                <w:color w:val="000000"/>
                <w:lang w:eastAsia="ru-RU"/>
              </w:rPr>
              <w:t>лиофилизованные</w:t>
            </w:r>
            <w:proofErr w:type="spellEnd"/>
            <w:r w:rsidRPr="00E654A6">
              <w:rPr>
                <w:rFonts w:ascii="Times New Roman" w:eastAsia="Times New Roman" w:hAnsi="Times New Roman" w:cs="Times New Roman"/>
                <w:color w:val="000000"/>
                <w:lang w:eastAsia="ru-RU"/>
              </w:rPr>
              <w:t xml:space="preserve"> готовые реакционные смеси – не менее 60 шт.; </w:t>
            </w:r>
          </w:p>
          <w:p w14:paraId="36F696A1"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3) пробирки 1,5 мл – не менее 50 шт.; </w:t>
            </w:r>
          </w:p>
          <w:p w14:paraId="2CFD7D0D"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4) наконечники для автоматических пипеток объемом 200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 не менее 200 шт.; </w:t>
            </w:r>
          </w:p>
          <w:p w14:paraId="13B3180B"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5) пинцет – не менее 1 шт.; </w:t>
            </w:r>
          </w:p>
          <w:p w14:paraId="58AE19F0"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6) растворы для выделения ДНК – не менее 2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 xml:space="preserve">; </w:t>
            </w:r>
          </w:p>
          <w:p w14:paraId="2A25F204"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7) положительный контроль – не менее 3 шт.; </w:t>
            </w:r>
          </w:p>
          <w:p w14:paraId="0CC25787"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8) отрицательный контроль – не менее 3 шт.; </w:t>
            </w:r>
          </w:p>
          <w:p w14:paraId="16A481E1"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9) </w:t>
            </w:r>
            <w:proofErr w:type="spellStart"/>
            <w:r w:rsidRPr="00E654A6">
              <w:rPr>
                <w:rFonts w:ascii="Times New Roman" w:eastAsia="Times New Roman" w:hAnsi="Times New Roman" w:cs="Times New Roman"/>
                <w:color w:val="000000"/>
                <w:lang w:eastAsia="ru-RU"/>
              </w:rPr>
              <w:t>агароза</w:t>
            </w:r>
            <w:proofErr w:type="spellEnd"/>
            <w:r w:rsidRPr="00E654A6">
              <w:rPr>
                <w:rFonts w:ascii="Times New Roman" w:eastAsia="Times New Roman" w:hAnsi="Times New Roman" w:cs="Times New Roman"/>
                <w:color w:val="000000"/>
                <w:lang w:eastAsia="ru-RU"/>
              </w:rPr>
              <w:t xml:space="preserve"> с низким </w:t>
            </w:r>
            <w:proofErr w:type="spellStart"/>
            <w:r w:rsidRPr="00E654A6">
              <w:rPr>
                <w:rFonts w:ascii="Times New Roman" w:eastAsia="Times New Roman" w:hAnsi="Times New Roman" w:cs="Times New Roman"/>
                <w:color w:val="000000"/>
                <w:lang w:eastAsia="ru-RU"/>
              </w:rPr>
              <w:t>эндоэлектроосмосом</w:t>
            </w:r>
            <w:proofErr w:type="spellEnd"/>
            <w:r w:rsidRPr="00E654A6">
              <w:rPr>
                <w:rFonts w:ascii="Times New Roman" w:eastAsia="Times New Roman" w:hAnsi="Times New Roman" w:cs="Times New Roman"/>
                <w:color w:val="000000"/>
                <w:lang w:eastAsia="ru-RU"/>
              </w:rPr>
              <w:t xml:space="preserve"> – не менее 10 г.; </w:t>
            </w:r>
          </w:p>
          <w:p w14:paraId="4017522E"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10) буферный раствор ТАЕ 50х – не менее 40 мл.; </w:t>
            </w:r>
          </w:p>
          <w:p w14:paraId="59B88673"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11) маркеры молекулярной массы ДНК – не менее 50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w:t>
            </w:r>
          </w:p>
          <w:p w14:paraId="170ADE85"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12) буфер для нанесения образцов на </w:t>
            </w:r>
            <w:proofErr w:type="spellStart"/>
            <w:r w:rsidRPr="00E654A6">
              <w:rPr>
                <w:rFonts w:ascii="Times New Roman" w:eastAsia="Times New Roman" w:hAnsi="Times New Roman" w:cs="Times New Roman"/>
                <w:color w:val="000000"/>
                <w:lang w:eastAsia="ru-RU"/>
              </w:rPr>
              <w:t>агарозный</w:t>
            </w:r>
            <w:proofErr w:type="spellEnd"/>
            <w:r w:rsidRPr="00E654A6">
              <w:rPr>
                <w:rFonts w:ascii="Times New Roman" w:eastAsia="Times New Roman" w:hAnsi="Times New Roman" w:cs="Times New Roman"/>
                <w:color w:val="000000"/>
                <w:lang w:eastAsia="ru-RU"/>
              </w:rPr>
              <w:t xml:space="preserve"> гель 4х – не менее 1 мл </w:t>
            </w:r>
          </w:p>
          <w:p w14:paraId="170747A5"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13) упаковка с </w:t>
            </w:r>
            <w:proofErr w:type="spellStart"/>
            <w:r w:rsidRPr="00E654A6">
              <w:rPr>
                <w:rFonts w:ascii="Times New Roman" w:eastAsia="Times New Roman" w:hAnsi="Times New Roman" w:cs="Times New Roman"/>
                <w:color w:val="000000"/>
                <w:lang w:eastAsia="ru-RU"/>
              </w:rPr>
              <w:t>хладоэлементами</w:t>
            </w:r>
            <w:proofErr w:type="spellEnd"/>
            <w:r w:rsidRPr="00E654A6">
              <w:rPr>
                <w:rFonts w:ascii="Times New Roman" w:eastAsia="Times New Roman" w:hAnsi="Times New Roman" w:cs="Times New Roman"/>
                <w:color w:val="000000"/>
                <w:lang w:eastAsia="ru-RU"/>
              </w:rPr>
              <w:t xml:space="preserve"> (при транспортировке в теплое время года) – не менее 1 шт. </w:t>
            </w:r>
          </w:p>
          <w:p w14:paraId="51E156E1" w14:textId="516811C3" w:rsidR="00A112CD" w:rsidRPr="00E654A6" w:rsidRDefault="00A112CD" w:rsidP="00A112C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14) методические рекомендации – не менее 5 экз.</w:t>
            </w:r>
          </w:p>
          <w:p w14:paraId="207E36FD" w14:textId="77777777" w:rsidR="00A112CD" w:rsidRPr="00E654A6" w:rsidRDefault="00A112CD" w:rsidP="00A112CD">
            <w:pPr>
              <w:spacing w:after="0" w:line="240" w:lineRule="auto"/>
              <w:rPr>
                <w:rFonts w:ascii="Times New Roman" w:eastAsia="Times New Roman" w:hAnsi="Times New Roman" w:cs="Times New Roman"/>
                <w:color w:val="000000"/>
                <w:lang w:eastAsia="ru-RU"/>
              </w:rPr>
            </w:pPr>
          </w:p>
          <w:p w14:paraId="4D8E5CB1" w14:textId="0EA32BAE"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Программное обеспечение для реализации учебной программы учащихся </w:t>
            </w:r>
            <w:r w:rsidR="00A112CD" w:rsidRPr="00E654A6">
              <w:rPr>
                <w:rFonts w:ascii="Times New Roman" w:eastAsia="Times New Roman" w:hAnsi="Times New Roman" w:cs="Times New Roman"/>
                <w:color w:val="000000"/>
                <w:highlight w:val="yellow"/>
                <w:lang w:eastAsia="ru-RU"/>
              </w:rPr>
              <w:t>(ОКПД2 62.01.29.000 Запрет):</w:t>
            </w:r>
          </w:p>
          <w:p w14:paraId="6986C77E" w14:textId="403A127A"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ab/>
            </w:r>
          </w:p>
          <w:p w14:paraId="72A01AC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Иерархическое разделение материала по темам\</w:t>
            </w:r>
            <w:proofErr w:type="spellStart"/>
            <w:r w:rsidRPr="00E654A6">
              <w:rPr>
                <w:rFonts w:ascii="Times New Roman" w:eastAsia="Times New Roman" w:hAnsi="Times New Roman" w:cs="Times New Roman"/>
                <w:color w:val="000000"/>
                <w:lang w:eastAsia="ru-RU"/>
              </w:rPr>
              <w:t>подтемам</w:t>
            </w:r>
            <w:proofErr w:type="spellEnd"/>
            <w:r w:rsidRPr="00E654A6">
              <w:rPr>
                <w:rFonts w:ascii="Times New Roman" w:eastAsia="Times New Roman" w:hAnsi="Times New Roman" w:cs="Times New Roman"/>
                <w:color w:val="000000"/>
                <w:lang w:eastAsia="ru-RU"/>
              </w:rPr>
              <w:t xml:space="preserve"> Наличие</w:t>
            </w:r>
          </w:p>
          <w:p w14:paraId="032FC3E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создания материала самостоятельно внутри программы Наличие</w:t>
            </w:r>
          </w:p>
          <w:p w14:paraId="5A7BEBCE"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Навигация по программе на всех экранах Наличие</w:t>
            </w:r>
          </w:p>
          <w:p w14:paraId="5F122B1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Интерактивные возможности работы</w:t>
            </w:r>
            <w:r w:rsidRPr="00E654A6">
              <w:rPr>
                <w:rFonts w:ascii="Times New Roman" w:eastAsia="Times New Roman" w:hAnsi="Times New Roman" w:cs="Times New Roman"/>
                <w:color w:val="000000"/>
                <w:lang w:eastAsia="ru-RU"/>
              </w:rPr>
              <w:tab/>
            </w:r>
          </w:p>
          <w:p w14:paraId="570BAF0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Расстановка ответов из вариантов из предложенных Наличие</w:t>
            </w:r>
          </w:p>
          <w:p w14:paraId="764676AE"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Проверка выбранных ответов на правильность Наличие</w:t>
            </w:r>
          </w:p>
          <w:p w14:paraId="0843FAE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Инструменты рисования на демонстрационном материале Наличие</w:t>
            </w:r>
          </w:p>
          <w:p w14:paraId="32FE50E8"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Интерактивные графики с изменяемыми параметрами Наличие</w:t>
            </w:r>
          </w:p>
          <w:p w14:paraId="6172A2F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Интерактивные области на демонстрационном материале Наличие</w:t>
            </w:r>
          </w:p>
          <w:p w14:paraId="05E2603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Интерактивные слайды с заданиями Наличие</w:t>
            </w:r>
          </w:p>
          <w:p w14:paraId="58918481"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Интерактивные викторины Наличие</w:t>
            </w:r>
          </w:p>
          <w:p w14:paraId="61952BFE"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Разделение возможностей в викторинах - режим работы </w:t>
            </w:r>
            <w:r w:rsidRPr="00E654A6">
              <w:rPr>
                <w:rFonts w:ascii="Times New Roman" w:eastAsia="Times New Roman" w:hAnsi="Times New Roman" w:cs="Times New Roman"/>
                <w:color w:val="000000"/>
                <w:lang w:eastAsia="ru-RU"/>
              </w:rPr>
              <w:lastRenderedPageBreak/>
              <w:t>учитель Наличие</w:t>
            </w:r>
          </w:p>
          <w:p w14:paraId="32C5950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Разделение возможностей в викторинах - режим работы ученик Наличие</w:t>
            </w:r>
          </w:p>
          <w:p w14:paraId="60F2FAA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Навигация по программе - возможность возврата в предыдущую тему\</w:t>
            </w:r>
            <w:proofErr w:type="spellStart"/>
            <w:r w:rsidRPr="00E654A6">
              <w:rPr>
                <w:rFonts w:ascii="Times New Roman" w:eastAsia="Times New Roman" w:hAnsi="Times New Roman" w:cs="Times New Roman"/>
                <w:color w:val="000000"/>
                <w:lang w:eastAsia="ru-RU"/>
              </w:rPr>
              <w:t>подтему</w:t>
            </w:r>
            <w:proofErr w:type="spellEnd"/>
            <w:r w:rsidRPr="00E654A6">
              <w:rPr>
                <w:rFonts w:ascii="Times New Roman" w:eastAsia="Times New Roman" w:hAnsi="Times New Roman" w:cs="Times New Roman"/>
                <w:color w:val="000000"/>
                <w:lang w:eastAsia="ru-RU"/>
              </w:rPr>
              <w:t xml:space="preserve"> Наличие</w:t>
            </w:r>
          </w:p>
          <w:p w14:paraId="6486624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Навигация по программе - переход между демонстрационным материалом внутри темы\</w:t>
            </w:r>
            <w:proofErr w:type="spellStart"/>
            <w:r w:rsidRPr="00E654A6">
              <w:rPr>
                <w:rFonts w:ascii="Times New Roman" w:eastAsia="Times New Roman" w:hAnsi="Times New Roman" w:cs="Times New Roman"/>
                <w:color w:val="000000"/>
                <w:lang w:eastAsia="ru-RU"/>
              </w:rPr>
              <w:t>подтемы</w:t>
            </w:r>
            <w:proofErr w:type="spellEnd"/>
            <w:r w:rsidRPr="00E654A6">
              <w:rPr>
                <w:rFonts w:ascii="Times New Roman" w:eastAsia="Times New Roman" w:hAnsi="Times New Roman" w:cs="Times New Roman"/>
                <w:color w:val="000000"/>
                <w:lang w:eastAsia="ru-RU"/>
              </w:rPr>
              <w:t xml:space="preserve"> Наличие</w:t>
            </w:r>
          </w:p>
          <w:p w14:paraId="1274616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Инструменты рисования</w:t>
            </w:r>
            <w:r w:rsidRPr="00E654A6">
              <w:rPr>
                <w:rFonts w:ascii="Times New Roman" w:eastAsia="Times New Roman" w:hAnsi="Times New Roman" w:cs="Times New Roman"/>
                <w:color w:val="000000"/>
                <w:lang w:eastAsia="ru-RU"/>
              </w:rPr>
              <w:tab/>
            </w:r>
          </w:p>
          <w:p w14:paraId="15C9AE0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Свободное рисование Наличие</w:t>
            </w:r>
          </w:p>
          <w:p w14:paraId="7526BEF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Линия Наличие</w:t>
            </w:r>
          </w:p>
          <w:p w14:paraId="6A7954A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Овал Наличие</w:t>
            </w:r>
          </w:p>
          <w:p w14:paraId="4BB0C68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Прямоугольник Наличие</w:t>
            </w:r>
          </w:p>
          <w:p w14:paraId="57BE318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Стрелка Наличие</w:t>
            </w:r>
          </w:p>
          <w:p w14:paraId="367E7F6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Ластик для стирания результатов Наличие</w:t>
            </w:r>
          </w:p>
          <w:p w14:paraId="2DEB56B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Полная очистка нарисованного Наличие</w:t>
            </w:r>
          </w:p>
          <w:p w14:paraId="386A3CF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Выбор толщины\размера линии Наличие</w:t>
            </w:r>
          </w:p>
          <w:p w14:paraId="5EB28A9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Выбор цвета пера\линии Наличие</w:t>
            </w:r>
          </w:p>
          <w:p w14:paraId="027B335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Печать демонстрационного материала, в том числе с отметками (рисунками) пользователя, в </w:t>
            </w:r>
            <w:proofErr w:type="spellStart"/>
            <w:r w:rsidRPr="00E654A6">
              <w:rPr>
                <w:rFonts w:ascii="Times New Roman" w:eastAsia="Times New Roman" w:hAnsi="Times New Roman" w:cs="Times New Roman"/>
                <w:color w:val="000000"/>
                <w:lang w:eastAsia="ru-RU"/>
              </w:rPr>
              <w:t>Windows</w:t>
            </w:r>
            <w:proofErr w:type="spellEnd"/>
            <w:r w:rsidRPr="00E654A6">
              <w:rPr>
                <w:rFonts w:ascii="Times New Roman" w:eastAsia="Times New Roman" w:hAnsi="Times New Roman" w:cs="Times New Roman"/>
                <w:color w:val="000000"/>
                <w:lang w:eastAsia="ru-RU"/>
              </w:rPr>
              <w:t xml:space="preserve"> Наличие</w:t>
            </w:r>
          </w:p>
          <w:p w14:paraId="4B6DA02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Печать демонстрационного материала, в том числе с отметками (рисунками) пользователя, в </w:t>
            </w:r>
            <w:proofErr w:type="spellStart"/>
            <w:r w:rsidRPr="00E654A6">
              <w:rPr>
                <w:rFonts w:ascii="Times New Roman" w:eastAsia="Times New Roman" w:hAnsi="Times New Roman" w:cs="Times New Roman"/>
                <w:color w:val="000000"/>
                <w:lang w:eastAsia="ru-RU"/>
              </w:rPr>
              <w:t>Linux</w:t>
            </w:r>
            <w:proofErr w:type="spellEnd"/>
            <w:r w:rsidRPr="00E654A6">
              <w:rPr>
                <w:rFonts w:ascii="Times New Roman" w:eastAsia="Times New Roman" w:hAnsi="Times New Roman" w:cs="Times New Roman"/>
                <w:color w:val="000000"/>
                <w:lang w:eastAsia="ru-RU"/>
              </w:rPr>
              <w:t xml:space="preserve"> Наличие</w:t>
            </w:r>
          </w:p>
          <w:p w14:paraId="47A66C5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Встроенная защита от контрафактного использования, с выводом на экран бланка лицензии с указанием </w:t>
            </w:r>
            <w:proofErr w:type="spellStart"/>
            <w:r w:rsidRPr="00E654A6">
              <w:rPr>
                <w:rFonts w:ascii="Times New Roman" w:eastAsia="Times New Roman" w:hAnsi="Times New Roman" w:cs="Times New Roman"/>
                <w:color w:val="000000"/>
                <w:lang w:eastAsia="ru-RU"/>
              </w:rPr>
              <w:t>инн</w:t>
            </w:r>
            <w:proofErr w:type="spellEnd"/>
            <w:r w:rsidRPr="00E654A6">
              <w:rPr>
                <w:rFonts w:ascii="Times New Roman" w:eastAsia="Times New Roman" w:hAnsi="Times New Roman" w:cs="Times New Roman"/>
                <w:color w:val="000000"/>
                <w:lang w:eastAsia="ru-RU"/>
              </w:rPr>
              <w:t>, место нахождение, срок действия лицензии, сублицензиата Наличие</w:t>
            </w:r>
          </w:p>
          <w:p w14:paraId="5697F4F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Отображение демонстрационных материалов в виде списка при входе в тему\</w:t>
            </w:r>
            <w:proofErr w:type="spellStart"/>
            <w:r w:rsidRPr="00E654A6">
              <w:rPr>
                <w:rFonts w:ascii="Times New Roman" w:eastAsia="Times New Roman" w:hAnsi="Times New Roman" w:cs="Times New Roman"/>
                <w:color w:val="000000"/>
                <w:lang w:eastAsia="ru-RU"/>
              </w:rPr>
              <w:t>подтему</w:t>
            </w:r>
            <w:proofErr w:type="spellEnd"/>
            <w:r w:rsidRPr="00E654A6">
              <w:rPr>
                <w:rFonts w:ascii="Times New Roman" w:eastAsia="Times New Roman" w:hAnsi="Times New Roman" w:cs="Times New Roman"/>
                <w:color w:val="000000"/>
                <w:lang w:eastAsia="ru-RU"/>
              </w:rPr>
              <w:t xml:space="preserve"> Наличие</w:t>
            </w:r>
          </w:p>
          <w:p w14:paraId="1E9E798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Отображение уменьшенного вида демонстрационного материала в списке справа от названия материала Наличие</w:t>
            </w:r>
          </w:p>
          <w:p w14:paraId="40A843C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Отображение иконки папки для темы\</w:t>
            </w:r>
            <w:proofErr w:type="spellStart"/>
            <w:r w:rsidRPr="00E654A6">
              <w:rPr>
                <w:rFonts w:ascii="Times New Roman" w:eastAsia="Times New Roman" w:hAnsi="Times New Roman" w:cs="Times New Roman"/>
                <w:color w:val="000000"/>
                <w:lang w:eastAsia="ru-RU"/>
              </w:rPr>
              <w:t>подтемы</w:t>
            </w:r>
            <w:proofErr w:type="spellEnd"/>
            <w:r w:rsidRPr="00E654A6">
              <w:rPr>
                <w:rFonts w:ascii="Times New Roman" w:eastAsia="Times New Roman" w:hAnsi="Times New Roman" w:cs="Times New Roman"/>
                <w:color w:val="000000"/>
                <w:lang w:eastAsia="ru-RU"/>
              </w:rPr>
              <w:t xml:space="preserve"> в списке, справа от названия темы\</w:t>
            </w:r>
            <w:proofErr w:type="spellStart"/>
            <w:r w:rsidRPr="00E654A6">
              <w:rPr>
                <w:rFonts w:ascii="Times New Roman" w:eastAsia="Times New Roman" w:hAnsi="Times New Roman" w:cs="Times New Roman"/>
                <w:color w:val="000000"/>
                <w:lang w:eastAsia="ru-RU"/>
              </w:rPr>
              <w:t>подтемы</w:t>
            </w:r>
            <w:proofErr w:type="spellEnd"/>
            <w:r w:rsidRPr="00E654A6">
              <w:rPr>
                <w:rFonts w:ascii="Times New Roman" w:eastAsia="Times New Roman" w:hAnsi="Times New Roman" w:cs="Times New Roman"/>
                <w:color w:val="000000"/>
                <w:lang w:eastAsia="ru-RU"/>
              </w:rPr>
              <w:t xml:space="preserve"> Наличие</w:t>
            </w:r>
          </w:p>
          <w:p w14:paraId="123CCAB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Управление созданными самостоятельно материалами - возможность создания Наличие</w:t>
            </w:r>
          </w:p>
          <w:p w14:paraId="41398268"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Управление созданными самостоятельно материалами - возможность удаления Наличие</w:t>
            </w:r>
          </w:p>
          <w:p w14:paraId="564CA4E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Функциональные возможности викторины для контроля пройденного материала</w:t>
            </w:r>
            <w:r w:rsidRPr="00E654A6">
              <w:rPr>
                <w:rFonts w:ascii="Times New Roman" w:eastAsia="Times New Roman" w:hAnsi="Times New Roman" w:cs="Times New Roman"/>
                <w:color w:val="000000"/>
                <w:lang w:eastAsia="ru-RU"/>
              </w:rPr>
              <w:tab/>
            </w:r>
          </w:p>
          <w:p w14:paraId="555EF29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просмотра результатов викторины по ФИО Наличие</w:t>
            </w:r>
          </w:p>
          <w:p w14:paraId="368D0E9A"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просмотра результатов викторины по классу Наличие</w:t>
            </w:r>
          </w:p>
          <w:p w14:paraId="5C7606EE"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просмотра результатов викторины по подгруппе Наличие</w:t>
            </w:r>
          </w:p>
          <w:p w14:paraId="36F4C243"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просмотра результатов викторины по времени прохождения Наличие</w:t>
            </w:r>
          </w:p>
          <w:p w14:paraId="66CD4A1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просмотра результатов викторины по количеству правильных ответов Наличие</w:t>
            </w:r>
          </w:p>
          <w:p w14:paraId="6CA07F0A"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просмотра результатов викторины по наименованию викторины Наличие</w:t>
            </w:r>
          </w:p>
          <w:p w14:paraId="64369A4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Защита паролем режима для учителя Наличие</w:t>
            </w:r>
          </w:p>
          <w:p w14:paraId="1DCA0C3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экспорта результатов викторины в файл Наличие</w:t>
            </w:r>
          </w:p>
          <w:p w14:paraId="6B441D3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вывода статистики по группам по результатам прохождения викторины Наличие</w:t>
            </w:r>
          </w:p>
          <w:p w14:paraId="2F224C8E"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вывода статистики по названию викторины по результатам ее прохождения Наличие</w:t>
            </w:r>
          </w:p>
          <w:p w14:paraId="51DFC19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вывода статистики по среднему баллу викторины по результатам ее прохождения Наличие</w:t>
            </w:r>
          </w:p>
          <w:p w14:paraId="1013C908"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вывода статистики по лучшему результату викторины по результатам ее прохождения Наличие</w:t>
            </w:r>
          </w:p>
          <w:p w14:paraId="6213EA5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lastRenderedPageBreak/>
              <w:t>Возможность вывода статистики по среднему времени викторины по результатам ее прохождения Наличие</w:t>
            </w:r>
          </w:p>
          <w:p w14:paraId="3111A21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Возможность экспорта статистики викторины в файл Наличие</w:t>
            </w:r>
          </w:p>
          <w:p w14:paraId="5FDACC0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Содержание и количественный состав курсов\тем\</w:t>
            </w:r>
            <w:proofErr w:type="spellStart"/>
            <w:r w:rsidRPr="00E654A6">
              <w:rPr>
                <w:rFonts w:ascii="Times New Roman" w:eastAsia="Times New Roman" w:hAnsi="Times New Roman" w:cs="Times New Roman"/>
                <w:color w:val="000000"/>
                <w:lang w:eastAsia="ru-RU"/>
              </w:rPr>
              <w:t>подтем</w:t>
            </w:r>
            <w:proofErr w:type="spellEnd"/>
            <w:r w:rsidRPr="00E654A6">
              <w:rPr>
                <w:rFonts w:ascii="Times New Roman" w:eastAsia="Times New Roman" w:hAnsi="Times New Roman" w:cs="Times New Roman"/>
                <w:color w:val="000000"/>
                <w:lang w:eastAsia="ru-RU"/>
              </w:rPr>
              <w:t>.</w:t>
            </w:r>
          </w:p>
          <w:p w14:paraId="67D33FC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 Мужская половая система;</w:t>
            </w:r>
          </w:p>
          <w:p w14:paraId="2E429773"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2. Строение мышц;</w:t>
            </w:r>
          </w:p>
          <w:p w14:paraId="4BB8EEA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3. Основы визуализации тела человека и методы диагностики</w:t>
            </w:r>
          </w:p>
          <w:p w14:paraId="10A8F270"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4. Строение и работа сердца;</w:t>
            </w:r>
          </w:p>
          <w:p w14:paraId="3C695DC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5. Здоровый образ жизни</w:t>
            </w:r>
          </w:p>
          <w:p w14:paraId="313F396A"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6. Дыхание;</w:t>
            </w:r>
          </w:p>
          <w:p w14:paraId="618A7218"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7. Пищеварение;</w:t>
            </w:r>
          </w:p>
          <w:p w14:paraId="1747F3B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8. Строение почки;</w:t>
            </w:r>
          </w:p>
          <w:p w14:paraId="3E5D63A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9. Кожа. Строение и функции кожи;</w:t>
            </w:r>
          </w:p>
          <w:p w14:paraId="1FC51C5E"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10. Кости. Типы костей и их соединение, строение костей;</w:t>
            </w:r>
          </w:p>
          <w:p w14:paraId="67DE110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11. Женская половая система;</w:t>
            </w:r>
          </w:p>
          <w:p w14:paraId="4D40DD7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12. Органы чувств. Восприятие;</w:t>
            </w:r>
          </w:p>
          <w:p w14:paraId="4C7CEB7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13. Спинной мозг. Головной мозг;</w:t>
            </w:r>
          </w:p>
          <w:p w14:paraId="6F62B1E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14. Типы тканей;</w:t>
            </w:r>
          </w:p>
          <w:p w14:paraId="38511F60"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15. Связь кровообращения и лимфообращения;</w:t>
            </w:r>
          </w:p>
          <w:p w14:paraId="1B2D81F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16. Медицинские аспекты с использованием знаний о строении тела человека</w:t>
            </w:r>
          </w:p>
          <w:p w14:paraId="3BDF9D4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17. Нервная система. Функции нервной системы;</w:t>
            </w:r>
          </w:p>
        </w:tc>
        <w:tc>
          <w:tcPr>
            <w:tcW w:w="435" w:type="pct"/>
            <w:tcBorders>
              <w:bottom w:val="single" w:sz="4" w:space="0" w:color="000000"/>
              <w:right w:val="single" w:sz="4" w:space="0" w:color="000000"/>
            </w:tcBorders>
            <w:shd w:val="clear" w:color="FFFFFF" w:fill="FFFFFF"/>
          </w:tcPr>
          <w:p w14:paraId="0CA15748"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proofErr w:type="spellStart"/>
            <w:r w:rsidRPr="00E654A6">
              <w:rPr>
                <w:rFonts w:ascii="Times New Roman" w:eastAsia="Times New Roman" w:hAnsi="Times New Roman" w:cs="Times New Roman"/>
                <w:color w:val="000000"/>
                <w:lang w:eastAsia="ru-RU"/>
              </w:rPr>
              <w:lastRenderedPageBreak/>
              <w:t>шт</w:t>
            </w:r>
            <w:proofErr w:type="spellEnd"/>
          </w:p>
        </w:tc>
        <w:tc>
          <w:tcPr>
            <w:tcW w:w="320" w:type="pct"/>
            <w:tcBorders>
              <w:bottom w:val="single" w:sz="4" w:space="0" w:color="000000"/>
              <w:right w:val="single" w:sz="4" w:space="0" w:color="000000"/>
            </w:tcBorders>
            <w:shd w:val="clear" w:color="FFFFFF" w:fill="FFFFFF"/>
          </w:tcPr>
          <w:p w14:paraId="249E1842"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w:t>
            </w:r>
          </w:p>
        </w:tc>
      </w:tr>
      <w:tr w:rsidR="00DC347E" w:rsidRPr="00E654A6" w14:paraId="1ABD8EF8" w14:textId="77777777" w:rsidTr="00BE73D9">
        <w:tblPrEx>
          <w:tblLook w:val="04A0" w:firstRow="1" w:lastRow="0" w:firstColumn="1" w:lastColumn="0" w:noHBand="0" w:noVBand="1"/>
        </w:tblPrEx>
        <w:trPr>
          <w:gridAfter w:val="1"/>
          <w:wAfter w:w="90" w:type="pct"/>
          <w:trHeight w:val="112"/>
        </w:trPr>
        <w:tc>
          <w:tcPr>
            <w:tcW w:w="293" w:type="pct"/>
            <w:tcBorders>
              <w:left w:val="single" w:sz="4" w:space="0" w:color="000000"/>
              <w:bottom w:val="single" w:sz="4" w:space="0" w:color="000000"/>
              <w:right w:val="single" w:sz="4" w:space="0" w:color="000000"/>
            </w:tcBorders>
            <w:shd w:val="clear" w:color="FFFFFF" w:fill="FFFFFF"/>
          </w:tcPr>
          <w:p w14:paraId="31A36C9E"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lastRenderedPageBreak/>
              <w:t>3</w:t>
            </w:r>
          </w:p>
        </w:tc>
        <w:tc>
          <w:tcPr>
            <w:tcW w:w="956" w:type="pct"/>
            <w:gridSpan w:val="2"/>
            <w:tcBorders>
              <w:bottom w:val="single" w:sz="4" w:space="0" w:color="000000"/>
              <w:right w:val="single" w:sz="4" w:space="0" w:color="000000"/>
            </w:tcBorders>
            <w:shd w:val="clear" w:color="FFFFFF" w:fill="FFFFFF"/>
          </w:tcPr>
          <w:p w14:paraId="658AB5C0"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Набор «Равновесие в популяции»</w:t>
            </w:r>
          </w:p>
        </w:tc>
        <w:tc>
          <w:tcPr>
            <w:tcW w:w="2907" w:type="pct"/>
            <w:gridSpan w:val="2"/>
            <w:tcBorders>
              <w:bottom w:val="single" w:sz="4" w:space="0" w:color="000000"/>
              <w:right w:val="single" w:sz="4" w:space="0" w:color="000000"/>
            </w:tcBorders>
            <w:shd w:val="clear" w:color="FFFFFF" w:fill="FFFFFF"/>
          </w:tcPr>
          <w:p w14:paraId="156B641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Состав набора:</w:t>
            </w:r>
          </w:p>
          <w:p w14:paraId="53EC6C73"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 стерильная ватная палочка – не менее 20 шт.; </w:t>
            </w:r>
          </w:p>
          <w:p w14:paraId="30094F4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2) пробирки для ПЦР, содержащие </w:t>
            </w:r>
            <w:proofErr w:type="spellStart"/>
            <w:r w:rsidRPr="00E654A6">
              <w:rPr>
                <w:rFonts w:ascii="Times New Roman" w:eastAsia="Times New Roman" w:hAnsi="Times New Roman" w:cs="Times New Roman"/>
                <w:color w:val="000000"/>
                <w:lang w:eastAsia="ru-RU"/>
              </w:rPr>
              <w:t>лиофилизованные</w:t>
            </w:r>
            <w:proofErr w:type="spellEnd"/>
            <w:r w:rsidRPr="00E654A6">
              <w:rPr>
                <w:rFonts w:ascii="Times New Roman" w:eastAsia="Times New Roman" w:hAnsi="Times New Roman" w:cs="Times New Roman"/>
                <w:color w:val="000000"/>
                <w:lang w:eastAsia="ru-RU"/>
              </w:rPr>
              <w:t xml:space="preserve"> готовые реакционные смеси – не менее 60 шт.; </w:t>
            </w:r>
          </w:p>
          <w:p w14:paraId="7033D01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3) пробирки 1,5 мл – не менее 50 шт.; </w:t>
            </w:r>
          </w:p>
          <w:p w14:paraId="0EC2755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4) наконечники для автоматических пипеток объемом 200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 не менее 200 шт.; </w:t>
            </w:r>
          </w:p>
          <w:p w14:paraId="551B8D8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5) пинцет – не менее 1 шт.; </w:t>
            </w:r>
          </w:p>
          <w:p w14:paraId="1D122DF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6) растворы для выделения ДНК – не менее 2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 xml:space="preserve">; </w:t>
            </w:r>
          </w:p>
          <w:p w14:paraId="5D7B45F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7) положительный контроль – не менее 3 шт.; </w:t>
            </w:r>
          </w:p>
          <w:p w14:paraId="5D37BC4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8) отрицательный контроль – не менее 3 шт.; </w:t>
            </w:r>
          </w:p>
          <w:p w14:paraId="3E3F5F7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9) </w:t>
            </w:r>
            <w:proofErr w:type="spellStart"/>
            <w:r w:rsidRPr="00E654A6">
              <w:rPr>
                <w:rFonts w:ascii="Times New Roman" w:eastAsia="Times New Roman" w:hAnsi="Times New Roman" w:cs="Times New Roman"/>
                <w:color w:val="000000"/>
                <w:lang w:eastAsia="ru-RU"/>
              </w:rPr>
              <w:t>агароза</w:t>
            </w:r>
            <w:proofErr w:type="spellEnd"/>
            <w:r w:rsidRPr="00E654A6">
              <w:rPr>
                <w:rFonts w:ascii="Times New Roman" w:eastAsia="Times New Roman" w:hAnsi="Times New Roman" w:cs="Times New Roman"/>
                <w:color w:val="000000"/>
                <w:lang w:eastAsia="ru-RU"/>
              </w:rPr>
              <w:t xml:space="preserve"> с низким </w:t>
            </w:r>
            <w:proofErr w:type="spellStart"/>
            <w:r w:rsidRPr="00E654A6">
              <w:rPr>
                <w:rFonts w:ascii="Times New Roman" w:eastAsia="Times New Roman" w:hAnsi="Times New Roman" w:cs="Times New Roman"/>
                <w:color w:val="000000"/>
                <w:lang w:eastAsia="ru-RU"/>
              </w:rPr>
              <w:t>эндоэлектроосмосом</w:t>
            </w:r>
            <w:proofErr w:type="spellEnd"/>
            <w:r w:rsidRPr="00E654A6">
              <w:rPr>
                <w:rFonts w:ascii="Times New Roman" w:eastAsia="Times New Roman" w:hAnsi="Times New Roman" w:cs="Times New Roman"/>
                <w:color w:val="000000"/>
                <w:lang w:eastAsia="ru-RU"/>
              </w:rPr>
              <w:t xml:space="preserve"> – не менее 10 г.; </w:t>
            </w:r>
          </w:p>
          <w:p w14:paraId="203F1AE0"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10) буферный раствор ТАЕ 50х – не менее 40 мл.; </w:t>
            </w:r>
          </w:p>
          <w:p w14:paraId="2FF6BC6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11) маркеры молекулярной массы ДНК – не менее 50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w:t>
            </w:r>
          </w:p>
          <w:p w14:paraId="27A6514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12) буфер для нанесения образцов на </w:t>
            </w:r>
            <w:proofErr w:type="spellStart"/>
            <w:r w:rsidRPr="00E654A6">
              <w:rPr>
                <w:rFonts w:ascii="Times New Roman" w:eastAsia="Times New Roman" w:hAnsi="Times New Roman" w:cs="Times New Roman"/>
                <w:color w:val="000000"/>
                <w:lang w:eastAsia="ru-RU"/>
              </w:rPr>
              <w:t>агарозный</w:t>
            </w:r>
            <w:proofErr w:type="spellEnd"/>
            <w:r w:rsidRPr="00E654A6">
              <w:rPr>
                <w:rFonts w:ascii="Times New Roman" w:eastAsia="Times New Roman" w:hAnsi="Times New Roman" w:cs="Times New Roman"/>
                <w:color w:val="000000"/>
                <w:lang w:eastAsia="ru-RU"/>
              </w:rPr>
              <w:t xml:space="preserve"> гель 4х – не менее 1 мл </w:t>
            </w:r>
          </w:p>
          <w:p w14:paraId="3289ABF3"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13) упаковка с </w:t>
            </w:r>
            <w:proofErr w:type="spellStart"/>
            <w:r w:rsidRPr="00E654A6">
              <w:rPr>
                <w:rFonts w:ascii="Times New Roman" w:eastAsia="Times New Roman" w:hAnsi="Times New Roman" w:cs="Times New Roman"/>
                <w:color w:val="000000"/>
                <w:lang w:eastAsia="ru-RU"/>
              </w:rPr>
              <w:t>хладоэлементами</w:t>
            </w:r>
            <w:proofErr w:type="spellEnd"/>
            <w:r w:rsidRPr="00E654A6">
              <w:rPr>
                <w:rFonts w:ascii="Times New Roman" w:eastAsia="Times New Roman" w:hAnsi="Times New Roman" w:cs="Times New Roman"/>
                <w:color w:val="000000"/>
                <w:lang w:eastAsia="ru-RU"/>
              </w:rPr>
              <w:t xml:space="preserve"> (при транспортировке в теплое время года) – не менее 1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 xml:space="preserve">; </w:t>
            </w:r>
          </w:p>
          <w:p w14:paraId="66964CD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14) методические рекомендации – не менее 5 экз.</w:t>
            </w:r>
          </w:p>
        </w:tc>
        <w:tc>
          <w:tcPr>
            <w:tcW w:w="435" w:type="pct"/>
            <w:tcBorders>
              <w:bottom w:val="single" w:sz="4" w:space="0" w:color="000000"/>
              <w:right w:val="single" w:sz="4" w:space="0" w:color="000000"/>
            </w:tcBorders>
            <w:shd w:val="clear" w:color="FFFFFF" w:fill="FFFFFF"/>
          </w:tcPr>
          <w:p w14:paraId="2F0F8DFB"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proofErr w:type="spellStart"/>
            <w:r w:rsidRPr="00E654A6">
              <w:rPr>
                <w:rFonts w:ascii="Times New Roman" w:eastAsia="Times New Roman" w:hAnsi="Times New Roman" w:cs="Times New Roman"/>
                <w:color w:val="000000"/>
                <w:lang w:eastAsia="ru-RU"/>
              </w:rPr>
              <w:t>шт</w:t>
            </w:r>
            <w:proofErr w:type="spellEnd"/>
          </w:p>
        </w:tc>
        <w:tc>
          <w:tcPr>
            <w:tcW w:w="320" w:type="pct"/>
            <w:tcBorders>
              <w:bottom w:val="single" w:sz="4" w:space="0" w:color="000000"/>
              <w:right w:val="single" w:sz="4" w:space="0" w:color="000000"/>
            </w:tcBorders>
            <w:shd w:val="clear" w:color="FFFFFF" w:fill="FFFFFF"/>
          </w:tcPr>
          <w:p w14:paraId="02C6ABE8"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w:t>
            </w:r>
          </w:p>
        </w:tc>
      </w:tr>
      <w:tr w:rsidR="00DC347E" w:rsidRPr="00E654A6" w14:paraId="3989B39F" w14:textId="77777777" w:rsidTr="00BE73D9">
        <w:tblPrEx>
          <w:tblLook w:val="04A0" w:firstRow="1" w:lastRow="0" w:firstColumn="1" w:lastColumn="0" w:noHBand="0" w:noVBand="1"/>
        </w:tblPrEx>
        <w:trPr>
          <w:gridAfter w:val="1"/>
          <w:wAfter w:w="90" w:type="pct"/>
          <w:trHeight w:val="112"/>
        </w:trPr>
        <w:tc>
          <w:tcPr>
            <w:tcW w:w="293" w:type="pct"/>
            <w:tcBorders>
              <w:left w:val="single" w:sz="4" w:space="0" w:color="000000"/>
              <w:bottom w:val="single" w:sz="4" w:space="0" w:color="000000"/>
              <w:right w:val="single" w:sz="4" w:space="0" w:color="000000"/>
            </w:tcBorders>
            <w:shd w:val="clear" w:color="FFFFFF" w:fill="FFFFFF"/>
          </w:tcPr>
          <w:p w14:paraId="75226F99"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4</w:t>
            </w:r>
          </w:p>
        </w:tc>
        <w:tc>
          <w:tcPr>
            <w:tcW w:w="956" w:type="pct"/>
            <w:gridSpan w:val="2"/>
            <w:tcBorders>
              <w:bottom w:val="single" w:sz="4" w:space="0" w:color="000000"/>
              <w:right w:val="single" w:sz="4" w:space="0" w:color="000000"/>
            </w:tcBorders>
            <w:shd w:val="clear" w:color="FFFFFF" w:fill="FFFFFF"/>
          </w:tcPr>
          <w:p w14:paraId="45203791"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Набор «Определение гена метаболизма кофеина»</w:t>
            </w:r>
          </w:p>
        </w:tc>
        <w:tc>
          <w:tcPr>
            <w:tcW w:w="2907" w:type="pct"/>
            <w:gridSpan w:val="2"/>
            <w:tcBorders>
              <w:bottom w:val="single" w:sz="4" w:space="0" w:color="000000"/>
              <w:right w:val="single" w:sz="4" w:space="0" w:color="000000"/>
            </w:tcBorders>
            <w:shd w:val="clear" w:color="FFFFFF" w:fill="FFFFFF"/>
          </w:tcPr>
          <w:p w14:paraId="0000A09A" w14:textId="411372E8"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Назначение</w:t>
            </w:r>
            <w:r w:rsidR="00667446" w:rsidRPr="00E654A6">
              <w:rPr>
                <w:rFonts w:ascii="Times New Roman" w:eastAsia="Times New Roman" w:hAnsi="Times New Roman" w:cs="Times New Roman"/>
                <w:color w:val="000000"/>
                <w:lang w:eastAsia="ru-RU"/>
              </w:rPr>
              <w:t>: п</w:t>
            </w:r>
            <w:r w:rsidRPr="00E654A6">
              <w:rPr>
                <w:rFonts w:ascii="Times New Roman" w:eastAsia="Times New Roman" w:hAnsi="Times New Roman" w:cs="Times New Roman"/>
                <w:color w:val="000000"/>
                <w:lang w:eastAsia="ru-RU"/>
              </w:rPr>
              <w:t xml:space="preserve">о итогу занятия, школьники могут проанализировать собственный материал и сделать выводы о допустимой дозе кофеина для своего организма. </w:t>
            </w:r>
          </w:p>
          <w:p w14:paraId="331DEF24" w14:textId="24DB4ED0"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Число экспериментов: </w:t>
            </w:r>
            <w:r w:rsidR="00667446" w:rsidRPr="00E654A6">
              <w:rPr>
                <w:rFonts w:ascii="Times New Roman" w:eastAsia="Times New Roman" w:hAnsi="Times New Roman" w:cs="Times New Roman"/>
                <w:color w:val="000000"/>
                <w:lang w:eastAsia="ru-RU"/>
              </w:rPr>
              <w:t xml:space="preserve">не менее </w:t>
            </w:r>
            <w:r w:rsidRPr="00E654A6">
              <w:rPr>
                <w:rFonts w:ascii="Times New Roman" w:eastAsia="Times New Roman" w:hAnsi="Times New Roman" w:cs="Times New Roman"/>
                <w:color w:val="000000"/>
                <w:lang w:eastAsia="ru-RU"/>
              </w:rPr>
              <w:t>20 занятий/человек.</w:t>
            </w:r>
          </w:p>
          <w:p w14:paraId="1E6BFE9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Состав набора:</w:t>
            </w:r>
          </w:p>
          <w:p w14:paraId="3012A53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 стерильная ватная палочка – не менее 20 шт.; </w:t>
            </w:r>
          </w:p>
          <w:p w14:paraId="56584DC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2) пробирки для ПЦР, содержащие </w:t>
            </w:r>
            <w:proofErr w:type="spellStart"/>
            <w:r w:rsidRPr="00E654A6">
              <w:rPr>
                <w:rFonts w:ascii="Times New Roman" w:eastAsia="Times New Roman" w:hAnsi="Times New Roman" w:cs="Times New Roman"/>
                <w:color w:val="000000"/>
                <w:lang w:eastAsia="ru-RU"/>
              </w:rPr>
              <w:t>лиофилизованные</w:t>
            </w:r>
            <w:proofErr w:type="spellEnd"/>
            <w:r w:rsidRPr="00E654A6">
              <w:rPr>
                <w:rFonts w:ascii="Times New Roman" w:eastAsia="Times New Roman" w:hAnsi="Times New Roman" w:cs="Times New Roman"/>
                <w:color w:val="000000"/>
                <w:lang w:eastAsia="ru-RU"/>
              </w:rPr>
              <w:t xml:space="preserve"> готовые реакционные смеси – не менее 60 шт.; </w:t>
            </w:r>
          </w:p>
          <w:p w14:paraId="14AD74C3"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3) пробирки 1,5 мл – не менее 50 шт.; </w:t>
            </w:r>
          </w:p>
          <w:p w14:paraId="5D6514A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4) наконечники для автоматических пипеток объемом 200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 не менее 200 шт.; </w:t>
            </w:r>
          </w:p>
          <w:p w14:paraId="09D67D9A"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5) пинцет – не менее 1 шт.; </w:t>
            </w:r>
          </w:p>
          <w:p w14:paraId="049D272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6) растворы для выделения ДНК – не менее 2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 xml:space="preserve">; </w:t>
            </w:r>
          </w:p>
          <w:p w14:paraId="1BF300F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7) положительный контроль – не менее 3 шт.; </w:t>
            </w:r>
          </w:p>
          <w:p w14:paraId="5478033A"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8) отрицательный контроль – не менее 3 шт.; </w:t>
            </w:r>
          </w:p>
          <w:p w14:paraId="1B20B49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9) </w:t>
            </w:r>
            <w:proofErr w:type="spellStart"/>
            <w:r w:rsidRPr="00E654A6">
              <w:rPr>
                <w:rFonts w:ascii="Times New Roman" w:eastAsia="Times New Roman" w:hAnsi="Times New Roman" w:cs="Times New Roman"/>
                <w:color w:val="000000"/>
                <w:lang w:eastAsia="ru-RU"/>
              </w:rPr>
              <w:t>агароза</w:t>
            </w:r>
            <w:proofErr w:type="spellEnd"/>
            <w:r w:rsidRPr="00E654A6">
              <w:rPr>
                <w:rFonts w:ascii="Times New Roman" w:eastAsia="Times New Roman" w:hAnsi="Times New Roman" w:cs="Times New Roman"/>
                <w:color w:val="000000"/>
                <w:lang w:eastAsia="ru-RU"/>
              </w:rPr>
              <w:t xml:space="preserve"> с низким </w:t>
            </w:r>
            <w:proofErr w:type="spellStart"/>
            <w:r w:rsidRPr="00E654A6">
              <w:rPr>
                <w:rFonts w:ascii="Times New Roman" w:eastAsia="Times New Roman" w:hAnsi="Times New Roman" w:cs="Times New Roman"/>
                <w:color w:val="000000"/>
                <w:lang w:eastAsia="ru-RU"/>
              </w:rPr>
              <w:t>эндоэлектроосмосом</w:t>
            </w:r>
            <w:proofErr w:type="spellEnd"/>
            <w:r w:rsidRPr="00E654A6">
              <w:rPr>
                <w:rFonts w:ascii="Times New Roman" w:eastAsia="Times New Roman" w:hAnsi="Times New Roman" w:cs="Times New Roman"/>
                <w:color w:val="000000"/>
                <w:lang w:eastAsia="ru-RU"/>
              </w:rPr>
              <w:t xml:space="preserve"> – не менее 10 г.; </w:t>
            </w:r>
          </w:p>
          <w:p w14:paraId="50BBF91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10) буферный раствор ТАЕ 50х – не менее 40 мл.; </w:t>
            </w:r>
          </w:p>
          <w:p w14:paraId="5650B09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11) маркеры молекулярной массы ДНК – не менее 50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w:t>
            </w:r>
          </w:p>
          <w:p w14:paraId="70936FA3"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lastRenderedPageBreak/>
              <w:t xml:space="preserve">12) буфер для нанесения образцов на </w:t>
            </w:r>
            <w:proofErr w:type="spellStart"/>
            <w:r w:rsidRPr="00E654A6">
              <w:rPr>
                <w:rFonts w:ascii="Times New Roman" w:eastAsia="Times New Roman" w:hAnsi="Times New Roman" w:cs="Times New Roman"/>
                <w:color w:val="000000"/>
                <w:lang w:eastAsia="ru-RU"/>
              </w:rPr>
              <w:t>агарозный</w:t>
            </w:r>
            <w:proofErr w:type="spellEnd"/>
            <w:r w:rsidRPr="00E654A6">
              <w:rPr>
                <w:rFonts w:ascii="Times New Roman" w:eastAsia="Times New Roman" w:hAnsi="Times New Roman" w:cs="Times New Roman"/>
                <w:color w:val="000000"/>
                <w:lang w:eastAsia="ru-RU"/>
              </w:rPr>
              <w:t xml:space="preserve"> гель 4х – не менее 1 мл </w:t>
            </w:r>
          </w:p>
          <w:p w14:paraId="632EB7C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13) упаковка с </w:t>
            </w:r>
            <w:proofErr w:type="spellStart"/>
            <w:r w:rsidRPr="00E654A6">
              <w:rPr>
                <w:rFonts w:ascii="Times New Roman" w:eastAsia="Times New Roman" w:hAnsi="Times New Roman" w:cs="Times New Roman"/>
                <w:color w:val="000000"/>
                <w:lang w:eastAsia="ru-RU"/>
              </w:rPr>
              <w:t>хладоэлементами</w:t>
            </w:r>
            <w:proofErr w:type="spellEnd"/>
            <w:r w:rsidRPr="00E654A6">
              <w:rPr>
                <w:rFonts w:ascii="Times New Roman" w:eastAsia="Times New Roman" w:hAnsi="Times New Roman" w:cs="Times New Roman"/>
                <w:color w:val="000000"/>
                <w:lang w:eastAsia="ru-RU"/>
              </w:rPr>
              <w:t xml:space="preserve"> (при транспортировке в теплое время года) – не менее 1 шт. </w:t>
            </w:r>
          </w:p>
          <w:p w14:paraId="124E096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14) методические рекомендации – не менее 5 экз.</w:t>
            </w:r>
          </w:p>
        </w:tc>
        <w:tc>
          <w:tcPr>
            <w:tcW w:w="435" w:type="pct"/>
            <w:tcBorders>
              <w:bottom w:val="single" w:sz="4" w:space="0" w:color="000000"/>
              <w:right w:val="single" w:sz="4" w:space="0" w:color="000000"/>
            </w:tcBorders>
            <w:shd w:val="clear" w:color="FFFFFF" w:fill="FFFFFF"/>
          </w:tcPr>
          <w:p w14:paraId="56CC0E75"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proofErr w:type="spellStart"/>
            <w:r w:rsidRPr="00E654A6">
              <w:rPr>
                <w:rFonts w:ascii="Times New Roman" w:eastAsia="Times New Roman" w:hAnsi="Times New Roman" w:cs="Times New Roman"/>
                <w:color w:val="000000"/>
                <w:lang w:eastAsia="ru-RU"/>
              </w:rPr>
              <w:lastRenderedPageBreak/>
              <w:t>шт</w:t>
            </w:r>
            <w:proofErr w:type="spellEnd"/>
          </w:p>
        </w:tc>
        <w:tc>
          <w:tcPr>
            <w:tcW w:w="320" w:type="pct"/>
            <w:tcBorders>
              <w:bottom w:val="single" w:sz="4" w:space="0" w:color="000000"/>
              <w:right w:val="single" w:sz="4" w:space="0" w:color="000000"/>
            </w:tcBorders>
            <w:shd w:val="clear" w:color="FFFFFF" w:fill="FFFFFF"/>
          </w:tcPr>
          <w:p w14:paraId="6D538E5F"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w:t>
            </w:r>
          </w:p>
        </w:tc>
      </w:tr>
      <w:tr w:rsidR="00DC347E" w:rsidRPr="00E654A6" w14:paraId="7DD1C067" w14:textId="77777777" w:rsidTr="00BE73D9">
        <w:tblPrEx>
          <w:tblLook w:val="04A0" w:firstRow="1" w:lastRow="0" w:firstColumn="1" w:lastColumn="0" w:noHBand="0" w:noVBand="1"/>
        </w:tblPrEx>
        <w:trPr>
          <w:gridAfter w:val="1"/>
          <w:wAfter w:w="90" w:type="pct"/>
          <w:trHeight w:val="112"/>
        </w:trPr>
        <w:tc>
          <w:tcPr>
            <w:tcW w:w="293" w:type="pct"/>
            <w:tcBorders>
              <w:left w:val="single" w:sz="4" w:space="0" w:color="000000"/>
              <w:bottom w:val="single" w:sz="4" w:space="0" w:color="000000"/>
              <w:right w:val="single" w:sz="4" w:space="0" w:color="000000"/>
            </w:tcBorders>
            <w:shd w:val="clear" w:color="FFFFFF" w:fill="FFFFFF"/>
          </w:tcPr>
          <w:p w14:paraId="72BC9DD2"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lastRenderedPageBreak/>
              <w:t>5</w:t>
            </w:r>
          </w:p>
        </w:tc>
        <w:tc>
          <w:tcPr>
            <w:tcW w:w="956" w:type="pct"/>
            <w:gridSpan w:val="2"/>
            <w:tcBorders>
              <w:bottom w:val="single" w:sz="4" w:space="0" w:color="000000"/>
              <w:right w:val="single" w:sz="4" w:space="0" w:color="000000"/>
            </w:tcBorders>
            <w:shd w:val="clear" w:color="FFFFFF" w:fill="FFFFFF"/>
          </w:tcPr>
          <w:p w14:paraId="48FF70EF"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Набор «Состав злаков в хлебной продукции»</w:t>
            </w:r>
          </w:p>
        </w:tc>
        <w:tc>
          <w:tcPr>
            <w:tcW w:w="2907" w:type="pct"/>
            <w:gridSpan w:val="2"/>
            <w:tcBorders>
              <w:bottom w:val="single" w:sz="4" w:space="0" w:color="000000"/>
              <w:right w:val="single" w:sz="4" w:space="0" w:color="000000"/>
            </w:tcBorders>
            <w:shd w:val="clear" w:color="FFFFFF" w:fill="FFFFFF"/>
          </w:tcPr>
          <w:p w14:paraId="0A9C4D2E" w14:textId="3812D4FA" w:rsidR="00DC347E" w:rsidRPr="00E654A6" w:rsidRDefault="00667446"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Назначение: </w:t>
            </w:r>
            <w:r w:rsidR="00DC347E" w:rsidRPr="00E654A6">
              <w:rPr>
                <w:rFonts w:ascii="Times New Roman" w:eastAsia="Times New Roman" w:hAnsi="Times New Roman" w:cs="Times New Roman"/>
                <w:color w:val="000000"/>
                <w:lang w:eastAsia="ru-RU"/>
              </w:rPr>
              <w:t xml:space="preserve">В данной работе учащимся предлагается определить состав хлебной продукции, которую они ежедневно употребляют. </w:t>
            </w:r>
          </w:p>
          <w:p w14:paraId="5E2CF985" w14:textId="77777777" w:rsidR="00667446"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Число экспериментов: </w:t>
            </w:r>
            <w:r w:rsidR="00667446" w:rsidRPr="00E654A6">
              <w:rPr>
                <w:rFonts w:ascii="Times New Roman" w:eastAsia="Times New Roman" w:hAnsi="Times New Roman" w:cs="Times New Roman"/>
                <w:color w:val="000000"/>
                <w:lang w:eastAsia="ru-RU"/>
              </w:rPr>
              <w:t xml:space="preserve">не менее </w:t>
            </w:r>
            <w:r w:rsidRPr="00E654A6">
              <w:rPr>
                <w:rFonts w:ascii="Times New Roman" w:eastAsia="Times New Roman" w:hAnsi="Times New Roman" w:cs="Times New Roman"/>
                <w:color w:val="000000"/>
                <w:lang w:eastAsia="ru-RU"/>
              </w:rPr>
              <w:t>20 занятий/человек.</w:t>
            </w:r>
          </w:p>
          <w:p w14:paraId="294994B6" w14:textId="202C4A59"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 Состав набора:</w:t>
            </w:r>
          </w:p>
          <w:p w14:paraId="06DACA0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 колонки для выделения ДНК – не менее 5 шт.;</w:t>
            </w:r>
          </w:p>
          <w:p w14:paraId="12856C6D"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2) растворы для выделения ДНК – не менее 4 шт.;</w:t>
            </w:r>
          </w:p>
          <w:p w14:paraId="239D4B1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3) пробирки для ПЦР, содержащие </w:t>
            </w:r>
            <w:proofErr w:type="spellStart"/>
            <w:r w:rsidRPr="00E654A6">
              <w:rPr>
                <w:rFonts w:ascii="Times New Roman" w:eastAsia="Times New Roman" w:hAnsi="Times New Roman" w:cs="Times New Roman"/>
                <w:color w:val="000000"/>
                <w:lang w:eastAsia="ru-RU"/>
              </w:rPr>
              <w:t>лиофилизованные</w:t>
            </w:r>
            <w:proofErr w:type="spellEnd"/>
            <w:r w:rsidRPr="00E654A6">
              <w:rPr>
                <w:rFonts w:ascii="Times New Roman" w:eastAsia="Times New Roman" w:hAnsi="Times New Roman" w:cs="Times New Roman"/>
                <w:color w:val="000000"/>
                <w:lang w:eastAsia="ru-RU"/>
              </w:rPr>
              <w:t xml:space="preserve"> готовые реакционные смеси</w:t>
            </w:r>
          </w:p>
          <w:p w14:paraId="6455B13A"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не менее 75 шт.;</w:t>
            </w:r>
          </w:p>
          <w:p w14:paraId="467CE70B"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4) пробирки 1,5 мл – не менее 50 шт.;</w:t>
            </w:r>
          </w:p>
          <w:p w14:paraId="40B87D31"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5) наконечники для автоматических пипеток объемом 200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 не менее 200 шт.;</w:t>
            </w:r>
          </w:p>
          <w:p w14:paraId="00A7A5B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6) пинцет – не менее 1 шт.;</w:t>
            </w:r>
          </w:p>
          <w:p w14:paraId="3A8DC41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7) положительный контроль – не менее 3 шт.;</w:t>
            </w:r>
          </w:p>
          <w:p w14:paraId="6BA9437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8) отрицательный контроль – не менее 3 шт.;</w:t>
            </w:r>
          </w:p>
          <w:p w14:paraId="578DCA4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9) </w:t>
            </w:r>
            <w:proofErr w:type="spellStart"/>
            <w:r w:rsidRPr="00E654A6">
              <w:rPr>
                <w:rFonts w:ascii="Times New Roman" w:eastAsia="Times New Roman" w:hAnsi="Times New Roman" w:cs="Times New Roman"/>
                <w:color w:val="000000"/>
                <w:lang w:eastAsia="ru-RU"/>
              </w:rPr>
              <w:t>агароза</w:t>
            </w:r>
            <w:proofErr w:type="spellEnd"/>
            <w:r w:rsidRPr="00E654A6">
              <w:rPr>
                <w:rFonts w:ascii="Times New Roman" w:eastAsia="Times New Roman" w:hAnsi="Times New Roman" w:cs="Times New Roman"/>
                <w:color w:val="000000"/>
                <w:lang w:eastAsia="ru-RU"/>
              </w:rPr>
              <w:t xml:space="preserve"> с низким </w:t>
            </w:r>
            <w:proofErr w:type="spellStart"/>
            <w:r w:rsidRPr="00E654A6">
              <w:rPr>
                <w:rFonts w:ascii="Times New Roman" w:eastAsia="Times New Roman" w:hAnsi="Times New Roman" w:cs="Times New Roman"/>
                <w:color w:val="000000"/>
                <w:lang w:eastAsia="ru-RU"/>
              </w:rPr>
              <w:t>эндоэлектроосмосом</w:t>
            </w:r>
            <w:proofErr w:type="spellEnd"/>
            <w:r w:rsidRPr="00E654A6">
              <w:rPr>
                <w:rFonts w:ascii="Times New Roman" w:eastAsia="Times New Roman" w:hAnsi="Times New Roman" w:cs="Times New Roman"/>
                <w:color w:val="000000"/>
                <w:lang w:eastAsia="ru-RU"/>
              </w:rPr>
              <w:t xml:space="preserve"> – не менее 10 г.;</w:t>
            </w:r>
          </w:p>
          <w:p w14:paraId="7595D97C"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10) буферный раствор ТАЕ 50х – не менее 40 мл.;</w:t>
            </w:r>
          </w:p>
          <w:p w14:paraId="10C56622"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11) маркеры молекулярной массы ДНК – не менее 50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w:t>
            </w:r>
          </w:p>
          <w:p w14:paraId="7FEBD208"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12) буфер для нанесения образцов на </w:t>
            </w:r>
            <w:proofErr w:type="spellStart"/>
            <w:r w:rsidRPr="00E654A6">
              <w:rPr>
                <w:rFonts w:ascii="Times New Roman" w:eastAsia="Times New Roman" w:hAnsi="Times New Roman" w:cs="Times New Roman"/>
                <w:color w:val="000000"/>
                <w:lang w:eastAsia="ru-RU"/>
              </w:rPr>
              <w:t>агарозный</w:t>
            </w:r>
            <w:proofErr w:type="spellEnd"/>
            <w:r w:rsidRPr="00E654A6">
              <w:rPr>
                <w:rFonts w:ascii="Times New Roman" w:eastAsia="Times New Roman" w:hAnsi="Times New Roman" w:cs="Times New Roman"/>
                <w:color w:val="000000"/>
                <w:lang w:eastAsia="ru-RU"/>
              </w:rPr>
              <w:t xml:space="preserve"> гель 4х – не менее 1 мл;</w:t>
            </w:r>
          </w:p>
          <w:p w14:paraId="14E5792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13) упаковка с </w:t>
            </w:r>
            <w:proofErr w:type="spellStart"/>
            <w:r w:rsidRPr="00E654A6">
              <w:rPr>
                <w:rFonts w:ascii="Times New Roman" w:eastAsia="Times New Roman" w:hAnsi="Times New Roman" w:cs="Times New Roman"/>
                <w:color w:val="000000"/>
                <w:lang w:eastAsia="ru-RU"/>
              </w:rPr>
              <w:t>хладоэлементами</w:t>
            </w:r>
            <w:proofErr w:type="spellEnd"/>
            <w:r w:rsidRPr="00E654A6">
              <w:rPr>
                <w:rFonts w:ascii="Times New Roman" w:eastAsia="Times New Roman" w:hAnsi="Times New Roman" w:cs="Times New Roman"/>
                <w:color w:val="000000"/>
                <w:lang w:eastAsia="ru-RU"/>
              </w:rPr>
              <w:t xml:space="preserve"> (при транспортировке в теплое время года) – не менее 1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w:t>
            </w:r>
          </w:p>
          <w:p w14:paraId="426513D9"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14) методические рекомендации – не менее 5 экз.</w:t>
            </w:r>
          </w:p>
        </w:tc>
        <w:tc>
          <w:tcPr>
            <w:tcW w:w="435" w:type="pct"/>
            <w:tcBorders>
              <w:bottom w:val="single" w:sz="4" w:space="0" w:color="000000"/>
              <w:right w:val="single" w:sz="4" w:space="0" w:color="000000"/>
            </w:tcBorders>
            <w:shd w:val="clear" w:color="FFFFFF" w:fill="FFFFFF"/>
          </w:tcPr>
          <w:p w14:paraId="3AB74765" w14:textId="77777777" w:rsidR="00DC347E" w:rsidRPr="00E654A6" w:rsidRDefault="00DC347E" w:rsidP="00C4449D">
            <w:pPr>
              <w:spacing w:after="0"/>
              <w:jc w:val="center"/>
              <w:rPr>
                <w:rFonts w:ascii="Times New Roman" w:eastAsia="Times New Roman" w:hAnsi="Times New Roman" w:cs="Times New Roman"/>
                <w:color w:val="000000"/>
                <w:lang w:eastAsia="ru-RU"/>
              </w:rPr>
            </w:pPr>
            <w:proofErr w:type="spellStart"/>
            <w:r w:rsidRPr="00E654A6">
              <w:rPr>
                <w:rFonts w:ascii="Times New Roman" w:eastAsia="Times New Roman" w:hAnsi="Times New Roman" w:cs="Times New Roman"/>
                <w:color w:val="000000"/>
                <w:lang w:eastAsia="ru-RU"/>
              </w:rPr>
              <w:t>шт</w:t>
            </w:r>
            <w:proofErr w:type="spellEnd"/>
          </w:p>
        </w:tc>
        <w:tc>
          <w:tcPr>
            <w:tcW w:w="320" w:type="pct"/>
            <w:tcBorders>
              <w:bottom w:val="single" w:sz="4" w:space="0" w:color="000000"/>
              <w:right w:val="single" w:sz="4" w:space="0" w:color="000000"/>
            </w:tcBorders>
            <w:shd w:val="clear" w:color="FFFFFF" w:fill="FFFFFF"/>
          </w:tcPr>
          <w:p w14:paraId="243AC62F" w14:textId="77777777" w:rsidR="00DC347E" w:rsidRPr="00E654A6" w:rsidRDefault="00DC347E" w:rsidP="00C4449D">
            <w:pPr>
              <w:spacing w:after="0"/>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w:t>
            </w:r>
          </w:p>
        </w:tc>
      </w:tr>
      <w:tr w:rsidR="00DC347E" w:rsidRPr="00E654A6" w14:paraId="489DEEAA" w14:textId="77777777" w:rsidTr="00BE73D9">
        <w:tblPrEx>
          <w:tblLook w:val="04A0" w:firstRow="1" w:lastRow="0" w:firstColumn="1" w:lastColumn="0" w:noHBand="0" w:noVBand="1"/>
        </w:tblPrEx>
        <w:trPr>
          <w:gridAfter w:val="1"/>
          <w:wAfter w:w="90" w:type="pct"/>
          <w:trHeight w:val="112"/>
        </w:trPr>
        <w:tc>
          <w:tcPr>
            <w:tcW w:w="293" w:type="pct"/>
            <w:tcBorders>
              <w:left w:val="single" w:sz="4" w:space="0" w:color="000000"/>
              <w:bottom w:val="single" w:sz="4" w:space="0" w:color="000000"/>
              <w:right w:val="single" w:sz="4" w:space="0" w:color="000000"/>
            </w:tcBorders>
            <w:shd w:val="clear" w:color="FFFFFF" w:fill="FFFFFF"/>
          </w:tcPr>
          <w:p w14:paraId="72CF2C9F"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6</w:t>
            </w:r>
          </w:p>
        </w:tc>
        <w:tc>
          <w:tcPr>
            <w:tcW w:w="956" w:type="pct"/>
            <w:gridSpan w:val="2"/>
            <w:tcBorders>
              <w:bottom w:val="single" w:sz="4" w:space="0" w:color="000000"/>
              <w:right w:val="single" w:sz="4" w:space="0" w:color="000000"/>
            </w:tcBorders>
            <w:shd w:val="clear" w:color="FFFFFF" w:fill="FFFFFF"/>
          </w:tcPr>
          <w:p w14:paraId="10EFBDAF" w14:textId="77777777" w:rsidR="00DC347E" w:rsidRPr="00E654A6" w:rsidRDefault="00DC347E" w:rsidP="00C4449D">
            <w:pPr>
              <w:spacing w:after="0" w:line="240" w:lineRule="auto"/>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Набор «Определение ГМО в продуктах питания»</w:t>
            </w:r>
          </w:p>
        </w:tc>
        <w:tc>
          <w:tcPr>
            <w:tcW w:w="2907" w:type="pct"/>
            <w:gridSpan w:val="2"/>
            <w:tcBorders>
              <w:bottom w:val="single" w:sz="4" w:space="0" w:color="000000"/>
              <w:right w:val="single" w:sz="4" w:space="0" w:color="000000"/>
            </w:tcBorders>
            <w:shd w:val="clear" w:color="FFFFFF" w:fill="FFFFFF"/>
          </w:tcPr>
          <w:p w14:paraId="0FD7235C" w14:textId="2ECF1806" w:rsidR="00DC347E" w:rsidRPr="00E654A6" w:rsidRDefault="00667446"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Назначение: </w:t>
            </w:r>
            <w:r w:rsidR="00DC347E" w:rsidRPr="00E654A6">
              <w:rPr>
                <w:rFonts w:ascii="Times New Roman" w:eastAsia="Times New Roman" w:hAnsi="Times New Roman" w:cs="Times New Roman"/>
                <w:color w:val="000000"/>
                <w:lang w:eastAsia="ru-RU"/>
              </w:rPr>
              <w:t>В данной работе учащиеся научатся разрезать бактериальную ДНК на фрагменты и проанализируют фрагменты методом ПЦР.</w:t>
            </w:r>
          </w:p>
          <w:p w14:paraId="4B743BD7" w14:textId="1F1B32C2"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Число экспериментов: </w:t>
            </w:r>
            <w:r w:rsidR="00667446" w:rsidRPr="00E654A6">
              <w:rPr>
                <w:rFonts w:ascii="Times New Roman" w:eastAsia="Times New Roman" w:hAnsi="Times New Roman" w:cs="Times New Roman"/>
                <w:color w:val="000000"/>
                <w:lang w:eastAsia="ru-RU"/>
              </w:rPr>
              <w:t xml:space="preserve">не менее </w:t>
            </w:r>
            <w:r w:rsidRPr="00E654A6">
              <w:rPr>
                <w:rFonts w:ascii="Times New Roman" w:eastAsia="Times New Roman" w:hAnsi="Times New Roman" w:cs="Times New Roman"/>
                <w:color w:val="000000"/>
                <w:lang w:eastAsia="ru-RU"/>
              </w:rPr>
              <w:t>20 занятий/человек.</w:t>
            </w:r>
          </w:p>
          <w:p w14:paraId="4528828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Состав набора:</w:t>
            </w:r>
          </w:p>
          <w:p w14:paraId="3E23F2D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 ДНК плазмиды – не менее 25 мкг;</w:t>
            </w:r>
          </w:p>
          <w:p w14:paraId="04292497"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2) эндонуклеазы рестрикции, по 100 единиц активности – не менее 3 препаратов;</w:t>
            </w:r>
          </w:p>
          <w:p w14:paraId="396D6496"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3) раствор БСА 10 мг/мл – не менее 20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w:t>
            </w:r>
          </w:p>
          <w:p w14:paraId="34B89D0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4) </w:t>
            </w:r>
            <w:proofErr w:type="spellStart"/>
            <w:r w:rsidRPr="00E654A6">
              <w:rPr>
                <w:rFonts w:ascii="Times New Roman" w:eastAsia="Times New Roman" w:hAnsi="Times New Roman" w:cs="Times New Roman"/>
                <w:color w:val="000000"/>
                <w:lang w:eastAsia="ru-RU"/>
              </w:rPr>
              <w:t>агароза</w:t>
            </w:r>
            <w:proofErr w:type="spellEnd"/>
            <w:r w:rsidRPr="00E654A6">
              <w:rPr>
                <w:rFonts w:ascii="Times New Roman" w:eastAsia="Times New Roman" w:hAnsi="Times New Roman" w:cs="Times New Roman"/>
                <w:color w:val="000000"/>
                <w:lang w:eastAsia="ru-RU"/>
              </w:rPr>
              <w:t xml:space="preserve"> с низким </w:t>
            </w:r>
            <w:proofErr w:type="spellStart"/>
            <w:r w:rsidRPr="00E654A6">
              <w:rPr>
                <w:rFonts w:ascii="Times New Roman" w:eastAsia="Times New Roman" w:hAnsi="Times New Roman" w:cs="Times New Roman"/>
                <w:color w:val="000000"/>
                <w:lang w:eastAsia="ru-RU"/>
              </w:rPr>
              <w:t>эндоэлектроосмосом</w:t>
            </w:r>
            <w:proofErr w:type="spellEnd"/>
            <w:r w:rsidRPr="00E654A6">
              <w:rPr>
                <w:rFonts w:ascii="Times New Roman" w:eastAsia="Times New Roman" w:hAnsi="Times New Roman" w:cs="Times New Roman"/>
                <w:color w:val="000000"/>
                <w:lang w:eastAsia="ru-RU"/>
              </w:rPr>
              <w:t xml:space="preserve"> – не менее 10 г;</w:t>
            </w:r>
          </w:p>
          <w:p w14:paraId="296C8A15"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5) буферный раствор ТАЕ 50х для </w:t>
            </w:r>
            <w:proofErr w:type="spellStart"/>
            <w:r w:rsidRPr="00E654A6">
              <w:rPr>
                <w:rFonts w:ascii="Times New Roman" w:eastAsia="Times New Roman" w:hAnsi="Times New Roman" w:cs="Times New Roman"/>
                <w:color w:val="000000"/>
                <w:lang w:eastAsia="ru-RU"/>
              </w:rPr>
              <w:t>агарозного</w:t>
            </w:r>
            <w:proofErr w:type="spellEnd"/>
            <w:r w:rsidRPr="00E654A6">
              <w:rPr>
                <w:rFonts w:ascii="Times New Roman" w:eastAsia="Times New Roman" w:hAnsi="Times New Roman" w:cs="Times New Roman"/>
                <w:color w:val="000000"/>
                <w:lang w:eastAsia="ru-RU"/>
              </w:rPr>
              <w:t xml:space="preserve"> электрофореза – не менее 40 мл;</w:t>
            </w:r>
          </w:p>
          <w:p w14:paraId="43FA031F"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6) маркеры длины ДНК, содержащие полосы не менее 13 фрагментов длиной от 250 до 10000 пар нуклеотидов, концентрация 0,1 мг/мл – не менее 50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w:t>
            </w:r>
          </w:p>
          <w:p w14:paraId="69569EA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7) буфер для нанесения образцов на </w:t>
            </w:r>
            <w:proofErr w:type="spellStart"/>
            <w:r w:rsidRPr="00E654A6">
              <w:rPr>
                <w:rFonts w:ascii="Times New Roman" w:eastAsia="Times New Roman" w:hAnsi="Times New Roman" w:cs="Times New Roman"/>
                <w:color w:val="000000"/>
                <w:lang w:eastAsia="ru-RU"/>
              </w:rPr>
              <w:t>агарозный</w:t>
            </w:r>
            <w:proofErr w:type="spellEnd"/>
            <w:r w:rsidRPr="00E654A6">
              <w:rPr>
                <w:rFonts w:ascii="Times New Roman" w:eastAsia="Times New Roman" w:hAnsi="Times New Roman" w:cs="Times New Roman"/>
                <w:color w:val="000000"/>
                <w:lang w:eastAsia="ru-RU"/>
              </w:rPr>
              <w:t xml:space="preserve"> гель 4х – не менее 1 мл;</w:t>
            </w:r>
          </w:p>
          <w:p w14:paraId="3B10E660"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8) наконечники до 200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 не менее 200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w:t>
            </w:r>
          </w:p>
          <w:p w14:paraId="1262C0D4"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9) пробирки 600 </w:t>
            </w:r>
            <w:proofErr w:type="spellStart"/>
            <w:r w:rsidRPr="00E654A6">
              <w:rPr>
                <w:rFonts w:ascii="Times New Roman" w:eastAsia="Times New Roman" w:hAnsi="Times New Roman" w:cs="Times New Roman"/>
                <w:color w:val="000000"/>
                <w:lang w:eastAsia="ru-RU"/>
              </w:rPr>
              <w:t>мкл</w:t>
            </w:r>
            <w:proofErr w:type="spellEnd"/>
            <w:r w:rsidRPr="00E654A6">
              <w:rPr>
                <w:rFonts w:ascii="Times New Roman" w:eastAsia="Times New Roman" w:hAnsi="Times New Roman" w:cs="Times New Roman"/>
                <w:color w:val="000000"/>
                <w:lang w:eastAsia="ru-RU"/>
              </w:rPr>
              <w:t xml:space="preserve"> для проведения реакции – не менее 100 </w:t>
            </w:r>
            <w:proofErr w:type="spellStart"/>
            <w:r w:rsidRPr="00E654A6">
              <w:rPr>
                <w:rFonts w:ascii="Times New Roman" w:eastAsia="Times New Roman" w:hAnsi="Times New Roman" w:cs="Times New Roman"/>
                <w:color w:val="000000"/>
                <w:lang w:eastAsia="ru-RU"/>
              </w:rPr>
              <w:t>шт</w:t>
            </w:r>
            <w:proofErr w:type="spellEnd"/>
            <w:r w:rsidRPr="00E654A6">
              <w:rPr>
                <w:rFonts w:ascii="Times New Roman" w:eastAsia="Times New Roman" w:hAnsi="Times New Roman" w:cs="Times New Roman"/>
                <w:color w:val="000000"/>
                <w:lang w:eastAsia="ru-RU"/>
              </w:rPr>
              <w:t>;</w:t>
            </w:r>
          </w:p>
          <w:p w14:paraId="718C3138" w14:textId="77777777" w:rsidR="00DC347E" w:rsidRPr="00E654A6" w:rsidRDefault="00DC347E" w:rsidP="00C4449D">
            <w:pPr>
              <w:spacing w:after="0" w:line="240" w:lineRule="auto"/>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 xml:space="preserve">10) методические рекомендации – не менее 5 </w:t>
            </w:r>
            <w:proofErr w:type="spellStart"/>
            <w:r w:rsidRPr="00E654A6">
              <w:rPr>
                <w:rFonts w:ascii="Times New Roman" w:eastAsia="Times New Roman" w:hAnsi="Times New Roman" w:cs="Times New Roman"/>
                <w:color w:val="000000"/>
                <w:lang w:eastAsia="ru-RU"/>
              </w:rPr>
              <w:t>экз</w:t>
            </w:r>
            <w:proofErr w:type="spellEnd"/>
          </w:p>
          <w:p w14:paraId="2A4937FE" w14:textId="61F87E94" w:rsidR="00DC347E" w:rsidRPr="00E654A6" w:rsidRDefault="00DC347E" w:rsidP="00C4449D">
            <w:pPr>
              <w:spacing w:after="0" w:line="240" w:lineRule="auto"/>
              <w:rPr>
                <w:rFonts w:ascii="Times New Roman" w:eastAsia="Times New Roman" w:hAnsi="Times New Roman" w:cs="Times New Roman"/>
                <w:color w:val="000000"/>
                <w:lang w:eastAsia="ru-RU"/>
              </w:rPr>
            </w:pPr>
          </w:p>
        </w:tc>
        <w:tc>
          <w:tcPr>
            <w:tcW w:w="435" w:type="pct"/>
            <w:tcBorders>
              <w:bottom w:val="single" w:sz="4" w:space="0" w:color="000000"/>
              <w:right w:val="single" w:sz="4" w:space="0" w:color="000000"/>
            </w:tcBorders>
            <w:shd w:val="clear" w:color="FFFFFF" w:fill="FFFFFF"/>
          </w:tcPr>
          <w:p w14:paraId="55F5CE7C" w14:textId="77777777" w:rsidR="00DC347E" w:rsidRPr="00E654A6" w:rsidRDefault="00DC347E" w:rsidP="00C4449D">
            <w:pPr>
              <w:spacing w:after="0"/>
              <w:jc w:val="center"/>
              <w:rPr>
                <w:rFonts w:ascii="Times New Roman" w:eastAsia="Times New Roman" w:hAnsi="Times New Roman" w:cs="Times New Roman"/>
                <w:color w:val="000000"/>
                <w:lang w:eastAsia="ru-RU"/>
              </w:rPr>
            </w:pPr>
            <w:proofErr w:type="spellStart"/>
            <w:r w:rsidRPr="00E654A6">
              <w:rPr>
                <w:rFonts w:ascii="Times New Roman" w:eastAsia="Times New Roman" w:hAnsi="Times New Roman" w:cs="Times New Roman"/>
                <w:color w:val="000000"/>
                <w:lang w:eastAsia="ru-RU"/>
              </w:rPr>
              <w:t>шт</w:t>
            </w:r>
            <w:proofErr w:type="spellEnd"/>
          </w:p>
        </w:tc>
        <w:tc>
          <w:tcPr>
            <w:tcW w:w="320" w:type="pct"/>
            <w:tcBorders>
              <w:bottom w:val="single" w:sz="4" w:space="0" w:color="000000"/>
              <w:right w:val="single" w:sz="4" w:space="0" w:color="000000"/>
            </w:tcBorders>
            <w:shd w:val="clear" w:color="FFFFFF" w:fill="FFFFFF"/>
          </w:tcPr>
          <w:p w14:paraId="51FF4243" w14:textId="77777777" w:rsidR="00DC347E" w:rsidRPr="00E654A6" w:rsidRDefault="00DC347E" w:rsidP="00C4449D">
            <w:pPr>
              <w:spacing w:after="0"/>
              <w:jc w:val="center"/>
              <w:rPr>
                <w:rFonts w:ascii="Times New Roman" w:eastAsia="Times New Roman" w:hAnsi="Times New Roman" w:cs="Times New Roman"/>
                <w:color w:val="000000"/>
                <w:lang w:eastAsia="ru-RU"/>
              </w:rPr>
            </w:pPr>
            <w:r w:rsidRPr="00E654A6">
              <w:rPr>
                <w:rFonts w:ascii="Times New Roman" w:eastAsia="Times New Roman" w:hAnsi="Times New Roman" w:cs="Times New Roman"/>
                <w:color w:val="000000"/>
                <w:lang w:eastAsia="ru-RU"/>
              </w:rPr>
              <w:t>1</w:t>
            </w:r>
          </w:p>
        </w:tc>
      </w:tr>
    </w:tbl>
    <w:p w14:paraId="5F2F4C1D" w14:textId="77777777" w:rsidR="0049566C" w:rsidRPr="00E654A6" w:rsidRDefault="0049566C" w:rsidP="00C376A5">
      <w:pPr>
        <w:spacing w:after="0" w:line="240" w:lineRule="auto"/>
        <w:ind w:left="142"/>
        <w:jc w:val="both"/>
        <w:rPr>
          <w:rFonts w:ascii="Times New Roman" w:hAnsi="Times New Roman" w:cs="Times New Roman"/>
        </w:rPr>
      </w:pPr>
    </w:p>
    <w:p w14:paraId="5A564E0E" w14:textId="5C179C3D" w:rsidR="00342F5E" w:rsidRPr="00943CCF" w:rsidRDefault="008351A2" w:rsidP="00C376A5">
      <w:pPr>
        <w:spacing w:after="0" w:line="240" w:lineRule="auto"/>
        <w:ind w:left="142"/>
        <w:jc w:val="both"/>
        <w:rPr>
          <w:rFonts w:ascii="Times New Roman" w:eastAsia="Arial Unicode MS" w:hAnsi="Times New Roman" w:cs="Times New Roman"/>
          <w:color w:val="000000"/>
          <w:lang w:eastAsia="ru-RU"/>
        </w:rPr>
      </w:pPr>
      <w:r w:rsidRPr="00943CCF">
        <w:rPr>
          <w:rFonts w:ascii="Times New Roman" w:hAnsi="Times New Roman" w:cs="Times New Roman"/>
          <w:b/>
          <w:shd w:val="clear" w:color="auto" w:fill="F9FAFB"/>
        </w:rPr>
        <w:t>2. Место поставки:</w:t>
      </w:r>
      <w:r w:rsidR="00342F5E" w:rsidRPr="00943CCF">
        <w:rPr>
          <w:rFonts w:ascii="Times New Roman" w:eastAsia="Arial Unicode MS" w:hAnsi="Times New Roman" w:cs="Times New Roman"/>
          <w:color w:val="000000"/>
          <w:lang w:eastAsia="ru-RU"/>
        </w:rPr>
        <w:t xml:space="preserve"> </w:t>
      </w:r>
      <w:r w:rsidR="00D05C24" w:rsidRPr="00943CCF">
        <w:rPr>
          <w:rFonts w:ascii="Times New Roman" w:eastAsia="Arial Unicode MS" w:hAnsi="Times New Roman" w:cs="Times New Roman"/>
          <w:color w:val="000000"/>
          <w:lang w:eastAsia="ru-RU"/>
        </w:rPr>
        <w:t>628680, Ханты-Мансийский автономный округ-Югра, г. Мегион, ул. Свободы, д.6</w:t>
      </w:r>
    </w:p>
    <w:p w14:paraId="4EAB6E0A" w14:textId="3C901AA9" w:rsidR="008351A2" w:rsidRPr="00943CCF" w:rsidRDefault="008351A2" w:rsidP="00C376A5">
      <w:pPr>
        <w:spacing w:after="0" w:line="240" w:lineRule="auto"/>
        <w:ind w:left="142"/>
        <w:jc w:val="both"/>
        <w:rPr>
          <w:rFonts w:ascii="Times New Roman" w:hAnsi="Times New Roman" w:cs="Times New Roman"/>
          <w:b/>
          <w:shd w:val="clear" w:color="auto" w:fill="F9FAFB"/>
        </w:rPr>
      </w:pPr>
      <w:r w:rsidRPr="00943CCF">
        <w:rPr>
          <w:rFonts w:ascii="Times New Roman" w:hAnsi="Times New Roman" w:cs="Times New Roman"/>
          <w:b/>
          <w:shd w:val="clear" w:color="auto" w:fill="F9FAFB"/>
        </w:rPr>
        <w:t xml:space="preserve">3. Срок </w:t>
      </w:r>
      <w:r w:rsidR="00342F5E" w:rsidRPr="00943CCF">
        <w:rPr>
          <w:rFonts w:ascii="Times New Roman" w:hAnsi="Times New Roman" w:cs="Times New Roman"/>
          <w:b/>
          <w:shd w:val="clear" w:color="auto" w:fill="F9FAFB"/>
        </w:rPr>
        <w:t xml:space="preserve">и условия </w:t>
      </w:r>
      <w:r w:rsidRPr="00943CCF">
        <w:rPr>
          <w:rFonts w:ascii="Times New Roman" w:hAnsi="Times New Roman" w:cs="Times New Roman"/>
          <w:b/>
          <w:shd w:val="clear" w:color="auto" w:fill="F9FAFB"/>
        </w:rPr>
        <w:t xml:space="preserve">поставки: </w:t>
      </w:r>
      <w:r w:rsidRPr="00943CCF">
        <w:rPr>
          <w:rFonts w:ascii="Times New Roman" w:hAnsi="Times New Roman" w:cs="Times New Roman"/>
          <w:bCs/>
          <w:shd w:val="clear" w:color="auto" w:fill="F9FAFB"/>
        </w:rPr>
        <w:t>с</w:t>
      </w:r>
      <w:r w:rsidRPr="00943CCF">
        <w:rPr>
          <w:rFonts w:ascii="Times New Roman" w:hAnsi="Times New Roman" w:cs="Times New Roman"/>
          <w:shd w:val="clear" w:color="auto" w:fill="F9FAFB"/>
        </w:rPr>
        <w:t xml:space="preserve"> момента подписания договора</w:t>
      </w:r>
      <w:r w:rsidR="00342F5E" w:rsidRPr="00943CCF">
        <w:rPr>
          <w:rFonts w:ascii="Times New Roman" w:hAnsi="Times New Roman" w:cs="Times New Roman"/>
          <w:shd w:val="clear" w:color="auto" w:fill="F9FAFB"/>
        </w:rPr>
        <w:t xml:space="preserve"> </w:t>
      </w:r>
      <w:r w:rsidR="00D05C24" w:rsidRPr="00943CCF">
        <w:rPr>
          <w:rFonts w:ascii="Times New Roman" w:hAnsi="Times New Roman" w:cs="Times New Roman"/>
          <w:shd w:val="clear" w:color="auto" w:fill="F9FAFB"/>
        </w:rPr>
        <w:t>до 30.11.2026</w:t>
      </w:r>
    </w:p>
    <w:p w14:paraId="156011E8" w14:textId="3BE7AD84" w:rsidR="00587C14" w:rsidRPr="00E654A6" w:rsidRDefault="00587C14" w:rsidP="00C376A5">
      <w:pPr>
        <w:spacing w:after="0" w:line="240" w:lineRule="auto"/>
        <w:ind w:left="142"/>
        <w:jc w:val="both"/>
        <w:rPr>
          <w:rFonts w:ascii="Times New Roman" w:hAnsi="Times New Roman" w:cs="Times New Roman"/>
        </w:rPr>
      </w:pPr>
      <w:r w:rsidRPr="00943CCF">
        <w:rPr>
          <w:rFonts w:ascii="Times New Roman" w:hAnsi="Times New Roman" w:cs="Times New Roman"/>
        </w:rPr>
        <w:t>3.1. Доставка, погрузочно-разгрузочные</w:t>
      </w:r>
      <w:r w:rsidRPr="00E654A6">
        <w:rPr>
          <w:rFonts w:ascii="Times New Roman" w:hAnsi="Times New Roman" w:cs="Times New Roman"/>
        </w:rPr>
        <w:t xml:space="preserve"> работы </w:t>
      </w:r>
      <w:bookmarkStart w:id="1" w:name="_Hlk234597650"/>
      <w:r w:rsidRPr="00E654A6">
        <w:rPr>
          <w:rFonts w:ascii="Times New Roman" w:hAnsi="Times New Roman" w:cs="Times New Roman"/>
        </w:rPr>
        <w:t>производятся за счет Поставщика</w:t>
      </w:r>
      <w:bookmarkEnd w:id="1"/>
      <w:r w:rsidRPr="00E654A6">
        <w:rPr>
          <w:rFonts w:ascii="Times New Roman" w:hAnsi="Times New Roman" w:cs="Times New Roman"/>
        </w:rPr>
        <w:t>.</w:t>
      </w:r>
      <w:r w:rsidR="00342F5E" w:rsidRPr="00E654A6">
        <w:rPr>
          <w:rFonts w:ascii="Times New Roman" w:hAnsi="Times New Roman" w:cs="Times New Roman"/>
        </w:rPr>
        <w:t xml:space="preserve"> </w:t>
      </w:r>
    </w:p>
    <w:p w14:paraId="132196F9" w14:textId="5B225DB9" w:rsidR="008358E2" w:rsidRPr="00E654A6" w:rsidRDefault="008358E2" w:rsidP="00C376A5">
      <w:pPr>
        <w:widowControl w:val="0"/>
        <w:spacing w:after="0" w:line="240" w:lineRule="auto"/>
        <w:ind w:left="142" w:right="-284"/>
        <w:jc w:val="both"/>
        <w:rPr>
          <w:rFonts w:ascii="Times New Roman" w:hAnsi="Times New Roman" w:cs="Times New Roman"/>
        </w:rPr>
      </w:pPr>
      <w:r w:rsidRPr="00E654A6">
        <w:rPr>
          <w:rFonts w:ascii="Times New Roman" w:hAnsi="Times New Roman" w:cs="Times New Roman"/>
          <w:b/>
        </w:rPr>
        <w:t>4.Требования к качеству, безопасности поставляемого товара:</w:t>
      </w:r>
    </w:p>
    <w:p w14:paraId="0AA98708" w14:textId="77777777"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16A0F317" w14:textId="6A3CE87A"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w:t>
      </w:r>
      <w:r w:rsidRPr="00E654A6">
        <w:rPr>
          <w:rFonts w:ascii="Times New Roman" w:hAnsi="Times New Roman" w:cs="Times New Roman"/>
        </w:rPr>
        <w:lastRenderedPageBreak/>
        <w:t xml:space="preserve">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w:t>
      </w:r>
    </w:p>
    <w:p w14:paraId="4CAA99A7" w14:textId="31B94701" w:rsidR="008351A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 xml:space="preserve">4.3. </w:t>
      </w:r>
      <w:r w:rsidR="008351A2" w:rsidRPr="00E654A6">
        <w:rPr>
          <w:rFonts w:ascii="Times New Roman" w:hAnsi="Times New Roman" w:cs="Times New Roman"/>
        </w:rPr>
        <w:t>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 На товаре не должно быть следов механических повреждений, изменений вида комплектующих;</w:t>
      </w:r>
    </w:p>
    <w:p w14:paraId="3E0E0DDB" w14:textId="38AFD5D2"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C366898" w14:textId="05375028"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57677D" w14:textId="14CEC468"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b/>
        </w:rPr>
        <w:t>5. Требования к упаковке и маркировке поставляемого товара:</w:t>
      </w:r>
    </w:p>
    <w:p w14:paraId="4A29D8D6" w14:textId="77777777"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2706CF3" w14:textId="77777777"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106CA2" w14:textId="77777777"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247233" w14:textId="77777777" w:rsidR="008358E2" w:rsidRPr="00E654A6" w:rsidRDefault="008358E2" w:rsidP="00C376A5">
      <w:pPr>
        <w:widowControl w:val="0"/>
        <w:spacing w:after="0" w:line="240" w:lineRule="auto"/>
        <w:ind w:left="142"/>
        <w:jc w:val="both"/>
        <w:rPr>
          <w:rFonts w:ascii="Times New Roman" w:hAnsi="Times New Roman" w:cs="Times New Roman"/>
          <w:b/>
        </w:rPr>
      </w:pPr>
      <w:r w:rsidRPr="00E654A6">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3DBF02" w14:textId="77777777"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07D57736" w14:textId="77777777"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234B1109" w14:textId="77777777" w:rsidR="008358E2" w:rsidRPr="00E654A6" w:rsidRDefault="008358E2" w:rsidP="00C376A5">
      <w:pPr>
        <w:widowControl w:val="0"/>
        <w:spacing w:after="0" w:line="240" w:lineRule="auto"/>
        <w:ind w:left="142"/>
        <w:jc w:val="both"/>
        <w:rPr>
          <w:rFonts w:ascii="Times New Roman" w:hAnsi="Times New Roman" w:cs="Times New Roman"/>
        </w:rPr>
      </w:pPr>
      <w:r w:rsidRPr="00E654A6">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1D94583" w14:textId="77777777" w:rsidR="008358E2" w:rsidRPr="00E654A6" w:rsidRDefault="008358E2" w:rsidP="00C376A5">
      <w:pPr>
        <w:widowControl w:val="0"/>
        <w:spacing w:after="0" w:line="240" w:lineRule="auto"/>
        <w:ind w:left="142"/>
        <w:jc w:val="both"/>
        <w:rPr>
          <w:rFonts w:ascii="Times New Roman" w:eastAsia="Times New Roman" w:hAnsi="Times New Roman" w:cs="Times New Roman"/>
          <w:b/>
        </w:rPr>
      </w:pPr>
      <w:r w:rsidRPr="00E654A6">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93C3D7" w14:textId="12EE6A22" w:rsidR="00681B6C" w:rsidRPr="00E654A6" w:rsidRDefault="00681B6C" w:rsidP="00C376A5">
      <w:pPr>
        <w:tabs>
          <w:tab w:val="left" w:pos="7920"/>
        </w:tabs>
        <w:spacing w:after="0" w:line="240" w:lineRule="auto"/>
        <w:ind w:left="142"/>
        <w:jc w:val="both"/>
        <w:rPr>
          <w:rFonts w:ascii="Times New Roman" w:eastAsia="NSimSun" w:hAnsi="Times New Roman" w:cs="Times New Roman"/>
        </w:rPr>
      </w:pPr>
    </w:p>
    <w:sectPr w:rsidR="00681B6C" w:rsidRPr="00E654A6"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12D5"/>
    <w:multiLevelType w:val="hybridMultilevel"/>
    <w:tmpl w:val="A7CCC5AA"/>
    <w:lvl w:ilvl="0" w:tplc="C19CF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C2F04"/>
    <w:multiLevelType w:val="hybridMultilevel"/>
    <w:tmpl w:val="3F5C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11"/>
  </w:num>
  <w:num w:numId="4">
    <w:abstractNumId w:val="3"/>
  </w:num>
  <w:num w:numId="5">
    <w:abstractNumId w:val="17"/>
  </w:num>
  <w:num w:numId="6">
    <w:abstractNumId w:val="20"/>
  </w:num>
  <w:num w:numId="7">
    <w:abstractNumId w:val="0"/>
  </w:num>
  <w:num w:numId="8">
    <w:abstractNumId w:val="7"/>
  </w:num>
  <w:num w:numId="9">
    <w:abstractNumId w:val="9"/>
  </w:num>
  <w:num w:numId="10">
    <w:abstractNumId w:val="4"/>
  </w:num>
  <w:num w:numId="11">
    <w:abstractNumId w:val="10"/>
  </w:num>
  <w:num w:numId="12">
    <w:abstractNumId w:val="2"/>
  </w:num>
  <w:num w:numId="13">
    <w:abstractNumId w:val="6"/>
  </w:num>
  <w:num w:numId="14">
    <w:abstractNumId w:val="28"/>
  </w:num>
  <w:num w:numId="15">
    <w:abstractNumId w:val="31"/>
  </w:num>
  <w:num w:numId="16">
    <w:abstractNumId w:val="19"/>
  </w:num>
  <w:num w:numId="17">
    <w:abstractNumId w:val="14"/>
  </w:num>
  <w:num w:numId="18">
    <w:abstractNumId w:val="27"/>
  </w:num>
  <w:num w:numId="19">
    <w:abstractNumId w:val="18"/>
  </w:num>
  <w:num w:numId="20">
    <w:abstractNumId w:val="16"/>
  </w:num>
  <w:num w:numId="21">
    <w:abstractNumId w:val="26"/>
  </w:num>
  <w:num w:numId="22">
    <w:abstractNumId w:val="29"/>
  </w:num>
  <w:num w:numId="23">
    <w:abstractNumId w:val="24"/>
  </w:num>
  <w:num w:numId="24">
    <w:abstractNumId w:val="8"/>
  </w:num>
  <w:num w:numId="25">
    <w:abstractNumId w:val="25"/>
  </w:num>
  <w:num w:numId="26">
    <w:abstractNumId w:val="13"/>
  </w:num>
  <w:num w:numId="27">
    <w:abstractNumId w:val="21"/>
  </w:num>
  <w:num w:numId="28">
    <w:abstractNumId w:val="23"/>
  </w:num>
  <w:num w:numId="29">
    <w:abstractNumId w:val="12"/>
  </w:num>
  <w:num w:numId="30">
    <w:abstractNumId w:val="30"/>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5B"/>
    <w:rsid w:val="00010BC3"/>
    <w:rsid w:val="00014290"/>
    <w:rsid w:val="000253AD"/>
    <w:rsid w:val="0005049A"/>
    <w:rsid w:val="000518F0"/>
    <w:rsid w:val="00057DC8"/>
    <w:rsid w:val="000805FC"/>
    <w:rsid w:val="00093058"/>
    <w:rsid w:val="00093116"/>
    <w:rsid w:val="00095EB1"/>
    <w:rsid w:val="000A23AA"/>
    <w:rsid w:val="000A34A8"/>
    <w:rsid w:val="000A4E26"/>
    <w:rsid w:val="000B6E7E"/>
    <w:rsid w:val="000D2C6E"/>
    <w:rsid w:val="000D348A"/>
    <w:rsid w:val="000D52BC"/>
    <w:rsid w:val="000D5A05"/>
    <w:rsid w:val="000D7150"/>
    <w:rsid w:val="000D7B46"/>
    <w:rsid w:val="000E19C4"/>
    <w:rsid w:val="000F506F"/>
    <w:rsid w:val="00124348"/>
    <w:rsid w:val="00144F5C"/>
    <w:rsid w:val="0016578A"/>
    <w:rsid w:val="00174234"/>
    <w:rsid w:val="00176003"/>
    <w:rsid w:val="00196716"/>
    <w:rsid w:val="001A0E50"/>
    <w:rsid w:val="001B4B83"/>
    <w:rsid w:val="001C1466"/>
    <w:rsid w:val="001E3538"/>
    <w:rsid w:val="001E6E34"/>
    <w:rsid w:val="00202975"/>
    <w:rsid w:val="002048F2"/>
    <w:rsid w:val="0022578B"/>
    <w:rsid w:val="00242735"/>
    <w:rsid w:val="00244627"/>
    <w:rsid w:val="00250923"/>
    <w:rsid w:val="002519D7"/>
    <w:rsid w:val="002638DF"/>
    <w:rsid w:val="00272F42"/>
    <w:rsid w:val="00285B24"/>
    <w:rsid w:val="0029323A"/>
    <w:rsid w:val="00294B8D"/>
    <w:rsid w:val="002A070A"/>
    <w:rsid w:val="002A19F0"/>
    <w:rsid w:val="002A30C7"/>
    <w:rsid w:val="002A5500"/>
    <w:rsid w:val="002A5AB1"/>
    <w:rsid w:val="002C1198"/>
    <w:rsid w:val="002C3C7C"/>
    <w:rsid w:val="002C763B"/>
    <w:rsid w:val="002E2064"/>
    <w:rsid w:val="002F3D92"/>
    <w:rsid w:val="00301677"/>
    <w:rsid w:val="00304032"/>
    <w:rsid w:val="0031438E"/>
    <w:rsid w:val="003178DC"/>
    <w:rsid w:val="003179CE"/>
    <w:rsid w:val="00334CBC"/>
    <w:rsid w:val="00342A1C"/>
    <w:rsid w:val="00342F5E"/>
    <w:rsid w:val="0034495C"/>
    <w:rsid w:val="00354314"/>
    <w:rsid w:val="00354A22"/>
    <w:rsid w:val="003610EF"/>
    <w:rsid w:val="00371023"/>
    <w:rsid w:val="00394514"/>
    <w:rsid w:val="003973B2"/>
    <w:rsid w:val="003A2B39"/>
    <w:rsid w:val="003A390E"/>
    <w:rsid w:val="003A6BD9"/>
    <w:rsid w:val="003C221D"/>
    <w:rsid w:val="003C420A"/>
    <w:rsid w:val="003C5E5E"/>
    <w:rsid w:val="003E4BED"/>
    <w:rsid w:val="003E6D6D"/>
    <w:rsid w:val="00404F9E"/>
    <w:rsid w:val="00415234"/>
    <w:rsid w:val="00415625"/>
    <w:rsid w:val="00417C3F"/>
    <w:rsid w:val="00422042"/>
    <w:rsid w:val="004427BC"/>
    <w:rsid w:val="00446F8A"/>
    <w:rsid w:val="00450D24"/>
    <w:rsid w:val="00452D0C"/>
    <w:rsid w:val="0045403B"/>
    <w:rsid w:val="00465633"/>
    <w:rsid w:val="0047282D"/>
    <w:rsid w:val="00475357"/>
    <w:rsid w:val="004803C6"/>
    <w:rsid w:val="004874A0"/>
    <w:rsid w:val="0049566C"/>
    <w:rsid w:val="004A5A63"/>
    <w:rsid w:val="004A5DB5"/>
    <w:rsid w:val="004A6816"/>
    <w:rsid w:val="004B1BE5"/>
    <w:rsid w:val="004C39CF"/>
    <w:rsid w:val="004D2315"/>
    <w:rsid w:val="004D2CB6"/>
    <w:rsid w:val="005156C5"/>
    <w:rsid w:val="0052097C"/>
    <w:rsid w:val="00523CD5"/>
    <w:rsid w:val="005345BE"/>
    <w:rsid w:val="00553052"/>
    <w:rsid w:val="00560EFA"/>
    <w:rsid w:val="00571E3F"/>
    <w:rsid w:val="00577B82"/>
    <w:rsid w:val="00583C2A"/>
    <w:rsid w:val="005863C4"/>
    <w:rsid w:val="0058784F"/>
    <w:rsid w:val="00587C14"/>
    <w:rsid w:val="005950F1"/>
    <w:rsid w:val="005A313A"/>
    <w:rsid w:val="005B1563"/>
    <w:rsid w:val="005B7732"/>
    <w:rsid w:val="005D3E76"/>
    <w:rsid w:val="005D757B"/>
    <w:rsid w:val="005E2B4A"/>
    <w:rsid w:val="006103F7"/>
    <w:rsid w:val="006114A3"/>
    <w:rsid w:val="00617CD0"/>
    <w:rsid w:val="006219B6"/>
    <w:rsid w:val="00626668"/>
    <w:rsid w:val="006334EE"/>
    <w:rsid w:val="00640577"/>
    <w:rsid w:val="006557D2"/>
    <w:rsid w:val="00656B91"/>
    <w:rsid w:val="00657786"/>
    <w:rsid w:val="006601D4"/>
    <w:rsid w:val="0066547D"/>
    <w:rsid w:val="00667446"/>
    <w:rsid w:val="00681695"/>
    <w:rsid w:val="00681B6C"/>
    <w:rsid w:val="00691151"/>
    <w:rsid w:val="006931FB"/>
    <w:rsid w:val="00694E1B"/>
    <w:rsid w:val="006B2A14"/>
    <w:rsid w:val="006D0329"/>
    <w:rsid w:val="006D3A8E"/>
    <w:rsid w:val="006E57F4"/>
    <w:rsid w:val="006F114F"/>
    <w:rsid w:val="00705232"/>
    <w:rsid w:val="00714095"/>
    <w:rsid w:val="007323C4"/>
    <w:rsid w:val="007332C5"/>
    <w:rsid w:val="0073386E"/>
    <w:rsid w:val="00736615"/>
    <w:rsid w:val="007366DF"/>
    <w:rsid w:val="00744809"/>
    <w:rsid w:val="00755345"/>
    <w:rsid w:val="007805F4"/>
    <w:rsid w:val="00787C36"/>
    <w:rsid w:val="0079408A"/>
    <w:rsid w:val="007A003D"/>
    <w:rsid w:val="007A59FF"/>
    <w:rsid w:val="007B4EBA"/>
    <w:rsid w:val="007D57D9"/>
    <w:rsid w:val="007E0581"/>
    <w:rsid w:val="007F2F62"/>
    <w:rsid w:val="0080010D"/>
    <w:rsid w:val="00804290"/>
    <w:rsid w:val="008059D9"/>
    <w:rsid w:val="00807BFA"/>
    <w:rsid w:val="0081420B"/>
    <w:rsid w:val="008319E0"/>
    <w:rsid w:val="008351A2"/>
    <w:rsid w:val="008358E2"/>
    <w:rsid w:val="008410D2"/>
    <w:rsid w:val="008477DB"/>
    <w:rsid w:val="00847B76"/>
    <w:rsid w:val="00847C14"/>
    <w:rsid w:val="00863C1E"/>
    <w:rsid w:val="0086655B"/>
    <w:rsid w:val="00871AA7"/>
    <w:rsid w:val="00873948"/>
    <w:rsid w:val="008916F9"/>
    <w:rsid w:val="00892841"/>
    <w:rsid w:val="008937A8"/>
    <w:rsid w:val="0089432E"/>
    <w:rsid w:val="008A4459"/>
    <w:rsid w:val="008A44C1"/>
    <w:rsid w:val="008A6351"/>
    <w:rsid w:val="008B6181"/>
    <w:rsid w:val="008B7259"/>
    <w:rsid w:val="008C375B"/>
    <w:rsid w:val="008C37F9"/>
    <w:rsid w:val="008C4E79"/>
    <w:rsid w:val="008D4E49"/>
    <w:rsid w:val="008E197F"/>
    <w:rsid w:val="008E43D0"/>
    <w:rsid w:val="008F2DBE"/>
    <w:rsid w:val="008F3E44"/>
    <w:rsid w:val="0090474C"/>
    <w:rsid w:val="00907B18"/>
    <w:rsid w:val="009218AE"/>
    <w:rsid w:val="00921BFA"/>
    <w:rsid w:val="00930A52"/>
    <w:rsid w:val="009418D2"/>
    <w:rsid w:val="009422D6"/>
    <w:rsid w:val="00943CCF"/>
    <w:rsid w:val="00944869"/>
    <w:rsid w:val="009469B4"/>
    <w:rsid w:val="009507AA"/>
    <w:rsid w:val="00980982"/>
    <w:rsid w:val="00986E8E"/>
    <w:rsid w:val="009A469F"/>
    <w:rsid w:val="009A6985"/>
    <w:rsid w:val="009A70FD"/>
    <w:rsid w:val="009B3419"/>
    <w:rsid w:val="009B45E4"/>
    <w:rsid w:val="009B4A61"/>
    <w:rsid w:val="009C5E9A"/>
    <w:rsid w:val="009C7DD5"/>
    <w:rsid w:val="009D3D0C"/>
    <w:rsid w:val="009F5AB0"/>
    <w:rsid w:val="00A112CD"/>
    <w:rsid w:val="00A11D67"/>
    <w:rsid w:val="00A1487D"/>
    <w:rsid w:val="00A24977"/>
    <w:rsid w:val="00A2678A"/>
    <w:rsid w:val="00A3041E"/>
    <w:rsid w:val="00A33BDC"/>
    <w:rsid w:val="00A85986"/>
    <w:rsid w:val="00A9151D"/>
    <w:rsid w:val="00AA15AC"/>
    <w:rsid w:val="00AB76DB"/>
    <w:rsid w:val="00AC06BC"/>
    <w:rsid w:val="00AC76D2"/>
    <w:rsid w:val="00AD1EC5"/>
    <w:rsid w:val="00AE484B"/>
    <w:rsid w:val="00AE5535"/>
    <w:rsid w:val="00AF0FF2"/>
    <w:rsid w:val="00AF2628"/>
    <w:rsid w:val="00AF581A"/>
    <w:rsid w:val="00AF6129"/>
    <w:rsid w:val="00B014A0"/>
    <w:rsid w:val="00B02381"/>
    <w:rsid w:val="00B17C7E"/>
    <w:rsid w:val="00B20DBF"/>
    <w:rsid w:val="00B22B3D"/>
    <w:rsid w:val="00B27D4E"/>
    <w:rsid w:val="00B433A6"/>
    <w:rsid w:val="00B45564"/>
    <w:rsid w:val="00B473D2"/>
    <w:rsid w:val="00B60CB8"/>
    <w:rsid w:val="00B61D36"/>
    <w:rsid w:val="00B670B3"/>
    <w:rsid w:val="00B71B61"/>
    <w:rsid w:val="00B8035B"/>
    <w:rsid w:val="00B82138"/>
    <w:rsid w:val="00B86317"/>
    <w:rsid w:val="00B87CF5"/>
    <w:rsid w:val="00B9377E"/>
    <w:rsid w:val="00B963B1"/>
    <w:rsid w:val="00B97394"/>
    <w:rsid w:val="00BA4406"/>
    <w:rsid w:val="00BA738E"/>
    <w:rsid w:val="00BA7428"/>
    <w:rsid w:val="00BC0C99"/>
    <w:rsid w:val="00BC3F1A"/>
    <w:rsid w:val="00BC691D"/>
    <w:rsid w:val="00BD48EB"/>
    <w:rsid w:val="00BD6E5A"/>
    <w:rsid w:val="00BE5753"/>
    <w:rsid w:val="00BE5CFD"/>
    <w:rsid w:val="00BE73D9"/>
    <w:rsid w:val="00BF3BE8"/>
    <w:rsid w:val="00BF59E7"/>
    <w:rsid w:val="00C006AD"/>
    <w:rsid w:val="00C01719"/>
    <w:rsid w:val="00C07738"/>
    <w:rsid w:val="00C1235D"/>
    <w:rsid w:val="00C128C3"/>
    <w:rsid w:val="00C20E6C"/>
    <w:rsid w:val="00C30093"/>
    <w:rsid w:val="00C35041"/>
    <w:rsid w:val="00C376A5"/>
    <w:rsid w:val="00C448AD"/>
    <w:rsid w:val="00C47573"/>
    <w:rsid w:val="00C476A3"/>
    <w:rsid w:val="00C54D1E"/>
    <w:rsid w:val="00C67729"/>
    <w:rsid w:val="00C67C13"/>
    <w:rsid w:val="00C715C0"/>
    <w:rsid w:val="00C7200F"/>
    <w:rsid w:val="00C76BE2"/>
    <w:rsid w:val="00C803A2"/>
    <w:rsid w:val="00C83A27"/>
    <w:rsid w:val="00C93381"/>
    <w:rsid w:val="00CA3036"/>
    <w:rsid w:val="00CA5ED7"/>
    <w:rsid w:val="00CA6FEF"/>
    <w:rsid w:val="00CA7AAE"/>
    <w:rsid w:val="00CB2747"/>
    <w:rsid w:val="00CC0FC3"/>
    <w:rsid w:val="00CC47D8"/>
    <w:rsid w:val="00CD1BD9"/>
    <w:rsid w:val="00CD3156"/>
    <w:rsid w:val="00CF1DFA"/>
    <w:rsid w:val="00CF2EA5"/>
    <w:rsid w:val="00CF5791"/>
    <w:rsid w:val="00D00A3E"/>
    <w:rsid w:val="00D05C24"/>
    <w:rsid w:val="00D10E9E"/>
    <w:rsid w:val="00D137FA"/>
    <w:rsid w:val="00D13D58"/>
    <w:rsid w:val="00D2459E"/>
    <w:rsid w:val="00D25854"/>
    <w:rsid w:val="00D26B17"/>
    <w:rsid w:val="00D31E53"/>
    <w:rsid w:val="00D3518B"/>
    <w:rsid w:val="00D552A9"/>
    <w:rsid w:val="00D6071A"/>
    <w:rsid w:val="00D62C15"/>
    <w:rsid w:val="00D7015F"/>
    <w:rsid w:val="00D7411F"/>
    <w:rsid w:val="00D93BC5"/>
    <w:rsid w:val="00D968A1"/>
    <w:rsid w:val="00DA133F"/>
    <w:rsid w:val="00DA1EE5"/>
    <w:rsid w:val="00DA5E11"/>
    <w:rsid w:val="00DB45BE"/>
    <w:rsid w:val="00DC347E"/>
    <w:rsid w:val="00DC533F"/>
    <w:rsid w:val="00DC7470"/>
    <w:rsid w:val="00DD11D1"/>
    <w:rsid w:val="00DD1BA1"/>
    <w:rsid w:val="00E067B2"/>
    <w:rsid w:val="00E11BA4"/>
    <w:rsid w:val="00E17CB9"/>
    <w:rsid w:val="00E300DB"/>
    <w:rsid w:val="00E30F03"/>
    <w:rsid w:val="00E32ADA"/>
    <w:rsid w:val="00E44B4B"/>
    <w:rsid w:val="00E576FC"/>
    <w:rsid w:val="00E630C4"/>
    <w:rsid w:val="00E638C0"/>
    <w:rsid w:val="00E654A6"/>
    <w:rsid w:val="00E7286E"/>
    <w:rsid w:val="00E72D4A"/>
    <w:rsid w:val="00E90A94"/>
    <w:rsid w:val="00E91D0B"/>
    <w:rsid w:val="00E97DA1"/>
    <w:rsid w:val="00EB7DFD"/>
    <w:rsid w:val="00EC387C"/>
    <w:rsid w:val="00ED34E9"/>
    <w:rsid w:val="00ED5F4E"/>
    <w:rsid w:val="00EE046D"/>
    <w:rsid w:val="00EE6B28"/>
    <w:rsid w:val="00EF1626"/>
    <w:rsid w:val="00EF3CE4"/>
    <w:rsid w:val="00EF5FAF"/>
    <w:rsid w:val="00F1548D"/>
    <w:rsid w:val="00F15D98"/>
    <w:rsid w:val="00F33DCD"/>
    <w:rsid w:val="00F52986"/>
    <w:rsid w:val="00F529E2"/>
    <w:rsid w:val="00F615F0"/>
    <w:rsid w:val="00F6241E"/>
    <w:rsid w:val="00F7531D"/>
    <w:rsid w:val="00F77BDB"/>
    <w:rsid w:val="00F84FFA"/>
    <w:rsid w:val="00F97646"/>
    <w:rsid w:val="00F97CFE"/>
    <w:rsid w:val="00FA2020"/>
    <w:rsid w:val="00FC6A5C"/>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 w:type="paragraph" w:customStyle="1" w:styleId="ds-markdown-paragraph">
    <w:name w:val="ds-markdown-paragraph"/>
    <w:basedOn w:val="a"/>
    <w:rsid w:val="002E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064"/>
    <w:rPr>
      <w:b/>
      <w:bCs/>
    </w:rPr>
  </w:style>
  <w:style w:type="paragraph" w:styleId="a7">
    <w:name w:val="Balloon Text"/>
    <w:basedOn w:val="a"/>
    <w:link w:val="a8"/>
    <w:uiPriority w:val="99"/>
    <w:semiHidden/>
    <w:unhideWhenUsed/>
    <w:rsid w:val="00943C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3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59"/>
    <w:rsid w:val="00942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97DA1"/>
    <w:pPr>
      <w:widowControl w:val="0"/>
      <w:autoSpaceDE w:val="0"/>
      <w:autoSpaceDN w:val="0"/>
      <w:spacing w:before="3" w:after="0" w:line="142" w:lineRule="exact"/>
      <w:jc w:val="right"/>
    </w:pPr>
    <w:rPr>
      <w:rFonts w:ascii="Arial" w:eastAsia="Arial" w:hAnsi="Arial" w:cs="Arial"/>
    </w:rPr>
  </w:style>
  <w:style w:type="paragraph" w:customStyle="1" w:styleId="ds-markdown-paragraph">
    <w:name w:val="ds-markdown-paragraph"/>
    <w:basedOn w:val="a"/>
    <w:rsid w:val="002E2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064"/>
    <w:rPr>
      <w:b/>
      <w:bCs/>
    </w:rPr>
  </w:style>
  <w:style w:type="paragraph" w:styleId="a7">
    <w:name w:val="Balloon Text"/>
    <w:basedOn w:val="a"/>
    <w:link w:val="a8"/>
    <w:uiPriority w:val="99"/>
    <w:semiHidden/>
    <w:unhideWhenUsed/>
    <w:rsid w:val="00943C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3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748426551">
      <w:bodyDiv w:val="1"/>
      <w:marLeft w:val="0"/>
      <w:marRight w:val="0"/>
      <w:marTop w:val="0"/>
      <w:marBottom w:val="0"/>
      <w:divBdr>
        <w:top w:val="none" w:sz="0" w:space="0" w:color="auto"/>
        <w:left w:val="none" w:sz="0" w:space="0" w:color="auto"/>
        <w:bottom w:val="none" w:sz="0" w:space="0" w:color="auto"/>
        <w:right w:val="none" w:sz="0" w:space="0" w:color="auto"/>
      </w:divBdr>
    </w:div>
    <w:div w:id="859049159">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46471672">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 w:id="2129741561">
      <w:bodyDiv w:val="1"/>
      <w:marLeft w:val="0"/>
      <w:marRight w:val="0"/>
      <w:marTop w:val="0"/>
      <w:marBottom w:val="0"/>
      <w:divBdr>
        <w:top w:val="none" w:sz="0" w:space="0" w:color="auto"/>
        <w:left w:val="none" w:sz="0" w:space="0" w:color="auto"/>
        <w:bottom w:val="none" w:sz="0" w:space="0" w:color="auto"/>
        <w:right w:val="none" w:sz="0" w:space="0" w:color="auto"/>
      </w:divBdr>
      <w:divsChild>
        <w:div w:id="1627351034">
          <w:marLeft w:val="0"/>
          <w:marRight w:val="0"/>
          <w:marTop w:val="0"/>
          <w:marBottom w:val="0"/>
          <w:divBdr>
            <w:top w:val="none" w:sz="0" w:space="0" w:color="auto"/>
            <w:left w:val="none" w:sz="0" w:space="0" w:color="auto"/>
            <w:bottom w:val="none" w:sz="0" w:space="0" w:color="auto"/>
            <w:right w:val="none" w:sz="0" w:space="0" w:color="auto"/>
          </w:divBdr>
          <w:divsChild>
            <w:div w:id="594872887">
              <w:marLeft w:val="0"/>
              <w:marRight w:val="0"/>
              <w:marTop w:val="0"/>
              <w:marBottom w:val="0"/>
              <w:divBdr>
                <w:top w:val="none" w:sz="0" w:space="0" w:color="auto"/>
                <w:left w:val="none" w:sz="0" w:space="0" w:color="auto"/>
                <w:bottom w:val="none" w:sz="0" w:space="0" w:color="auto"/>
                <w:right w:val="none" w:sz="0" w:space="0" w:color="auto"/>
              </w:divBdr>
              <w:divsChild>
                <w:div w:id="1043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6</Pages>
  <Words>2218</Words>
  <Characters>12648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cp:lastModifiedBy>Маша Патракова</cp:lastModifiedBy>
  <cp:revision>121</cp:revision>
  <cp:lastPrinted>2026-07-21T08:15:00Z</cp:lastPrinted>
  <dcterms:created xsi:type="dcterms:W3CDTF">2026-06-15T05:17:00Z</dcterms:created>
  <dcterms:modified xsi:type="dcterms:W3CDTF">2026-07-21T08:15:00Z</dcterms:modified>
</cp:coreProperties>
</file>