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3"/>
        <w:tabs>
          <w:tab w:val="clear" w:pos="708"/>
          <w:tab w:val="center" w:pos="4464" w:leader="none"/>
          <w:tab w:val="left" w:pos="7710" w:leader="none"/>
        </w:tabs>
        <w:rPr>
          <w:rFonts w:ascii="Times New Roman" w:hAnsi="Times New Roman"/>
          <w:b w:val="false"/>
          <w:sz w:val="23"/>
          <w:szCs w:val="23"/>
        </w:rPr>
      </w:pPr>
      <w:r>
        <w:rPr>
          <w:rFonts w:ascii="Times New Roman" w:hAnsi="Times New Roman"/>
          <w:b w:val="false"/>
          <w:sz w:val="23"/>
          <w:szCs w:val="23"/>
        </w:rPr>
        <w:t>Техническое задание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rFonts w:ascii="Times New Roman" w:hAnsi="Times New Roman"/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p>
      <w:pPr>
        <w:pStyle w:val="Style13"/>
        <w:tabs>
          <w:tab w:val="clear" w:pos="708"/>
          <w:tab w:val="center" w:pos="4464" w:leader="none"/>
          <w:tab w:val="left" w:pos="7710" w:leader="none"/>
        </w:tabs>
        <w:rPr>
          <w:rFonts w:ascii="Times New Roman" w:hAnsi="Times New Roman"/>
          <w:b w:val="false"/>
          <w:sz w:val="23"/>
          <w:szCs w:val="23"/>
        </w:rPr>
      </w:pPr>
      <w:r>
        <w:rPr>
          <w:rFonts w:ascii="Times New Roman" w:hAnsi="Times New Roman"/>
          <w:b w:val="false"/>
          <w:sz w:val="23"/>
          <w:szCs w:val="23"/>
        </w:rPr>
      </w:r>
    </w:p>
    <w:p>
      <w:pPr>
        <w:pStyle w:val="Style13"/>
        <w:tabs>
          <w:tab w:val="clear" w:pos="708"/>
          <w:tab w:val="center" w:pos="4464" w:leader="none"/>
          <w:tab w:val="left" w:pos="7710" w:leader="none"/>
        </w:tabs>
        <w:jc w:val="left"/>
        <w:rPr>
          <w:rFonts w:ascii="Times New Roman" w:hAnsi="Times New Roman"/>
          <w:b w:val="false"/>
          <w:sz w:val="23"/>
          <w:szCs w:val="23"/>
        </w:rPr>
      </w:pPr>
      <w:r>
        <w:rPr>
          <w:rFonts w:ascii="Times New Roman" w:hAnsi="Times New Roman"/>
          <w:b w:val="false"/>
          <w:sz w:val="23"/>
          <w:szCs w:val="23"/>
        </w:rPr>
        <w:t>1. Описание закупки: таблица ниже</w:t>
      </w:r>
    </w:p>
    <w:p>
      <w:pPr>
        <w:pStyle w:val="Style13"/>
        <w:tabs>
          <w:tab w:val="clear" w:pos="708"/>
          <w:tab w:val="center" w:pos="4464" w:leader="none"/>
          <w:tab w:val="left" w:pos="7710" w:leader="none"/>
        </w:tabs>
        <w:rPr>
          <w:rFonts w:ascii="Times New Roman" w:hAnsi="Times New Roman"/>
          <w:b w:val="false"/>
          <w:sz w:val="23"/>
          <w:szCs w:val="23"/>
        </w:rPr>
      </w:pPr>
      <w:r>
        <w:rPr>
          <w:rFonts w:ascii="Times New Roman" w:hAnsi="Times New Roman"/>
          <w:b w:val="false"/>
          <w:sz w:val="23"/>
          <w:szCs w:val="23"/>
        </w:rPr>
        <w:t>2. Место поставки: 629400, ЯНАО, МО Приуральский район,  г. Лабытнанги, ул. Гагарина, 45 а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 xml:space="preserve">3.Срок поставки Товара: в течение 15 календарных дней с момента заключения договора 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4. Требования к качеству, безопасности поставляемого товара: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 xml:space="preserve">4.1. Поставляемый товар должен соответствовать заданным функциональным и качественным характеристикам; 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4.2. Поставляемый товар должен быть разрешен к использованию на территории Российской Федерации, иметь торговую марку и товарный знак, качество поставляемого товара должно полностью соответствовать установленным требованиям Российской Федерации, ГОСТ, ОСТ, нормативно-технической документации (сертификатам качества, паспорт товара, декларациям о соответствии и (или) другим документам, подтверждающим качество товара) если таковые требуются;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4.3. Поставляемый Товар должен являться новым, ранее не использованным (все составные части Товара должны быть новыми), не должны иметь дефектов;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4.4. Товар должен быть безопасным и отвечать требованиям законодательства Российской Федерации, требованиям безопасности, ГОСТ, нормам и правилам безопасности его эксплуатации и другой нормативно-технической документации;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4.5. Товар должен отвечать требованиям безопасности жизни и здоровья, окружающей среды в течение установочного срока годности при обычных условиях его использования, хранения, транспортировки и утилизации.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5. Требования к упаковке и маркировке поставляемого товара: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 xml:space="preserve">5.1. Товар поставляется в таре и упаковке, соответствующей государственным стандартам, техническим условиям, предъявляемым к поставке данного вида товара, другой нормативно-технической документации. 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5.2. Поставщик должен обеспечить упаковку товара, способную предотвратить его повреждение или порчу во время перевозки к конечному пункту назначения – Заказчику. Тара и упаковка должны быть прочными, сухими, без нарушения целостности со специальной маркировкой;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5.3. Поставщик несет ответственность за ненадлежащую упаковку, не обеспечивающую сохранность товара при его хранении и транспортировании;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5.4. Упаковка и маркировка товара должна соответствовать требованиям ГОСТ, импортный товар – международным стандартам упаковки. Маркировка товара должна содержать: наименование товара, наименование фирмы-изготовителя, юридический адрес изготовителя, дату выпуска. Маркировка упаковки должна строго соответствовать маркировке товара (если требуется).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6. Требования к гарантийному сроку товара и (или) объему предоставления гарантий качества товара: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 xml:space="preserve">6.1. Гарантия качества товара - в соответствии с гарантийным сроком, установленным производителем. </w:t>
      </w:r>
    </w:p>
    <w:p>
      <w:p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6.2. Гарантийные обязательства должны распространяться на каждую единицу товара с момента приемки товара Заказчиком.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709" w:right="851" w:gutter="709" w:header="720" w:top="777" w:footer="720" w:bottom="777"/>
          <w:pgNumType w:fmt="decimal"/>
          <w:formProt w:val="false"/>
          <w:textDirection w:val="lrTb"/>
          <w:docGrid w:type="default" w:linePitch="360" w:charSpace="0"/>
        </w:sectPr>
        <w:pStyle w:val="BodyText"/>
        <w:tabs>
          <w:tab w:val="clear" w:pos="708"/>
          <w:tab w:val="center" w:pos="4464" w:leader="none"/>
          <w:tab w:val="left" w:pos="7710" w:leader="none"/>
        </w:tabs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>6.3. Поставщик обязан при обнаружении недостатков у поставляемого товара заменить товар ненадлежащего качества, при обнаружении некомплектности/недопоставки произвести доукомплектование/допоставку, при несоответствии товара установленному ассортименту, заменить товар на соответствующий, своим транспортом и за свой счет, в сроки, определенные договором</w:t>
      </w:r>
      <w:bookmarkStart w:id="0" w:name="_Hlk170371937"/>
    </w:p>
    <w:p>
      <w:pPr>
        <w:pStyle w:val="Subtitle"/>
        <w:jc w:val="left"/>
        <w:rPr/>
      </w:pPr>
      <w:bookmarkEnd w:id="0"/>
      <w:r>
        <w:rPr/>
        <w:t>1. Описание закупки</w:t>
      </w:r>
    </w:p>
    <w:p>
      <w:pPr>
        <w:pStyle w:val="Subtitle"/>
        <w:ind w:left="284" w:right="0"/>
        <w:jc w:val="right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tbl>
      <w:tblPr>
        <w:tblW w:w="14710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4"/>
        <w:gridCol w:w="1425"/>
        <w:gridCol w:w="1423"/>
        <w:gridCol w:w="8317"/>
        <w:gridCol w:w="2181"/>
        <w:gridCol w:w="859"/>
      </w:tblGrid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Liberation Sans"/>
                <w:b/>
                <w:bCs/>
              </w:rPr>
            </w:pPr>
            <w:r>
              <w:rPr>
                <w:rFonts w:eastAsia="Liberation Sans"/>
                <w:b/>
                <w:bCs/>
              </w:rPr>
              <w:t>№</w:t>
            </w:r>
          </w:p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п/п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Наименование товара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ОКПД2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Характеристика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Liberation Sans"/>
                <w:b/>
                <w:bCs/>
              </w:rPr>
            </w:pPr>
            <w:r>
              <w:rPr>
                <w:rFonts w:eastAsia="Liberation Sans"/>
                <w:b/>
                <w:bCs/>
              </w:rPr>
              <w:t>Ед.</w:t>
            </w:r>
          </w:p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измерения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Кол-во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Универсально чистящее средство "Белизна"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20.41.32.119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Вид средства: Жидкое отбеливающее</w:t>
            </w:r>
          </w:p>
          <w:p>
            <w:pPr>
              <w:pStyle w:val="Normal"/>
              <w:rPr/>
            </w:pPr>
            <w:r>
              <w:rPr/>
              <w:t>Назначение средства: дезинфицирующее и отбеливающее средство</w:t>
            </w:r>
          </w:p>
          <w:p>
            <w:pPr>
              <w:pStyle w:val="Normal"/>
              <w:rPr/>
            </w:pPr>
            <w:r>
              <w:rPr/>
              <w:t>Обрабатываемая поверхность: Облицовочная, кафельная плитка, эмалированная, фарфоровая и др. поверхности, унитазы, мусорные ведра.</w:t>
            </w:r>
          </w:p>
          <w:p>
            <w:pPr>
              <w:pStyle w:val="Normal"/>
              <w:rPr/>
            </w:pPr>
            <w:r>
              <w:rPr/>
              <w:t>Объем/вес: 1л</w:t>
            </w:r>
          </w:p>
          <w:p>
            <w:pPr>
              <w:pStyle w:val="Normal"/>
              <w:rPr/>
            </w:pPr>
            <w:r>
              <w:rPr/>
              <w:t>Основное действующее вещество: хлор</w:t>
            </w:r>
          </w:p>
          <w:p>
            <w:pPr>
              <w:pStyle w:val="Normal"/>
              <w:rPr/>
            </w:pPr>
            <w:r>
              <w:rPr/>
              <w:t>Страна происхождения: Россия</w:t>
            </w:r>
          </w:p>
          <w:p>
            <w:pPr>
              <w:pStyle w:val="Normal"/>
              <w:rPr/>
            </w:pPr>
            <w:r>
              <w:rPr/>
              <w:t>Тип дозатора: отсутствует</w:t>
            </w:r>
          </w:p>
          <w:p>
            <w:pPr>
              <w:pStyle w:val="Normal"/>
              <w:rPr/>
            </w:pPr>
            <w:r>
              <w:rPr/>
              <w:t>Форма выпуска: жидкость</w:t>
            </w:r>
          </w:p>
          <w:p>
            <w:pPr>
              <w:pStyle w:val="Normal"/>
              <w:rPr/>
            </w:pPr>
            <w:r>
              <w:rPr/>
              <w:t>Дополнительная информация: Дезинфицирующие отбеливающее</w:t>
            </w:r>
          </w:p>
          <w:p>
            <w:pPr>
              <w:pStyle w:val="Normal"/>
              <w:rPr/>
            </w:pPr>
            <w:r>
              <w:rPr/>
              <w:t>средство Белизна является дезинфектантом для поверхностей.</w:t>
            </w:r>
          </w:p>
          <w:p>
            <w:pPr>
              <w:pStyle w:val="Normal"/>
              <w:rPr/>
            </w:pPr>
            <w:r>
              <w:rPr/>
              <w:t>Применяется как в виде готовой к применению жидкости, так и с ее разведением (дозы).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л.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60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Жидкое мыло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20.41.31.130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Для мытья рук</w:t>
            </w:r>
          </w:p>
          <w:p>
            <w:pPr>
              <w:pStyle w:val="Normal"/>
              <w:rPr/>
            </w:pPr>
            <w:r>
              <w:rPr/>
              <w:t>Жидкое моющее средство, предназначенное для мытья рук,</w:t>
            </w:r>
          </w:p>
          <w:p>
            <w:pPr>
              <w:pStyle w:val="Normal"/>
              <w:rPr/>
            </w:pPr>
            <w:r>
              <w:rPr/>
              <w:t>ароматизированное, антибактериальное, во флаконах объемом 5л</w:t>
            </w:r>
          </w:p>
          <w:p>
            <w:pPr>
              <w:pStyle w:val="Normal"/>
              <w:rPr/>
            </w:pPr>
            <w:r>
              <w:rPr/>
              <w:t>Вид средства: Моющее</w:t>
            </w:r>
          </w:p>
          <w:p>
            <w:pPr>
              <w:pStyle w:val="Normal"/>
              <w:rPr/>
            </w:pPr>
            <w:r>
              <w:rPr/>
              <w:t>Аромат: любой</w:t>
            </w:r>
          </w:p>
          <w:p>
            <w:pPr>
              <w:pStyle w:val="Normal"/>
              <w:rPr/>
            </w:pPr>
            <w:r>
              <w:rPr/>
              <w:t>Объем/вес: 5 л</w:t>
            </w:r>
          </w:p>
          <w:p>
            <w:pPr>
              <w:pStyle w:val="Normal"/>
              <w:rPr/>
            </w:pPr>
            <w:r>
              <w:rPr/>
              <w:t>Форма выпуска: Жидкое мыло</w:t>
            </w:r>
          </w:p>
          <w:p>
            <w:pPr>
              <w:pStyle w:val="Normal"/>
              <w:rPr/>
            </w:pPr>
            <w:r>
              <w:rPr/>
              <w:t>Упаковка: пластиковый пакет или канистра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Л.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u w:val="none"/>
                <w:shd w:fill="auto" w:val="clear"/>
              </w:rPr>
              <w:t>40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3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Мешки для мусора 120л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22.22.11.110</w:t>
            </w:r>
          </w:p>
        </w:tc>
        <w:tc>
          <w:tcPr>
            <w:tcW w:w="8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Для временного хранения мусора и подходят для офисной бумаги, легких бытовых отходов, легкого пластика и упаковки.</w:t>
            </w:r>
          </w:p>
          <w:p>
            <w:pPr>
              <w:pStyle w:val="Normal"/>
              <w:rPr/>
            </w:pPr>
            <w:r>
              <w:rPr/>
              <w:t>Объем: 120 л</w:t>
            </w:r>
          </w:p>
          <w:p>
            <w:pPr>
              <w:pStyle w:val="Normal"/>
              <w:rPr/>
            </w:pPr>
            <w:r>
              <w:rPr/>
              <w:t>Размер: не менее 110×70 см</w:t>
            </w:r>
          </w:p>
          <w:p>
            <w:pPr>
              <w:pStyle w:val="Normal"/>
              <w:rPr/>
            </w:pPr>
            <w:r>
              <w:rPr/>
              <w:t>Материал: полиэтилен низкого давления (ПНД)</w:t>
            </w:r>
          </w:p>
          <w:p>
            <w:pPr>
              <w:pStyle w:val="Normal"/>
              <w:rPr/>
            </w:pPr>
            <w:r>
              <w:rPr/>
              <w:t>Толщина: не менее 40 мкм</w:t>
            </w:r>
          </w:p>
          <w:p>
            <w:pPr>
              <w:pStyle w:val="Normal"/>
              <w:rPr/>
            </w:pPr>
            <w:r>
              <w:rPr/>
              <w:t>Цвет: любой</w:t>
            </w:r>
          </w:p>
          <w:p>
            <w:pPr>
              <w:pStyle w:val="Normal"/>
              <w:rPr/>
            </w:pPr>
            <w:r>
              <w:rPr/>
              <w:t>Тип упаковки: рулон</w:t>
            </w:r>
          </w:p>
          <w:p>
            <w:pPr>
              <w:pStyle w:val="Normal"/>
              <w:rPr/>
            </w:pPr>
            <w:r>
              <w:rPr/>
              <w:t>Завязки: наличие</w:t>
            </w:r>
          </w:p>
          <w:p>
            <w:pPr>
              <w:pStyle w:val="Normal"/>
              <w:rPr/>
            </w:pPr>
            <w:r>
              <w:rPr/>
              <w:t>Количество в упаковке: не менее 10 шт.</w:t>
            </w:r>
          </w:p>
        </w:tc>
        <w:tc>
          <w:tcPr>
            <w:tcW w:w="2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рул.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50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4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Мешки для мусора 30л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22.22.11.110</w:t>
            </w:r>
          </w:p>
        </w:tc>
        <w:tc>
          <w:tcPr>
            <w:tcW w:w="8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Для временного хранения мусора и подходят для офисной бумаги, легких бытовых отходов, легкого пластика и упаковки.</w:t>
            </w:r>
          </w:p>
          <w:p>
            <w:pPr>
              <w:pStyle w:val="Normal"/>
              <w:rPr/>
            </w:pPr>
            <w:r>
              <w:rPr/>
              <w:t>Объем: 30 л</w:t>
            </w:r>
          </w:p>
          <w:p>
            <w:pPr>
              <w:pStyle w:val="Normal"/>
              <w:rPr/>
            </w:pPr>
            <w:r>
              <w:rPr/>
              <w:t>Размер: не менее 50х60</w:t>
            </w:r>
          </w:p>
          <w:p>
            <w:pPr>
              <w:pStyle w:val="Normal"/>
              <w:rPr/>
            </w:pPr>
            <w:r>
              <w:rPr/>
              <w:t>Материал: полиэтилен низкого давления (ПНД)</w:t>
            </w:r>
          </w:p>
          <w:p>
            <w:pPr>
              <w:pStyle w:val="Normal"/>
              <w:rPr/>
            </w:pPr>
            <w:r>
              <w:rPr/>
              <w:t>Цвет: любой</w:t>
            </w:r>
          </w:p>
          <w:p>
            <w:pPr>
              <w:pStyle w:val="Normal"/>
              <w:rPr/>
            </w:pPr>
            <w:r>
              <w:rPr/>
              <w:t>Тип упаковки: рулон</w:t>
            </w:r>
          </w:p>
          <w:p>
            <w:pPr>
              <w:pStyle w:val="Normal"/>
              <w:rPr/>
            </w:pPr>
            <w:r>
              <w:rPr/>
              <w:t>Завязки: наличие</w:t>
            </w:r>
          </w:p>
          <w:p>
            <w:pPr>
              <w:pStyle w:val="Normal"/>
              <w:rPr/>
            </w:pPr>
            <w:r>
              <w:rPr/>
              <w:t>Количество в упаковке: не менее 30 шт.</w:t>
            </w:r>
          </w:p>
        </w:tc>
        <w:tc>
          <w:tcPr>
            <w:tcW w:w="2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рул.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15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5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Мешки для мусора 60л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22.22.11.110</w:t>
            </w:r>
          </w:p>
        </w:tc>
        <w:tc>
          <w:tcPr>
            <w:tcW w:w="8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Для временного хранения мусора и подходят для офисной бумаги, легких бытовых отходов, легкого пластика и упаковки.</w:t>
            </w:r>
          </w:p>
          <w:p>
            <w:pPr>
              <w:pStyle w:val="Normal"/>
              <w:rPr/>
            </w:pPr>
            <w:r>
              <w:rPr/>
              <w:t>Объем: 60 л</w:t>
            </w:r>
          </w:p>
          <w:p>
            <w:pPr>
              <w:pStyle w:val="Normal"/>
              <w:rPr/>
            </w:pPr>
            <w:r>
              <w:rPr/>
              <w:t>Размер: не менее 58*65см</w:t>
            </w:r>
          </w:p>
          <w:p>
            <w:pPr>
              <w:pStyle w:val="Normal"/>
              <w:rPr/>
            </w:pPr>
            <w:r>
              <w:rPr/>
              <w:t>Материал: полиэтилен низкого давления (ПНД)</w:t>
            </w:r>
          </w:p>
          <w:p>
            <w:pPr>
              <w:pStyle w:val="Normal"/>
              <w:rPr/>
            </w:pPr>
            <w:r>
              <w:rPr/>
              <w:t>Толщина: 15 мкм</w:t>
            </w:r>
          </w:p>
          <w:p>
            <w:pPr>
              <w:pStyle w:val="Normal"/>
              <w:rPr/>
            </w:pPr>
            <w:r>
              <w:rPr/>
              <w:t>Цвет: любой</w:t>
            </w:r>
          </w:p>
          <w:p>
            <w:pPr>
              <w:pStyle w:val="Normal"/>
              <w:rPr/>
            </w:pPr>
            <w:r>
              <w:rPr/>
              <w:t>Тип упаковки: рулон</w:t>
            </w:r>
          </w:p>
          <w:p>
            <w:pPr>
              <w:pStyle w:val="Normal"/>
              <w:rPr/>
            </w:pPr>
            <w:r>
              <w:rPr/>
              <w:t>Завязки: наличие</w:t>
            </w:r>
          </w:p>
          <w:p>
            <w:pPr>
              <w:pStyle w:val="Normal"/>
              <w:rPr/>
            </w:pPr>
            <w:r>
              <w:rPr/>
              <w:t>Количество в упаковке: не менее 20 шт.</w:t>
            </w:r>
          </w:p>
        </w:tc>
        <w:tc>
          <w:tcPr>
            <w:tcW w:w="2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рул.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40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Средство для ухода за сантехникой САНОКС Гель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20.41.44.190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Чистящее, антибактериальное и</w:t>
            </w:r>
          </w:p>
          <w:p>
            <w:pPr>
              <w:pStyle w:val="Normal"/>
              <w:rPr/>
            </w:pPr>
            <w:r>
              <w:rPr/>
              <w:t>дезинфицирующее средство для чистки санузлов</w:t>
            </w:r>
          </w:p>
          <w:p>
            <w:pPr>
              <w:pStyle w:val="Normal"/>
              <w:rPr/>
            </w:pPr>
            <w:r>
              <w:rPr/>
              <w:t>Эффект: устранение ржавчины, устранение известкового</w:t>
            </w:r>
          </w:p>
          <w:p>
            <w:pPr>
              <w:pStyle w:val="Normal"/>
              <w:rPr/>
            </w:pPr>
            <w:r>
              <w:rPr/>
              <w:t>налета, устранение неприятных запахов</w:t>
            </w:r>
          </w:p>
          <w:p>
            <w:pPr>
              <w:pStyle w:val="Normal"/>
              <w:rPr/>
            </w:pPr>
            <w:r>
              <w:rPr/>
              <w:t>Страна происхождения: Россия</w:t>
            </w:r>
          </w:p>
          <w:p>
            <w:pPr>
              <w:pStyle w:val="Normal"/>
              <w:rPr/>
            </w:pPr>
            <w:r>
              <w:rPr/>
              <w:t>Особенности: антибактериальное</w:t>
            </w:r>
          </w:p>
          <w:p>
            <w:pPr>
              <w:pStyle w:val="Normal"/>
              <w:rPr/>
            </w:pPr>
            <w:r>
              <w:rPr/>
              <w:t>Объем/вес: не менее 750 мл.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л.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36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7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Средство для мытья пола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20.41.32.119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для обработки поверхностей (мытье полов)</w:t>
            </w:r>
          </w:p>
          <w:p>
            <w:pPr>
              <w:pStyle w:val="Normal"/>
              <w:rPr/>
            </w:pPr>
            <w:r>
              <w:rPr/>
              <w:t>Форма выпуска: концентрат</w:t>
            </w:r>
          </w:p>
          <w:p>
            <w:pPr>
              <w:pStyle w:val="Normal"/>
              <w:rPr/>
            </w:pPr>
            <w:r>
              <w:rPr/>
              <w:t>Объем: 5л</w:t>
            </w:r>
          </w:p>
          <w:p>
            <w:pPr>
              <w:pStyle w:val="Normal"/>
              <w:rPr/>
            </w:pPr>
            <w:r>
              <w:rPr/>
              <w:t>Упаковка: канистра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л.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60</w:t>
            </w:r>
          </w:p>
        </w:tc>
      </w:tr>
      <w:tr>
        <w:trPr/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8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Дозатор для жидкого мыла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22.29.23.130</w:t>
            </w:r>
          </w:p>
        </w:tc>
        <w:tc>
          <w:tcPr>
            <w:tcW w:w="8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Назначение: </w:t>
            </w:r>
            <w:r>
              <w:rPr>
                <w:rFonts w:eastAsia="Liberation Sans"/>
                <w:b/>
                <w:bCs/>
              </w:rPr>
              <w:t>Дозатор для жидкого мыла</w:t>
            </w:r>
          </w:p>
          <w:p>
            <w:pPr>
              <w:pStyle w:val="Normal"/>
              <w:rPr/>
            </w:pPr>
            <w:r>
              <w:rPr/>
              <w:t>Объем: 0.5 л.</w:t>
            </w:r>
          </w:p>
          <w:p>
            <w:pPr>
              <w:pStyle w:val="Normal"/>
              <w:rPr/>
            </w:pPr>
            <w:r>
              <w:rPr/>
              <w:t>Тип диспенсера: наливной для жидкого мыла.</w:t>
            </w:r>
          </w:p>
          <w:p>
            <w:pPr>
              <w:pStyle w:val="Normal"/>
              <w:rPr/>
            </w:pPr>
            <w:r>
              <w:rPr/>
              <w:t>Управление: механическое.</w:t>
            </w:r>
          </w:p>
          <w:p>
            <w:pPr>
              <w:pStyle w:val="Normal"/>
              <w:rPr/>
            </w:pPr>
            <w:r>
              <w:rPr/>
              <w:t>Индикаторы: окно для контроля уровня мыла.</w:t>
            </w:r>
          </w:p>
          <w:p>
            <w:pPr>
              <w:pStyle w:val="Normal"/>
              <w:rPr/>
            </w:pPr>
            <w:r>
              <w:rPr/>
              <w:t>Комплектация: крепежные материалы.</w:t>
            </w:r>
          </w:p>
          <w:p>
            <w:pPr>
              <w:pStyle w:val="Normal"/>
              <w:rPr/>
            </w:pPr>
            <w:r>
              <w:rPr/>
              <w:t>Материал замка: нет.</w:t>
            </w:r>
          </w:p>
          <w:p>
            <w:pPr>
              <w:pStyle w:val="Normal"/>
              <w:rPr/>
            </w:pPr>
            <w:r>
              <w:rPr/>
              <w:t>Материал корпуса: пластик.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шт.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1</w:t>
            </w:r>
          </w:p>
        </w:tc>
      </w:tr>
      <w:tr>
        <w:trPr/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9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Чистящее средство, ПЕМОЛЮКС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ind w:hanging="0" w:left="0" w:righ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20.41.44.120</w:t>
            </w:r>
          </w:p>
        </w:tc>
        <w:tc>
          <w:tcPr>
            <w:tcW w:w="8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Назначение: для обработки поверхностей</w:t>
            </w:r>
          </w:p>
          <w:p>
            <w:pPr>
              <w:pStyle w:val="Normal"/>
              <w:rPr/>
            </w:pPr>
            <w:r>
              <w:rPr/>
              <w:t>Форма выпуска: порошок.</w:t>
            </w:r>
          </w:p>
          <w:p>
            <w:pPr>
              <w:pStyle w:val="Normal"/>
              <w:rPr/>
            </w:pPr>
            <w:r>
              <w:rPr/>
              <w:t>Объем/вес: 480 мл/г.</w:t>
            </w:r>
          </w:p>
          <w:p>
            <w:pPr>
              <w:pStyle w:val="Normal"/>
              <w:rPr/>
            </w:pPr>
            <w:r>
              <w:rPr/>
              <w:t>Особенности: универсальное.</w:t>
            </w:r>
          </w:p>
          <w:p>
            <w:pPr>
              <w:pStyle w:val="Normal"/>
              <w:rPr/>
            </w:pPr>
            <w:r>
              <w:rPr/>
              <w:t>Отдушка: любая.</w:t>
            </w:r>
          </w:p>
          <w:p>
            <w:pPr>
              <w:pStyle w:val="Normal"/>
              <w:rPr/>
            </w:pPr>
            <w:r>
              <w:rPr/>
              <w:t>Дозатор: классический.</w:t>
            </w:r>
          </w:p>
          <w:p>
            <w:pPr>
              <w:pStyle w:val="Normal"/>
              <w:rPr/>
            </w:pPr>
            <w:r>
              <w:rPr/>
              <w:t>Упаковка: банка.</w:t>
            </w:r>
          </w:p>
          <w:p>
            <w:pPr>
              <w:pStyle w:val="Normal"/>
              <w:rPr/>
            </w:pPr>
            <w:r>
              <w:rPr/>
              <w:t>Производитель: Россия.</w:t>
            </w:r>
          </w:p>
        </w:tc>
        <w:tc>
          <w:tcPr>
            <w:tcW w:w="2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шт.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10</w:t>
            </w:r>
          </w:p>
        </w:tc>
      </w:tr>
      <w:tr>
        <w:trPr/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eastAsia="Liberation Sans"/>
                <w:b/>
                <w:bCs/>
              </w:rPr>
              <w:t>10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Тряпка для мытья пола из микрофибры, LAIMA</w:t>
            </w:r>
          </w:p>
        </w:tc>
        <w:tc>
          <w:tcPr>
            <w:tcW w:w="1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13.92.29.110</w:t>
            </w:r>
          </w:p>
        </w:tc>
        <w:tc>
          <w:tcPr>
            <w:tcW w:w="8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lang w:eastAsia="zh-CN"/>
              </w:rPr>
              <w:t>Назначение: для обработки поверхностей (мытье полов)</w:t>
            </w:r>
          </w:p>
          <w:p>
            <w:pPr>
              <w:pStyle w:val="Normal"/>
              <w:rPr/>
            </w:pPr>
            <w:r>
              <w:rPr/>
              <w:t>Тип товара: тряпка для пола из микрофибры.</w:t>
            </w:r>
          </w:p>
          <w:p>
            <w:pPr>
              <w:pStyle w:val="Normal"/>
              <w:rPr/>
            </w:pPr>
            <w:r>
              <w:rPr/>
              <w:t>Материал: микрофибра.</w:t>
            </w:r>
          </w:p>
          <w:p>
            <w:pPr>
              <w:pStyle w:val="Normal"/>
              <w:rPr/>
            </w:pPr>
            <w:r>
              <w:rPr/>
              <w:t>Размер: 70×80 см.</w:t>
            </w:r>
          </w:p>
          <w:p>
            <w:pPr>
              <w:pStyle w:val="Normal"/>
              <w:rPr/>
            </w:pPr>
            <w:r>
              <w:rPr/>
              <w:t>Количество в комплекте: 1 шт..</w:t>
            </w:r>
          </w:p>
          <w:p>
            <w:pPr>
              <w:pStyle w:val="Normal"/>
              <w:rPr/>
            </w:pPr>
            <w:r>
              <w:rPr/>
              <w:t>Плотность: 300 г/м2.</w:t>
            </w:r>
          </w:p>
          <w:p>
            <w:pPr>
              <w:pStyle w:val="Normal"/>
              <w:rPr/>
            </w:pPr>
            <w:r>
              <w:rPr/>
              <w:t>Тип обработки среза: оверлок.</w:t>
            </w:r>
          </w:p>
          <w:p>
            <w:pPr>
              <w:pStyle w:val="Normal"/>
              <w:rPr/>
            </w:pPr>
            <w:r>
              <w:rPr/>
              <w:t>Цвет: любой..</w:t>
            </w:r>
          </w:p>
        </w:tc>
        <w:tc>
          <w:tcPr>
            <w:tcW w:w="2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шт.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6</w:t>
            </w:r>
          </w:p>
        </w:tc>
      </w:tr>
    </w:tbl>
    <w:p>
      <w:pPr>
        <w:pStyle w:val="Subtitle"/>
        <w:jc w:val="left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p>
      <w:pPr>
        <w:pStyle w:val="BodyText"/>
        <w:jc w:val="left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p>
      <w:pPr>
        <w:pStyle w:val="Subtitle"/>
        <w:jc w:val="right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p>
      <w:pPr>
        <w:pStyle w:val="Subtitle"/>
        <w:jc w:val="right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p>
      <w:pPr>
        <w:pStyle w:val="Subtitle"/>
        <w:ind w:left="284" w:right="0"/>
        <w:jc w:val="both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orient="landscape" w:w="16838" w:h="11906"/>
      <w:pgMar w:left="1134" w:right="425" w:gutter="709" w:header="720" w:top="851" w:footer="720" w:bottom="77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Bookman Old Style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5890260" cy="292735"/>
              <wp:effectExtent l="0" t="0" r="0" b="0"/>
              <wp:wrapSquare wrapText="bothSides"/>
              <wp:docPr id="1" name="Фигур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90320" cy="292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Фигура1" path="m0,0l-2147483645,0l-2147483645,-2147483646l0,-2147483646xe" stroked="f" o:allowincell="f" style="position:absolute;margin-left:131.45pt;margin-top:0.05pt;width:463.75pt;height:23pt;mso-wrap-style:square;v-text-anchor:top;mso-position-horizontal:right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Normal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9022715" cy="292735"/>
              <wp:effectExtent l="0" t="0" r="0" b="0"/>
              <wp:wrapSquare wrapText="bothSides"/>
              <wp:docPr id="2" name="Фигура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22680" cy="292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Фигура 2" path="m0,0l-2147483645,0l-2147483645,-2147483646l0,-2147483646xe" stroked="f" o:allowincell="f" style="position:absolute;margin-left:0pt;margin-top:0.05pt;width:710.4pt;height:23pt;mso-wrap-style:square;v-text-anchor:top;mso-position-horizontal:right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Normal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9022715" cy="292735"/>
              <wp:effectExtent l="0" t="0" r="0" b="0"/>
              <wp:wrapSquare wrapText="bothSides"/>
              <wp:docPr id="3" name="Фигур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22680" cy="292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Фигура2" path="m0,0l-2147483645,0l-2147483645,-2147483646l0,-2147483646xe" stroked="f" o:allowincell="f" style="position:absolute;margin-left:131.35pt;margin-top:0.05pt;width:710.4pt;height:23pt;mso-wrap-style:square;v-text-anchor:top;mso-position-horizontal:right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Normal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9022715" cy="292735"/>
              <wp:effectExtent l="0" t="0" r="0" b="0"/>
              <wp:wrapSquare wrapText="bothSides"/>
              <wp:docPr id="4" name="Фигур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22680" cy="292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Foo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Normal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Фигура2" path="m0,0l-2147483645,0l-2147483645,-2147483646l0,-2147483646xe" stroked="f" o:allowincell="f" style="position:absolute;margin-left:131.35pt;margin-top:0.05pt;width:710.4pt;height:23pt;mso-wrap-style:square;v-text-anchor:top;mso-position-horizontal:right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Normal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>
    <w:name w:val="WW8Num1z0"/>
    <w:qFormat/>
    <w:rPr>
      <w:rFonts w:ascii="Times New Roman" w:hAnsi="Times New Roman" w:eastAsia="Times New Roman" w:cs="Times New Roman"/>
    </w:rPr>
  </w:style>
  <w:style w:type="character" w:styleId="WW8Num1z1">
    <w:name w:val="WW8Num1z1"/>
    <w:qFormat/>
    <w:rPr>
      <w:b w:val="false"/>
    </w:rPr>
  </w:style>
  <w:style w:type="character" w:styleId="WW8Num1z2">
    <w:name w:val="WW8Num1z2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b w:val="false"/>
    </w:rPr>
  </w:style>
  <w:style w:type="character" w:styleId="WW8Num2z2">
    <w:name w:val="WW8Num2z2"/>
    <w:qFormat/>
    <w:rPr/>
  </w:style>
  <w:style w:type="character" w:styleId="WW8Num3z0">
    <w:name w:val="WW8Num3z0"/>
    <w:qFormat/>
    <w:rPr>
      <w:rFonts w:ascii="Times New Roman" w:hAnsi="Times New Roman" w:eastAsia="Times New Roman" w:cs="Times New Roman"/>
    </w:rPr>
  </w:style>
  <w:style w:type="character" w:styleId="WW8Num3z1">
    <w:name w:val="WW8Num3z1"/>
    <w:qFormat/>
    <w:rPr>
      <w:b w:val="false"/>
    </w:rPr>
  </w:style>
  <w:style w:type="character" w:styleId="WW8Num3z2">
    <w:name w:val="WW8Num3z2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5z1">
    <w:name w:val="WW8Num5z1"/>
    <w:qFormat/>
    <w:rPr>
      <w:b w:val="false"/>
    </w:rPr>
  </w:style>
  <w:style w:type="character" w:styleId="WW8Num5z2">
    <w:name w:val="WW8Num5z2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Style7">
    <w:name w:val="Основной шрифт абзаца"/>
    <w:qFormat/>
    <w:rPr/>
  </w:style>
  <w:style w:type="character" w:styleId="PageNumber">
    <w:name w:val="Page Number"/>
    <w:basedOn w:val="Style7"/>
    <w:rPr/>
  </w:style>
  <w:style w:type="character" w:styleId="Hyperlink">
    <w:name w:val="Hyperlink"/>
    <w:rPr>
      <w:color w:val="0563C1"/>
      <w:u w:val="single"/>
    </w:rPr>
  </w:style>
  <w:style w:type="character" w:styleId="Style8">
    <w:name w:val="Неразрешенное упоминание"/>
    <w:qFormat/>
    <w:rPr>
      <w:color w:val="605E5C"/>
      <w:shd w:fill="E1DFDD" w:val="clear"/>
    </w:rPr>
  </w:style>
  <w:style w:type="character" w:styleId="Style9">
    <w:name w:val="Без интервала Знак"/>
    <w:qFormat/>
    <w:rPr>
      <w:rFonts w:ascii="Calibri" w:hAnsi="Calibri" w:eastAsia="Arial" w:cs="Calibri"/>
      <w:sz w:val="22"/>
      <w:szCs w:val="22"/>
    </w:rPr>
  </w:style>
  <w:style w:type="character" w:styleId="Style10">
    <w:name w:val="Абзац списка Знак"/>
    <w:qFormat/>
    <w:rPr/>
  </w:style>
  <w:style w:type="character" w:styleId="Style11">
    <w:name w:val="Основной текст Знак"/>
    <w:qFormat/>
    <w:rPr>
      <w:rFonts w:eastAsia="MS Mincho"/>
      <w:sz w:val="24"/>
    </w:rPr>
  </w:style>
  <w:style w:type="character" w:styleId="Style12">
    <w:name w:val="Подзаголовок Знак"/>
    <w:qFormat/>
    <w:rPr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BodyText"/>
    <w:qFormat/>
    <w:pPr>
      <w:jc w:val="center"/>
    </w:pPr>
    <w:rPr>
      <w:rFonts w:ascii="Bookman Old Style" w:hAnsi="Bookman Old Style" w:cs="Bookman Old Style"/>
      <w:sz w:val="24"/>
    </w:rPr>
  </w:style>
  <w:style w:type="paragraph" w:styleId="BodyText">
    <w:name w:val="Body Text"/>
    <w:basedOn w:val="Normal"/>
    <w:pPr>
      <w:jc w:val="both"/>
    </w:pPr>
    <w:rPr>
      <w:rFonts w:eastAsia="MS Mincho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ru-RU" w:eastAsia="zh-CN" w:bidi="hi-IN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Subtitle">
    <w:name w:val="Subtitle"/>
    <w:basedOn w:val="Normal"/>
    <w:qFormat/>
    <w:pPr>
      <w:jc w:val="center"/>
    </w:pPr>
    <w:rPr>
      <w:b/>
      <w:sz w:val="22"/>
    </w:rPr>
  </w:style>
  <w:style w:type="paragraph" w:styleId="Style15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ind w:hanging="0" w:left="720" w:right="0"/>
      <w:jc w:val="both"/>
    </w:pPr>
    <w:rPr>
      <w:sz w:val="24"/>
      <w:szCs w:val="24"/>
    </w:rPr>
  </w:style>
  <w:style w:type="paragraph" w:styleId="2">
    <w:name w:val="Основной текст с отступом 2"/>
    <w:basedOn w:val="Normal"/>
    <w:qFormat/>
    <w:pPr>
      <w:ind w:hanging="720" w:left="720" w:right="0"/>
      <w:jc w:val="both"/>
    </w:pPr>
    <w:rPr>
      <w:color w:val="000000"/>
      <w:sz w:val="24"/>
      <w:szCs w:val="24"/>
    </w:rPr>
  </w:style>
  <w:style w:type="paragraph" w:styleId="3">
    <w:name w:val="Основной текст с отступом 3"/>
    <w:basedOn w:val="Normal"/>
    <w:qFormat/>
    <w:pPr>
      <w:shd w:val="clear" w:color="auto" w:fill="FFFFFF"/>
      <w:ind w:hanging="720" w:left="720" w:right="0"/>
      <w:jc w:val="both"/>
    </w:pPr>
    <w:rPr>
      <w:color w:val="000000"/>
      <w:sz w:val="24"/>
      <w:szCs w:val="24"/>
    </w:rPr>
  </w:style>
  <w:style w:type="paragraph" w:styleId="Style16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7">
    <w:name w:val="Знак"/>
    <w:basedOn w:val="Normal"/>
    <w:qFormat/>
    <w:pPr>
      <w:keepLines/>
      <w:spacing w:lineRule="exact" w:line="240" w:before="0" w:after="160"/>
    </w:pPr>
    <w:rPr>
      <w:rFonts w:ascii="Verdana" w:hAnsi="Verdana" w:eastAsia="MS Mincho" w:cs="Franklin Gothic Book"/>
      <w:lang w:val="en-US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18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Arial" w:cs="Calibri"/>
      <w:color w:val="auto"/>
      <w:kern w:val="0"/>
      <w:sz w:val="22"/>
      <w:szCs w:val="22"/>
      <w:lang w:val="ru-RU" w:eastAsia="zh-CN" w:bidi="ar-SA"/>
    </w:rPr>
  </w:style>
  <w:style w:type="paragraph" w:styleId="Style19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LibreOffice/7.6.4.1$Windows_X86_64 LibreOffice_project/e19e193f88cd6c0525a17fb7a176ed8e6a3e2aa1</Application>
  <AppVersion>15.0000</AppVersion>
  <Pages>4</Pages>
  <Words>811</Words>
  <Characters>5649</Characters>
  <CharactersWithSpaces>6309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2024-10-14T04:50:00Z</dcterms:created>
  <dc:creator>Тюпин</dc:creator>
  <dc:description/>
  <dc:language>ru-RU</dc:language>
  <cp:lastModifiedBy/>
  <dcterms:modified xsi:type="dcterms:W3CDTF">2026-05-04T10:19:15Z</dcterms:modified>
  <cp:revision>8</cp:revision>
  <dc:subject/>
  <dc:title>ДОГОВОР ПОСТАВКИ № 162-КП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