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79AE2DFB" w:rsidR="0084335A" w:rsidRPr="00406EA8" w:rsidRDefault="002C5707" w:rsidP="0002581B">
      <w:pPr>
        <w:numPr>
          <w:ilvl w:val="1"/>
          <w:numId w:val="1"/>
        </w:numPr>
        <w:jc w:val="both"/>
      </w:pPr>
      <w:r w:rsidRPr="00534A97">
        <w:t xml:space="preserve">Заказчик поручает, </w:t>
      </w:r>
      <w:r w:rsidRPr="00406EA8">
        <w:t>а Подрядчик принимает на себя обязательство на выполнение</w:t>
      </w:r>
      <w:r w:rsidR="005D64CF" w:rsidRPr="00406EA8">
        <w:t xml:space="preserve"> работ</w:t>
      </w:r>
      <w:r w:rsidRPr="00406EA8">
        <w:rPr>
          <w:b/>
        </w:rPr>
        <w:t xml:space="preserve"> </w:t>
      </w:r>
      <w:r w:rsidR="0004167C">
        <w:rPr>
          <w:b/>
          <w:bCs/>
          <w:color w:val="000000"/>
        </w:rPr>
        <w:t>на ремонт и благоустройство мест захоронения</w:t>
      </w:r>
      <w:r w:rsidR="00406EA8" w:rsidRPr="00406EA8">
        <w:rPr>
          <w:b/>
          <w:bCs/>
          <w:color w:val="000000"/>
        </w:rPr>
        <w:t xml:space="preserve"> </w:t>
      </w:r>
      <w:r w:rsidRPr="00406EA8">
        <w:t>(далее «</w:t>
      </w:r>
      <w:r w:rsidR="00AB6FFD" w:rsidRPr="00406EA8">
        <w:t>Работы</w:t>
      </w:r>
      <w:r w:rsidRPr="00406EA8">
        <w:t>») в соответствии с Техническим заданием (</w:t>
      </w:r>
      <w:r w:rsidR="00091160" w:rsidRPr="00406EA8">
        <w:t>П</w:t>
      </w:r>
      <w:r w:rsidRPr="00406EA8">
        <w:t>риложение №1 к настоящему Договору)</w:t>
      </w:r>
      <w:r w:rsidR="00621C7E" w:rsidRPr="00406EA8">
        <w:t xml:space="preserve">, </w:t>
      </w:r>
      <w:r w:rsidR="00441543" w:rsidRPr="00406EA8">
        <w:t>с</w:t>
      </w:r>
      <w:r w:rsidRPr="00406EA8">
        <w:t>метной документацией (Приложение № 2 к настоящему Договору) в установленный настоящим Договором срок.</w:t>
      </w:r>
    </w:p>
    <w:p w14:paraId="7765DFCA" w14:textId="77777777" w:rsidR="00663E22" w:rsidRPr="00663E22" w:rsidRDefault="001E10FB" w:rsidP="00663E22">
      <w:pPr>
        <w:numPr>
          <w:ilvl w:val="1"/>
          <w:numId w:val="1"/>
        </w:numPr>
        <w:jc w:val="both"/>
      </w:pPr>
      <w:r w:rsidRPr="00534A97">
        <w:t xml:space="preserve">Заказчик вправе осуществлять частичную приемку </w:t>
      </w:r>
      <w:r w:rsidR="00663E22" w:rsidRPr="00663E22">
        <w:rPr>
          <w:b/>
          <w:bCs/>
        </w:rPr>
        <w:t xml:space="preserve">Место выполнения работ: </w:t>
      </w:r>
      <w:r w:rsidR="00663E22" w:rsidRPr="00663E22">
        <w:t>Республика Мордовия, Рузаевский муниципальный район.</w:t>
      </w:r>
      <w:r w:rsidR="00663E22" w:rsidRPr="00663E22">
        <w:tab/>
      </w:r>
    </w:p>
    <w:p w14:paraId="1A472DEA" w14:textId="77777777" w:rsidR="00663E22" w:rsidRPr="00663E22" w:rsidRDefault="00663E22" w:rsidP="00663E22">
      <w:pPr>
        <w:jc w:val="both"/>
      </w:pPr>
    </w:p>
    <w:p w14:paraId="37B92248" w14:textId="77777777" w:rsidR="00663E22" w:rsidRPr="00663E22" w:rsidRDefault="00663E22" w:rsidP="00663E22">
      <w:pPr>
        <w:pStyle w:val="a6"/>
        <w:numPr>
          <w:ilvl w:val="0"/>
          <w:numId w:val="1"/>
        </w:numPr>
        <w:ind w:left="0"/>
        <w:jc w:val="center"/>
        <w:rPr>
          <w:b/>
          <w:sz w:val="24"/>
          <w:szCs w:val="24"/>
        </w:rPr>
      </w:pPr>
      <w:r w:rsidRPr="00663E22">
        <w:rPr>
          <w:b/>
          <w:sz w:val="24"/>
          <w:szCs w:val="24"/>
        </w:rPr>
        <w:t>ЦЕНА ДОГОВОРА И ПОРЯДОК РАСЧЕТОВ</w:t>
      </w:r>
    </w:p>
    <w:p w14:paraId="5464E771" w14:textId="77777777" w:rsidR="00663E22" w:rsidRPr="00663E22" w:rsidRDefault="00663E22" w:rsidP="00663E22">
      <w:pPr>
        <w:pStyle w:val="a6"/>
        <w:numPr>
          <w:ilvl w:val="1"/>
          <w:numId w:val="1"/>
        </w:numPr>
        <w:jc w:val="both"/>
        <w:rPr>
          <w:sz w:val="24"/>
          <w:szCs w:val="24"/>
        </w:rPr>
      </w:pPr>
      <w:r w:rsidRPr="00663E22">
        <w:rPr>
          <w:sz w:val="24"/>
          <w:szCs w:val="24"/>
        </w:rPr>
        <w:t xml:space="preserve">Цена настоящего Договора </w:t>
      </w:r>
      <w:r w:rsidRPr="00663E22">
        <w:rPr>
          <w:color w:val="000000"/>
          <w:sz w:val="24"/>
          <w:szCs w:val="24"/>
        </w:rPr>
        <w:t xml:space="preserve">определяется на основании итогов закупочной процедуры и </w:t>
      </w:r>
      <w:r w:rsidRPr="00663E22">
        <w:rPr>
          <w:sz w:val="24"/>
          <w:szCs w:val="24"/>
        </w:rPr>
        <w:t>составляет – ___________</w:t>
      </w:r>
      <w:proofErr w:type="gramStart"/>
      <w:r w:rsidRPr="00663E22">
        <w:rPr>
          <w:sz w:val="24"/>
          <w:szCs w:val="24"/>
        </w:rPr>
        <w:t>_  (</w:t>
      </w:r>
      <w:proofErr w:type="gramEnd"/>
      <w:r w:rsidRPr="00663E22">
        <w:rPr>
          <w:sz w:val="24"/>
          <w:szCs w:val="24"/>
        </w:rPr>
        <w:t xml:space="preserve">___________) рублей __ копеек. </w:t>
      </w:r>
    </w:p>
    <w:p w14:paraId="3E0FB83C" w14:textId="77777777" w:rsidR="00663E22" w:rsidRPr="00663E22" w:rsidRDefault="00663E22" w:rsidP="00663E22">
      <w:pPr>
        <w:pStyle w:val="a6"/>
        <w:ind w:left="0"/>
        <w:jc w:val="both"/>
        <w:rPr>
          <w:sz w:val="24"/>
          <w:szCs w:val="24"/>
        </w:rPr>
      </w:pPr>
      <w:r w:rsidRPr="00663E22">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7C1BBBFF" w14:textId="77777777" w:rsidR="00663E22" w:rsidRPr="00663E22" w:rsidRDefault="00663E22" w:rsidP="00663E22">
      <w:pPr>
        <w:pStyle w:val="a6"/>
        <w:numPr>
          <w:ilvl w:val="1"/>
          <w:numId w:val="1"/>
        </w:numPr>
        <w:jc w:val="both"/>
        <w:rPr>
          <w:sz w:val="24"/>
          <w:szCs w:val="24"/>
        </w:rPr>
      </w:pPr>
      <w:r w:rsidRPr="00663E22">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4F081C8C" w14:textId="77777777" w:rsidR="00663E22" w:rsidRPr="00663E22" w:rsidRDefault="00663E22" w:rsidP="00663E22">
      <w:pPr>
        <w:pStyle w:val="a6"/>
        <w:numPr>
          <w:ilvl w:val="1"/>
          <w:numId w:val="1"/>
        </w:numPr>
        <w:jc w:val="both"/>
        <w:rPr>
          <w:sz w:val="24"/>
          <w:szCs w:val="24"/>
        </w:rPr>
      </w:pPr>
      <w:r w:rsidRPr="00663E22">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53C0AE4" w14:textId="77777777" w:rsidR="00663E22" w:rsidRPr="00663E22" w:rsidRDefault="00663E22" w:rsidP="00663E22">
      <w:pPr>
        <w:pStyle w:val="a6"/>
        <w:numPr>
          <w:ilvl w:val="1"/>
          <w:numId w:val="1"/>
        </w:numPr>
        <w:jc w:val="both"/>
        <w:rPr>
          <w:sz w:val="24"/>
          <w:szCs w:val="24"/>
        </w:rPr>
      </w:pPr>
      <w:r w:rsidRPr="00663E22">
        <w:rPr>
          <w:sz w:val="24"/>
          <w:szCs w:val="24"/>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14:paraId="41792B3A" w14:textId="6B7A931C" w:rsidR="001E10FB" w:rsidRPr="00534A97" w:rsidRDefault="001E10FB">
      <w:pPr>
        <w:pStyle w:val="a6"/>
        <w:numPr>
          <w:ilvl w:val="1"/>
          <w:numId w:val="1"/>
        </w:numPr>
        <w:jc w:val="both"/>
        <w:rPr>
          <w:sz w:val="24"/>
          <w:szCs w:val="24"/>
        </w:rPr>
      </w:pPr>
      <w:r w:rsidRPr="00534A97">
        <w:rPr>
          <w:sz w:val="24"/>
          <w:szCs w:val="24"/>
        </w:rPr>
        <w:t>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2D4970F" w14:textId="04BC1D14" w:rsidR="0004167C" w:rsidRPr="00342505" w:rsidRDefault="0004167C" w:rsidP="0004167C">
      <w:pPr>
        <w:jc w:val="both"/>
      </w:pPr>
      <w:r w:rsidRPr="00663E22">
        <w:rPr>
          <w:b/>
          <w:bCs/>
        </w:rPr>
        <w:t xml:space="preserve">3.1. </w:t>
      </w:r>
      <w:r w:rsidR="002C5707" w:rsidRPr="00663E22">
        <w:rPr>
          <w:b/>
          <w:bCs/>
        </w:rPr>
        <w:t>Срок выполнения работ</w:t>
      </w:r>
      <w:r w:rsidR="00CF7089" w:rsidRPr="00663E22">
        <w:rPr>
          <w:b/>
          <w:bCs/>
        </w:rPr>
        <w:t>:</w:t>
      </w:r>
      <w:r w:rsidR="002C5707" w:rsidRPr="00663E22">
        <w:t xml:space="preserve"> </w:t>
      </w:r>
      <w:r w:rsidRPr="00663E22">
        <w:rPr>
          <w:rFonts w:eastAsia="Lucida Sans Unicode"/>
          <w:bCs/>
          <w:lang w:eastAsia="ar-SA"/>
        </w:rPr>
        <w:t>с момента заключения Договора до 31 декабря 2026 года, по заявкам Заказчика</w:t>
      </w:r>
    </w:p>
    <w:p w14:paraId="21AC167D" w14:textId="72E8F22D" w:rsidR="00AB6FFD" w:rsidRPr="0004167C" w:rsidRDefault="0004167C" w:rsidP="0004167C">
      <w:pPr>
        <w:pStyle w:val="a6"/>
        <w:ind w:left="0"/>
        <w:jc w:val="both"/>
        <w:rPr>
          <w:b/>
          <w:sz w:val="24"/>
          <w:szCs w:val="24"/>
        </w:rPr>
      </w:pPr>
      <w:r>
        <w:rPr>
          <w:sz w:val="24"/>
          <w:szCs w:val="24"/>
        </w:rPr>
        <w:t>3.2.</w:t>
      </w:r>
      <w:r w:rsidR="00654FF8">
        <w:rPr>
          <w:sz w:val="24"/>
          <w:szCs w:val="24"/>
        </w:rPr>
        <w:t xml:space="preserve"> </w:t>
      </w:r>
      <w:r w:rsidR="00CF7089" w:rsidRPr="0004167C">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04167C">
        <w:rPr>
          <w:sz w:val="24"/>
          <w:szCs w:val="24"/>
        </w:rPr>
        <w:t xml:space="preserve"> графика</w:t>
      </w:r>
      <w:r w:rsidR="00CF7089" w:rsidRPr="0004167C">
        <w:rPr>
          <w:sz w:val="24"/>
          <w:szCs w:val="24"/>
        </w:rPr>
        <w:t xml:space="preserve"> выполнения </w:t>
      </w:r>
      <w:r w:rsidR="00CF7089" w:rsidRPr="0004167C">
        <w:rPr>
          <w:sz w:val="24"/>
          <w:szCs w:val="24"/>
        </w:rPr>
        <w:lastRenderedPageBreak/>
        <w:t>работ.</w:t>
      </w:r>
      <w:r w:rsidR="002A3447" w:rsidRPr="0004167C">
        <w:rPr>
          <w:sz w:val="24"/>
          <w:szCs w:val="24"/>
        </w:rPr>
        <w:t xml:space="preserve"> Подрядчик при производстве работ обязан учитывать законодательство «о тишине»</w:t>
      </w:r>
      <w:r w:rsidR="001C5C96" w:rsidRPr="0004167C">
        <w:rPr>
          <w:sz w:val="24"/>
          <w:szCs w:val="24"/>
        </w:rPr>
        <w:t xml:space="preserve"> (в том числе региональное)</w:t>
      </w:r>
      <w:r w:rsidR="002A3447" w:rsidRPr="0004167C">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lastRenderedPageBreak/>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 xml:space="preserve">По требованию Заказчика Подрядчик обязан предоставлять достоверную информацию о ходе </w:t>
      </w:r>
      <w:r w:rsidRPr="00534A97">
        <w:rPr>
          <w:sz w:val="24"/>
          <w:szCs w:val="24"/>
        </w:rPr>
        <w:lastRenderedPageBreak/>
        <w:t>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6DA73385"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 xml:space="preserve">работы являются выполненные работы </w:t>
      </w:r>
      <w:r w:rsidR="0004167C" w:rsidRPr="00EB0361">
        <w:rPr>
          <w:sz w:val="24"/>
          <w:szCs w:val="24"/>
        </w:rPr>
        <w:t>по ремонту и благоустройству мест захоронения</w:t>
      </w:r>
      <w:r w:rsidR="00EE71F9" w:rsidRPr="00EB0361">
        <w:rPr>
          <w:sz w:val="24"/>
          <w:szCs w:val="24"/>
        </w:rPr>
        <w:t>,</w:t>
      </w:r>
      <w:r w:rsidR="00EE71F9" w:rsidRPr="00EE71F9">
        <w:rPr>
          <w:sz w:val="24"/>
          <w:szCs w:val="24"/>
        </w:rPr>
        <w:t xml:space="preserve"> приведенны</w:t>
      </w:r>
      <w:r w:rsidR="0004167C">
        <w:rPr>
          <w:sz w:val="24"/>
          <w:szCs w:val="24"/>
        </w:rPr>
        <w:t>е</w:t>
      </w:r>
      <w:r w:rsidR="00EE71F9" w:rsidRPr="00EE71F9">
        <w:rPr>
          <w:sz w:val="24"/>
          <w:szCs w:val="24"/>
        </w:rPr>
        <w:t xml:space="preserve"> в нормативно-техническое состояние, отвечающи</w:t>
      </w:r>
      <w:r w:rsidR="0004167C">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52C6972D" w:rsidR="00555855" w:rsidRPr="00663E22"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663E22">
        <w:rPr>
          <w:sz w:val="24"/>
          <w:szCs w:val="24"/>
        </w:rPr>
        <w:t xml:space="preserve">не менее </w:t>
      </w:r>
      <w:r w:rsidR="0004167C" w:rsidRPr="00663E22">
        <w:rPr>
          <w:sz w:val="24"/>
          <w:szCs w:val="24"/>
        </w:rPr>
        <w:t>12</w:t>
      </w:r>
      <w:r w:rsidR="00F908A1" w:rsidRPr="00663E22">
        <w:rPr>
          <w:sz w:val="24"/>
          <w:szCs w:val="24"/>
        </w:rPr>
        <w:t xml:space="preserve"> </w:t>
      </w:r>
      <w:r w:rsidRPr="00663E22">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bookmarkStart w:id="0" w:name="_GoBack"/>
      <w:bookmarkEnd w:id="0"/>
      <w:r w:rsidRPr="00534A97">
        <w:rPr>
          <w:sz w:val="24"/>
          <w:szCs w:val="24"/>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w:t>
      </w:r>
      <w:r w:rsidRPr="00534A97">
        <w:rPr>
          <w:sz w:val="24"/>
          <w:szCs w:val="24"/>
        </w:rPr>
        <w:lastRenderedPageBreak/>
        <w:t>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xml:space="preserve">,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Pr="00534A97">
        <w:rPr>
          <w:sz w:val="24"/>
          <w:szCs w:val="24"/>
        </w:rPr>
        <w:lastRenderedPageBreak/>
        <w:t>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w:t>
      </w:r>
      <w:r w:rsidRPr="00534A97">
        <w:rPr>
          <w:sz w:val="24"/>
          <w:szCs w:val="24"/>
        </w:rPr>
        <w:lastRenderedPageBreak/>
        <w:t>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470C5271" w:rsidR="00A55684" w:rsidRPr="0004167C" w:rsidRDefault="0004167C" w:rsidP="0004167C">
      <w:pPr>
        <w:jc w:val="center"/>
        <w:rPr>
          <w:color w:val="FF0000"/>
        </w:rPr>
      </w:pPr>
      <w:r w:rsidRPr="0004167C">
        <w:rPr>
          <w:color w:val="FF0000"/>
        </w:rPr>
        <w:t>(прилагается отдельным файлом)</w:t>
      </w:r>
    </w:p>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7165554C"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5352E52C" w14:textId="77777777" w:rsidR="0004167C" w:rsidRPr="0004167C" w:rsidRDefault="0004167C" w:rsidP="0004167C">
      <w:pPr>
        <w:jc w:val="center"/>
        <w:rPr>
          <w:color w:val="FF0000"/>
        </w:rPr>
      </w:pPr>
      <w:r w:rsidRPr="0004167C">
        <w:rPr>
          <w:color w:val="FF0000"/>
        </w:rPr>
        <w:t>(прилагается отдельным файлом)</w:t>
      </w:r>
    </w:p>
    <w:p w14:paraId="57863959" w14:textId="77777777" w:rsidR="0004167C" w:rsidRPr="00534A97" w:rsidRDefault="0004167C">
      <w:pPr>
        <w:spacing w:after="200"/>
        <w:jc w:val="center"/>
        <w:rPr>
          <w:rFonts w:eastAsiaTheme="minorEastAsia"/>
          <w:bCs/>
        </w:rPr>
      </w:pPr>
    </w:p>
    <w:sectPr w:rsidR="0004167C"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338D1" w14:textId="77777777" w:rsidR="00584D9E" w:rsidRDefault="00584D9E">
      <w:r>
        <w:separator/>
      </w:r>
    </w:p>
  </w:endnote>
  <w:endnote w:type="continuationSeparator" w:id="0">
    <w:p w14:paraId="56F3D333" w14:textId="77777777" w:rsidR="00584D9E" w:rsidRDefault="0058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DengXia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87316" w14:textId="77777777" w:rsidR="00584D9E" w:rsidRDefault="00584D9E">
      <w:r>
        <w:separator/>
      </w:r>
    </w:p>
  </w:footnote>
  <w:footnote w:type="continuationSeparator" w:id="0">
    <w:p w14:paraId="614BF9C6" w14:textId="77777777" w:rsidR="00584D9E" w:rsidRDefault="00584D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4167C"/>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102"/>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48FA"/>
    <w:rsid w:val="004D733E"/>
    <w:rsid w:val="004E70C4"/>
    <w:rsid w:val="004F4C9E"/>
    <w:rsid w:val="005147C0"/>
    <w:rsid w:val="005254BA"/>
    <w:rsid w:val="00534A97"/>
    <w:rsid w:val="00541282"/>
    <w:rsid w:val="00555855"/>
    <w:rsid w:val="00561C42"/>
    <w:rsid w:val="005636F8"/>
    <w:rsid w:val="00584D9E"/>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54FF8"/>
    <w:rsid w:val="00663E22"/>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C747F"/>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0361"/>
    <w:rsid w:val="00EB234E"/>
    <w:rsid w:val="00EB3B09"/>
    <w:rsid w:val="00EC1428"/>
    <w:rsid w:val="00EC4FB4"/>
    <w:rsid w:val="00EE71F9"/>
    <w:rsid w:val="00EF0CBD"/>
    <w:rsid w:val="00EF2F5A"/>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6F05-D22B-45AA-BF54-83E3D0AD1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Pages>
  <Words>3911</Words>
  <Characters>22297</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DOC-MARKER-fHY8SIEOW24gbWZL0hdXHw</dc:description>
  <cp:lastModifiedBy>МАУ СЦО</cp:lastModifiedBy>
  <cp:revision>248</cp:revision>
  <dcterms:created xsi:type="dcterms:W3CDTF">2023-07-05T06:21:00Z</dcterms:created>
  <dcterms:modified xsi:type="dcterms:W3CDTF">2026-07-06T06:50:00Z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