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contextualSpacing/>
        <w:ind w:left="5670"/>
        <w:jc w:val="right"/>
        <w:spacing w:after="0" w:line="240" w:lineRule="auto"/>
        <w:widowControl w:val="off"/>
        <w:tabs>
          <w:tab w:val="left" w:pos="0" w:leader="none"/>
          <w:tab w:val="left" w:pos="567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529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УТВЕ‌‌⁠‌⁠‍​‍‍‍‌‍​​‌​‍⁠​‍‌﻿‌‍​​‍⁠‌‍‌﻿﻿​⁠‍﻿⁠⁠‌﻿﻿⁠⁠‍‍⁠﻿‌⁠⁠﻿‌﻿​​‍‌​​‍​‍‌​﻿​﻿‌‌⁠​‍‌‌​​﻿‍‍​﻿‍⁠﻿‍‌﻿РЖДАЮ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contextualSpacing/>
        <w:ind w:left="5670"/>
        <w:jc w:val="right"/>
        <w:spacing w:after="0" w:line="240" w:lineRule="auto"/>
        <w:widowControl w:val="off"/>
        <w:tabs>
          <w:tab w:val="left" w:pos="0" w:leader="none"/>
          <w:tab w:val="left" w:pos="567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529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МАУК "ЦКС"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contextualSpacing/>
        <w:ind w:left="5670"/>
        <w:jc w:val="right"/>
        <w:spacing w:after="0" w:line="240" w:lineRule="auto"/>
        <w:widowControl w:val="off"/>
        <w:tabs>
          <w:tab w:val="left" w:pos="0" w:leader="none"/>
          <w:tab w:val="left" w:pos="567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529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Директор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contextualSpacing/>
        <w:ind w:left="5670"/>
        <w:jc w:val="right"/>
        <w:spacing w:after="0" w:line="240" w:lineRule="auto"/>
        <w:widowControl w:val="off"/>
        <w:tabs>
          <w:tab w:val="left" w:pos="0" w:leader="none"/>
          <w:tab w:val="left" w:pos="567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529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Иллеш</w:t>
      </w:r>
      <w:r>
        <w:rPr>
          <w:rFonts w:ascii="Times New Roman" w:hAnsi="Times New Roman" w:eastAsia="Times New Roman" w:cs="Times New Roman"/>
          <w:lang w:eastAsia="ru-RU"/>
        </w:rPr>
        <w:t xml:space="preserve"> Лилия Николаевна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contextualSpacing/>
        <w:ind w:left="5670"/>
        <w:jc w:val="right"/>
        <w:spacing w:after="0" w:line="240" w:lineRule="auto"/>
        <w:widowControl w:val="off"/>
        <w:tabs>
          <w:tab w:val="left" w:pos="0" w:leader="none"/>
          <w:tab w:val="left" w:pos="567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529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24.</w:t>
      </w:r>
      <w:r>
        <w:rPr>
          <w:rFonts w:ascii="Times New Roman" w:hAnsi="Times New Roman" w:eastAsia="Times New Roman" w:cs="Times New Roman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lang w:eastAsia="ru-RU"/>
        </w:rPr>
        <w:t xml:space="preserve">.2026 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45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ИЗВЕ⁠⁠‍‌⁠﻿﻿‍‍‍‌﻿‌‍﻿‍‌‍‍​‌​​‌‌﻿​⁠​​⁠⁠‍​‍⁠‌‌⁠‍﻿‍‌​ЩЕНИЕ</w:t>
      </w:r>
      <w:r>
        <w:rPr>
          <w:rStyle w:val="1012"/>
          <w:rFonts w:ascii="Times New Roman" w:hAnsi="Times New Roman" w:eastAsia="Times New Roman" w:cs="Times New Roman"/>
          <w:lang w:eastAsia="ru-RU"/>
        </w:rPr>
        <w:footnoteReference w:id="2"/>
      </w:r>
      <w:r>
        <w:rPr>
          <w:rFonts w:ascii="Times New Roman" w:hAnsi="Times New Roman" w:eastAsia="Times New Roman" w:cs="Times New Roman"/>
          <w:lang w:eastAsia="ru-RU"/>
        </w:rPr>
        <w:t xml:space="preserve"> О ПРОВЕДЕНИИ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ЗАПРОСА КОТИРОВОК В ЭЛЕКТРОННОЙ ФОРМЕ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Calibri" w:cs="Times New Roman"/>
          <w:b/>
          <w:bCs/>
          <w:color w:val="000000"/>
        </w:rPr>
        <w:t xml:space="preserve">на право заключения договора</w:t>
      </w:r>
      <w:r>
        <w:rPr>
          <w:rFonts w:ascii="Times New Roman" w:hAnsi="Times New Roman" w:eastAsia="Calibri" w:cs="Times New Roman"/>
          <w:b/>
          <w:bCs/>
          <w:color w:val="000000"/>
        </w:rPr>
        <w:t xml:space="preserve"> на</w:t>
      </w:r>
      <w:r>
        <w:rPr>
          <w:rFonts w:ascii="Times New Roman" w:hAnsi="Times New Roman" w:eastAsia="Calibri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оказание услуг по уборке помещений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iCs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iCs/>
          <w:lang w:eastAsia="ru-RU"/>
        </w:rPr>
      </w:r>
    </w:p>
    <w:p>
      <w:pPr>
        <w:ind w:left="28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iCs/>
          <w:lang w:eastAsia="ru-RU"/>
        </w:rPr>
      </w:pPr>
      <w:r>
        <w:rPr>
          <w:rFonts w:ascii="Times New Roman" w:hAnsi="Times New Roman" w:eastAsia="Times New Roman" w:cs="Times New Roman"/>
          <w:b/>
          <w:iCs/>
          <w:lang w:eastAsia="ru-RU"/>
        </w:rPr>
        <w:t xml:space="preserve">ОСНОВНЫЕ ТЕРМИНЫ И ИХ СОКРАЩЕНИЯ, ПРИМЕНЯЕМЫЕ</w:t>
      </w:r>
      <w:r>
        <w:rPr>
          <w:rFonts w:ascii="Times New Roman" w:hAnsi="Times New Roman" w:eastAsia="Times New Roman" w:cs="Times New Roman"/>
          <w:b/>
          <w:iCs/>
          <w:lang w:eastAsia="ru-RU"/>
        </w:rPr>
      </w:r>
    </w:p>
    <w:p>
      <w:pPr>
        <w:contextualSpacing/>
        <w:ind w:left="28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iCs/>
          <w:lang w:eastAsia="ru-RU"/>
        </w:rPr>
      </w:pPr>
      <w:r>
        <w:rPr>
          <w:rFonts w:ascii="Times New Roman" w:hAnsi="Times New Roman" w:eastAsia="Times New Roman" w:cs="Times New Roman"/>
          <w:b/>
          <w:iCs/>
          <w:lang w:eastAsia="ru-RU"/>
        </w:rPr>
        <w:t xml:space="preserve">В ИЗВЕЩЕНИИ О ПРОВЕДЕНИИ ЗАПРОСА КОТИРОВОК В ЭЛЕКТРОННОЙ ФОРМЕ.</w:t>
      </w:r>
      <w:r>
        <w:rPr>
          <w:rFonts w:ascii="Times New Roman" w:hAnsi="Times New Roman" w:eastAsia="Times New Roman" w:cs="Times New Roman"/>
          <w:b/>
          <w:iCs/>
          <w:lang w:eastAsia="ru-RU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iCs/>
          <w:lang w:eastAsia="ru-RU"/>
        </w:rPr>
      </w:pPr>
      <w:r>
        <w:rPr>
          <w:rFonts w:ascii="Times New Roman" w:hAnsi="Times New Roman" w:eastAsia="Times New Roman" w:cs="Times New Roman"/>
          <w:b/>
          <w:iCs/>
          <w:lang w:eastAsia="ru-RU"/>
        </w:rPr>
      </w:r>
      <w:r>
        <w:rPr>
          <w:rFonts w:ascii="Times New Roman" w:hAnsi="Times New Roman" w:eastAsia="Times New Roman" w:cs="Times New Roman"/>
          <w:b/>
          <w:iCs/>
          <w:lang w:eastAsia="ru-RU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Федеральный закон от 18 июля 2011 г. № 223-ФЗ «О закупках товаров, работ, услуг отдельными видами юридических лиц» (далее - Закон № 223-ФЗ)</w:t>
      </w:r>
      <w:r>
        <w:rPr>
          <w:rFonts w:ascii="Times New Roman" w:hAnsi="Times New Roman" w:eastAsia="Times New Roman" w:cs="Times New Roman"/>
          <w:iCs/>
          <w:lang w:eastAsia="ru-RU"/>
        </w:rPr>
        <w:t xml:space="preserve">. Все термины и понятия, используемые в настоящем из</w:t>
      </w:r>
      <w:r>
        <w:rPr>
          <w:rFonts w:ascii="Times New Roman" w:hAnsi="Times New Roman" w:eastAsia="Times New Roman" w:cs="Times New Roman"/>
          <w:iCs/>
          <w:lang w:eastAsia="ru-RU"/>
        </w:rPr>
        <w:t xml:space="preserve">вещении о проведении запроса котировок в электронной форме (далее – запрос котировок, запрос котировок в электронной форме, закупка),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iCs/>
          <w:lang w:eastAsia="ru-RU"/>
        </w:rPr>
        <w:t xml:space="preserve">(далее – извещение, документация), трактуются в соответствии с Законом № 223-ФЗ.</w:t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  <w:t xml:space="preserve">Запрос котировок – форма торгов, при которой победителем запроса котировок признается участник закупки, заявка которого соответствует требованиям, установленным извещением о п</w:t>
      </w:r>
      <w:r>
        <w:rPr>
          <w:rFonts w:ascii="Times New Roman" w:hAnsi="Times New Roman" w:eastAsia="Times New Roman" w:cs="Times New Roman"/>
          <w:iCs/>
          <w:lang w:eastAsia="ru-RU"/>
        </w:rPr>
        <w:t xml:space="preserve">роведении запроса котировок, и содержит наиболее низкую цену договора.</w:t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iCs/>
          <w:lang w:eastAsia="ru-RU"/>
        </w:rPr>
        <w:t xml:space="preserve">Положение о закупках товаров, работ, услуг Заказчика (далее по тексту – Положение), утвержденное в рамках Федерального закона от 18 </w:t>
      </w:r>
      <w:r>
        <w:rPr>
          <w:rFonts w:ascii="Times New Roman" w:hAnsi="Times New Roman" w:eastAsia="Times New Roman" w:cs="Times New Roman"/>
          <w:lang w:eastAsia="ru-RU"/>
        </w:rPr>
        <w:t xml:space="preserve">июля </w:t>
      </w:r>
      <w:r>
        <w:rPr>
          <w:rFonts w:ascii="Times New Roman" w:hAnsi="Times New Roman" w:eastAsia="Times New Roman" w:cs="Times New Roman"/>
          <w:iCs/>
          <w:lang w:eastAsia="ru-RU"/>
        </w:rPr>
        <w:t xml:space="preserve">2011 г. №223-ФЗ «О закупках товаров, работ, услу</w:t>
      </w:r>
      <w:r>
        <w:rPr>
          <w:rFonts w:ascii="Times New Roman" w:hAnsi="Times New Roman" w:eastAsia="Times New Roman" w:cs="Times New Roman"/>
          <w:iCs/>
          <w:lang w:eastAsia="ru-RU"/>
        </w:rPr>
        <w:t xml:space="preserve">г отдельными видами юридических лиц» регламентирует закупочную деятельность Заказчика.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  <w:t xml:space="preserve">Все Приложения к извещению являются ее неотъемлемой частью настоящего извещения.</w:t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contextualSpacing/>
        <w:ind w:left="284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iCs/>
          <w:lang w:eastAsia="ru-RU"/>
        </w:rPr>
      </w:pPr>
      <w:r>
        <w:rPr>
          <w:rFonts w:ascii="Times New Roman" w:hAnsi="Times New Roman" w:eastAsia="Times New Roman" w:cs="Times New Roman"/>
          <w:b/>
          <w:iCs/>
          <w:lang w:eastAsia="ru-RU"/>
        </w:rPr>
        <w:t xml:space="preserve">СВЕДЕНИЯ ОБ ОРГАНИЗАТОРЕ ЗАКУПКИ (ЗАКАЗЧИКЕ)</w:t>
      </w:r>
      <w:r>
        <w:rPr>
          <w:rFonts w:ascii="Times New Roman" w:hAnsi="Times New Roman" w:eastAsia="Times New Roman" w:cs="Times New Roman"/>
          <w:b/>
          <w:iCs/>
          <w:lang w:eastAsia="ru-RU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tbl>
      <w:tblPr>
        <w:tblStyle w:val="948"/>
        <w:tblW w:w="0" w:type="auto"/>
        <w:tblLook w:val="04A0" w:firstRow="1" w:lastRow="0" w:firstColumn="1" w:lastColumn="0" w:noHBand="0" w:noVBand="1"/>
      </w:tblPr>
      <w:tblGrid>
        <w:gridCol w:w="4280"/>
        <w:gridCol w:w="5575"/>
      </w:tblGrid>
      <w:tr>
        <w:tblPrEx/>
        <w:trPr/>
        <w:tc>
          <w:tcPr>
            <w:shd w:val="clear" w:color="auto" w:fill="d9e2f3" w:themeFill="accent1" w:themeFillTint="33"/>
            <w:tcW w:w="4280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Наименование Заказчика: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5575" w:type="dxa"/>
            <w:vMerge w:val="restart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МУНИЦИПАЛЬНОЕ АВ</w:t>
            </w:r>
            <w:r>
              <w:rPr>
                <w:rFonts w:ascii="Times New Roman" w:hAnsi="Times New Roman" w:eastAsia="Times New Roman"/>
                <w:iCs/>
              </w:rPr>
              <w:t xml:space="preserve">ТОНОМНОЕ УЧРЕЖДЕНИЕ КУЛЬТУРЫ "ЦЕНТРАЛИЗОВАННАЯ КЛУБНАЯ СИСТЕМА" 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629305, Ямало-Ненецкий автономный округ, город Новый Уренгой, Ленинградский </w:t>
            </w:r>
            <w:r>
              <w:rPr>
                <w:rFonts w:ascii="Times New Roman" w:hAnsi="Times New Roman" w:eastAsia="Times New Roman"/>
                <w:iCs/>
              </w:rPr>
              <w:t xml:space="preserve">пр-кт</w:t>
            </w:r>
            <w:r>
              <w:rPr>
                <w:rFonts w:ascii="Times New Roman" w:hAnsi="Times New Roman" w:eastAsia="Times New Roman"/>
                <w:iCs/>
              </w:rPr>
              <w:t xml:space="preserve">, д.9 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ФИО: О.Е. Кислова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Телефон: (922)285-83-92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Почта: nurgdk@mail.ru</w:t>
            </w:r>
            <w:r>
              <w:rPr>
                <w:rFonts w:ascii="Times New Roman" w:hAnsi="Times New Roman" w:eastAsia="Times New Roman"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4280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Сокращенное наименование Заказчика: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5575" w:type="dxa"/>
            <w:vMerge w:val="continue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bCs/>
                <w:highlight w:val="yellow"/>
              </w:rPr>
            </w:pPr>
            <w:r>
              <w:rPr>
                <w:rFonts w:ascii="Times New Roman" w:hAnsi="Times New Roman" w:eastAsia="Times New Roman"/>
                <w:bCs/>
                <w:highlight w:val="yellow"/>
              </w:rPr>
            </w:r>
            <w:r>
              <w:rPr>
                <w:rFonts w:ascii="Times New Roman" w:hAnsi="Times New Roman" w:eastAsia="Times New Roman"/>
                <w:b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4280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Место нахождения Заказчика: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5575" w:type="dxa"/>
            <w:vMerge w:val="continue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  <w:highlight w:val="yellow"/>
              </w:rPr>
            </w:r>
            <w:r>
              <w:rPr>
                <w:rFonts w:ascii="Times New Roman" w:hAnsi="Times New Roman" w:eastAsia="Times New Roman"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4280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Почтовый </w:t>
            </w:r>
            <w:r>
              <w:rPr>
                <w:rFonts w:ascii="Times New Roman" w:hAnsi="Times New Roman" w:eastAsia="Times New Roman"/>
                <w:b/>
                <w:bCs/>
              </w:rPr>
              <w:t xml:space="preserve">адрес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 Заказчика</w:t>
            </w:r>
            <w:r>
              <w:rPr>
                <w:rFonts w:ascii="Times New Roman" w:hAnsi="Times New Roman" w:eastAsia="Times New Roman"/>
                <w:b/>
                <w:bCs/>
              </w:rPr>
              <w:t xml:space="preserve">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5575" w:type="dxa"/>
            <w:vMerge w:val="continue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  <w:highlight w:val="yellow"/>
              </w:rPr>
            </w:r>
            <w:r>
              <w:rPr>
                <w:rFonts w:ascii="Times New Roman" w:hAnsi="Times New Roman" w:eastAsia="Times New Roman"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4280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Адрес электронной почты Заказчика: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5575" w:type="dxa"/>
            <w:vMerge w:val="continue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  <w:highlight w:val="yellow"/>
              </w:rPr>
            </w:r>
            <w:r>
              <w:rPr>
                <w:rFonts w:ascii="Times New Roman" w:hAnsi="Times New Roman" w:eastAsia="Times New Roman"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4280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Контактный телефон Заказчика: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5575" w:type="dxa"/>
            <w:vMerge w:val="continue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  <w:highlight w:val="yellow"/>
              </w:rPr>
            </w:r>
            <w:r>
              <w:rPr>
                <w:rFonts w:ascii="Times New Roman" w:hAnsi="Times New Roman" w:eastAsia="Times New Roman"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4280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Контактное лицо Заказчика по процедуре: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5575" w:type="dxa"/>
            <w:vMerge w:val="continue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 w:eastAsia="Times New Roman"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  <w:highlight w:val="yellow"/>
              </w:rPr>
            </w:r>
            <w:r>
              <w:rPr>
                <w:rFonts w:ascii="Times New Roman" w:hAnsi="Times New Roman" w:eastAsia="Times New Roman"/>
                <w:iCs/>
                <w:highlight w:val="yellow"/>
              </w:rPr>
            </w:r>
          </w:p>
        </w:tc>
      </w:tr>
    </w:tbl>
    <w:p>
      <w:pPr>
        <w:contextualSpacing/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ind w:firstLine="567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iCs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lang w:eastAsia="ru-RU"/>
        </w:rPr>
        <w:t xml:space="preserve">УСЛОВИЯ ПРОВЕДЕНИЯ ЗАКУПКИ</w:t>
      </w:r>
      <w:r>
        <w:rPr>
          <w:rFonts w:ascii="Times New Roman" w:hAnsi="Times New Roman" w:eastAsia="Times New Roman" w:cs="Times New Roman"/>
          <w:b/>
          <w:bCs/>
          <w:iCs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tbl>
      <w:tblPr>
        <w:tblStyle w:val="948"/>
        <w:tblW w:w="5000" w:type="pct"/>
        <w:tblLook w:val="04A0" w:firstRow="1" w:lastRow="0" w:firstColumn="1" w:lastColumn="0" w:noHBand="0" w:noVBand="1"/>
      </w:tblPr>
      <w:tblGrid>
        <w:gridCol w:w="3985"/>
        <w:gridCol w:w="5870"/>
      </w:tblGrid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Способ осуществления закупки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/>
              </w:rPr>
              <w:t xml:space="preserve">Запрос котировок в электронной форме</w:t>
            </w:r>
            <w:r>
              <w:rPr>
                <w:rFonts w:ascii="Times New Roman" w:hAnsi="Times New Roman" w:eastAsia="Times New Roman"/>
                <w:iCs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Официальный сайт, на котором размещена документация (извещение) о закупке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Срок, место 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и порядок предоставления извещения о закупке, размер, порядок и сроки внесения платы, взимаемой Заказчиком за предоставление извещения, если такая плата установлена Заказчиком, за исключением случаев предоставления извещения в форме электронного документа: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/>
            <w:bookmarkStart w:id="0" w:name="OLE_LINK5"/>
            <w:r/>
            <w:bookmarkStart w:id="1" w:name="OLE_LINK6"/>
            <w:r>
              <w:rPr>
                <w:rFonts w:ascii="Times New Roman" w:hAnsi="Times New Roman" w:eastAsia="Times New Roman"/>
                <w:iCs/>
              </w:rPr>
              <w:t xml:space="preserve">Извещение </w:t>
            </w:r>
            <w:bookmarkEnd w:id="0"/>
            <w:r/>
            <w:bookmarkEnd w:id="1"/>
            <w:r>
              <w:rPr>
                <w:rFonts w:ascii="Times New Roman" w:hAnsi="Times New Roman" w:eastAsia="Times New Roman"/>
                <w:iCs/>
              </w:rPr>
              <w:t xml:space="preserve">доступна для ознакомления со дня размещения извещения о закупке на официальном сайте </w:t>
            </w:r>
            <w:hyperlink r:id="rId11" w:tooltip="http://zakupki.gov.ru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http://zakupki.gov.ru</w:t>
              </w:r>
            </w:hyperlink>
            <w:r>
              <w:rPr>
                <w:rFonts w:ascii="Times New Roman" w:hAnsi="Times New Roman" w:eastAsia="Times New Roman"/>
                <w:iCs/>
              </w:rPr>
              <w:t xml:space="preserve">  и на электронной торговой площадке </w:t>
            </w:r>
            <w:hyperlink r:id="rId12" w:tooltip="https://etp-region.ru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https://etp-region.ru</w:t>
              </w:r>
            </w:hyperlink>
            <w:r>
              <w:rPr>
                <w:rFonts w:ascii="Times New Roman" w:hAnsi="Times New Roman" w:eastAsia="Times New Roman"/>
                <w:iCs/>
              </w:rPr>
              <w:t xml:space="preserve"> .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Язык документации: русский.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Предоставление извещения о закупке осуществляется с момента ее опубликования и до окончания срока подачи заявок на участие в закупке путем са</w:t>
            </w:r>
            <w:r>
              <w:rPr>
                <w:rFonts w:ascii="Times New Roman" w:hAnsi="Times New Roman" w:eastAsia="Times New Roman"/>
                <w:iCs/>
              </w:rPr>
              <w:t xml:space="preserve">мостоятельного скачивания с сайта Единой информационной системы (с официального сайта </w:t>
            </w:r>
            <w:hyperlink r:id="rId13" w:tooltip="http://www.zakupki.gov.ru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www.zakupki.gov.ru</w:t>
              </w:r>
            </w:hyperlink>
            <w:r>
              <w:rPr>
                <w:rFonts w:ascii="Times New Roman" w:hAnsi="Times New Roman" w:eastAsia="Times New Roman"/>
                <w:iCs/>
              </w:rPr>
              <w:t xml:space="preserve"> ) или с сайта оператора ЭТП (</w:t>
            </w:r>
            <w:hyperlink r:id="rId14" w:tooltip="https://etp-region.ru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https://etp-region.ru</w:t>
              </w:r>
            </w:hyperlink>
            <w:r>
              <w:rPr>
                <w:rFonts w:ascii="Times New Roman" w:hAnsi="Times New Roman" w:eastAsia="Times New Roman"/>
                <w:iCs/>
              </w:rPr>
              <w:t xml:space="preserve"> ). Плата за предоставление извещения о закупке не установлена. Предоставление извещения на бумажном носителе не предусмотрено.</w:t>
            </w:r>
            <w:r>
              <w:rPr>
                <w:rFonts w:ascii="Times New Roman" w:hAnsi="Times New Roman" w:eastAsia="Times New Roman"/>
                <w:iCs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Наименование оператора электронной площадки.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Адрес электронной площадки в сети Интернет: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О</w:t>
            </w:r>
            <w:r>
              <w:rPr>
                <w:rFonts w:ascii="Times New Roman" w:hAnsi="Times New Roman" w:eastAsia="Times New Roman"/>
                <w:iCs/>
              </w:rPr>
              <w:t xml:space="preserve">ператором электронной торговой площадки является ООО «РЕГИОН», адрес электронной торговой площадки в сети «Интернет»: </w:t>
            </w:r>
            <w:hyperlink r:id="rId15" w:tooltip="https://etp-region.ru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https://etp-region.ru</w:t>
              </w:r>
            </w:hyperlink>
            <w:r>
              <w:rPr>
                <w:rFonts w:ascii="Times New Roman" w:hAnsi="Times New Roman" w:eastAsia="Times New Roman"/>
                <w:iCs/>
              </w:rPr>
              <w:t xml:space="preserve"> .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Подача заявок в форме электронного документа для </w:t>
            </w:r>
            <w:r>
              <w:rPr>
                <w:rFonts w:ascii="Times New Roman" w:hAnsi="Times New Roman" w:eastAsia="Times New Roman"/>
                <w:iCs/>
              </w:rPr>
              <w:t xml:space="preserve">участия в закупке осуществляется участником процедуры закупки через оператора электронной торговой площадки в порядке, предусмотренном регламентом функционирования данной электронной торговой площадки.</w:t>
            </w:r>
            <w:r>
              <w:rPr>
                <w:rFonts w:ascii="Times New Roman" w:hAnsi="Times New Roman" w:eastAsia="Times New Roman"/>
                <w:iCs/>
              </w:rPr>
            </w:r>
          </w:p>
        </w:tc>
      </w:tr>
      <w:tr>
        <w:tblPrEx/>
        <w:trPr>
          <w:trHeight w:val="1012"/>
        </w:trPr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Дата и время начала приема заявок на участие в закупк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е: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Style w:val="949"/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С момента размещения информации о закупке на официальном сайте единой информационной системы в сфере закупок (далее – ЕИС) </w:t>
            </w:r>
            <w:hyperlink r:id="rId16" w:tooltip="https://zakupki.gov.ru/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https://zakupki.gov.ru/</w:t>
              </w:r>
            </w:hyperlink>
            <w:r>
              <w:rPr>
                <w:rFonts w:ascii="Times New Roman" w:hAnsi="Times New Roman" w:eastAsia="Times New Roman"/>
                <w:iCs/>
              </w:rPr>
              <w:t xml:space="preserve"> и на сайте электронной торговой площа</w:t>
            </w:r>
            <w:r>
              <w:rPr>
                <w:rFonts w:ascii="Times New Roman" w:hAnsi="Times New Roman" w:eastAsia="Times New Roman"/>
                <w:iCs/>
              </w:rPr>
              <w:t xml:space="preserve">дке Регион </w:t>
            </w:r>
            <w:hyperlink r:id="rId17" w:tooltip="https://torgi.etp-region.ru/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https://torgi.etp-region.ru/</w:t>
              </w:r>
            </w:hyperlink>
            <w:r/>
            <w:r>
              <w:rPr>
                <w:rStyle w:val="949"/>
                <w:rFonts w:ascii="Times New Roman" w:hAnsi="Times New Roman" w:eastAsia="Times New Roman"/>
                <w:iCs/>
              </w:rPr>
            </w:r>
          </w:p>
          <w:p>
            <w:pPr>
              <w:jc w:val="both"/>
              <w:widowControl w:val="off"/>
              <w:rPr>
                <w:rStyle w:val="949"/>
                <w:rFonts w:ascii="Times New Roman" w:hAnsi="Times New Roman" w:eastAsia="Times New Roman"/>
                <w:iCs/>
              </w:rPr>
            </w:pPr>
            <w:r>
              <w:rPr>
                <w:rStyle w:val="949"/>
                <w:rFonts w:ascii="Times New Roman" w:hAnsi="Times New Roman" w:eastAsia="Times New Roman"/>
                <w:iCs/>
              </w:rPr>
              <w:t xml:space="preserve">27.07.2026г.</w:t>
            </w:r>
            <w:r>
              <w:rPr>
                <w:rStyle w:val="949"/>
                <w:rFonts w:ascii="Times New Roman" w:hAnsi="Times New Roman" w:eastAsia="Times New Roman"/>
                <w:iCs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Место рассмотрения заявок на участие в закупке, подведения итогов: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Style w:val="1114"/>
              </w:rPr>
              <w:t xml:space="preserve">По месту нахождения Заказчика</w:t>
            </w:r>
            <w:r>
              <w:rPr>
                <w:rFonts w:ascii="Times New Roman" w:hAnsi="Times New Roman" w:eastAsia="Times New Roman"/>
                <w:iCs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Дата и время окончания срока подачи заявок на участие в закупке: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04.08.2026г. 10:00 (местное время Заказчика)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Дата рассмотрения заявок на участие в закупке и подведения итогов: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04.08.2026г.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Начало срока предоставления участникам закупки разъяснений положений извещения о закупке: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С момента размещения информации о закупке на официальном сайте единой информационной системы в сфере закупок (далее</w:t>
            </w:r>
            <w:r>
              <w:rPr>
                <w:rFonts w:ascii="Times New Roman" w:hAnsi="Times New Roman" w:eastAsia="Times New Roman"/>
                <w:iCs/>
              </w:rPr>
              <w:t xml:space="preserve"> – ЕИС) </w:t>
            </w:r>
            <w:hyperlink r:id="rId18" w:tooltip="https://zakupki.gov.ru/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https://zakupki.gov.ru/</w:t>
              </w:r>
            </w:hyperlink>
            <w:r>
              <w:rPr>
                <w:rFonts w:ascii="Times New Roman" w:hAnsi="Times New Roman" w:eastAsia="Times New Roman"/>
                <w:iCs/>
              </w:rPr>
              <w:t xml:space="preserve"> и на сайте электронной торговой площадке Регион </w:t>
            </w:r>
            <w:hyperlink r:id="rId19" w:tooltip="https://torgi.etp-region.ru/" w:history="1">
              <w:r>
                <w:rPr>
                  <w:rStyle w:val="949"/>
                  <w:rFonts w:ascii="Times New Roman" w:hAnsi="Times New Roman" w:eastAsia="Times New Roman"/>
                  <w:iCs/>
                </w:rPr>
                <w:t xml:space="preserve">https://torgi.etp-region.ru/</w:t>
              </w:r>
            </w:hyperlink>
            <w:r/>
            <w:r>
              <w:rPr>
                <w:rFonts w:ascii="Times New Roman" w:hAnsi="Times New Roman" w:eastAsia="Times New Roman"/>
                <w:iCs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Окончание срока предоставления участникам закупки разъяснений положений извещения о закупке: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04.08.2026г. </w:t>
            </w: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08</w:t>
            </w: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:00</w:t>
            </w: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 (местное время Заказчика)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Размер обеспечения заявки на участие в закупке: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Cs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Не установлено</w:t>
            </w:r>
            <w:r>
              <w:rPr>
                <w:rFonts w:ascii="Times New Roman" w:hAnsi="Times New Roman" w:eastAsia="Times New Roman"/>
                <w:bCs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Требования к обеспечению заявки на участие в з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акупке: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В соответствии с пунктом 15 извещения о закупке</w:t>
            </w:r>
            <w:r>
              <w:rPr>
                <w:rFonts w:ascii="Times New Roman" w:hAnsi="Times New Roman" w:eastAsia="Times New Roman"/>
                <w:b/>
                <w:bCs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Размер обеспечения исполнения договора: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Cs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Не установлено</w:t>
            </w:r>
            <w:r>
              <w:rPr>
                <w:rFonts w:ascii="Times New Roman" w:hAnsi="Times New Roman" w:eastAsia="Times New Roman"/>
                <w:bCs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Требования к обеспечению исполнения договора: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В соответствии с пунктом 16 извещения о закупке</w:t>
            </w:r>
            <w:r>
              <w:rPr>
                <w:rFonts w:ascii="Times New Roman" w:hAnsi="Times New Roman" w:eastAsia="Times New Roman"/>
                <w:b/>
                <w:bCs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Размер обеспечения гарантийных обязательств: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Cs/>
                <w:iCs/>
                <w:highlight w:val="yellow"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Не установлено</w:t>
            </w:r>
            <w:r>
              <w:rPr>
                <w:rFonts w:ascii="Times New Roman" w:hAnsi="Times New Roman" w:eastAsia="Times New Roman"/>
                <w:bCs/>
                <w:iCs/>
                <w:highlight w:val="yellow"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Требования к обеспечению гарантийных обязательств: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В соответствии с пунктом 17 извещения о закупке</w:t>
            </w:r>
            <w:r>
              <w:rPr>
                <w:rFonts w:ascii="Times New Roman" w:hAnsi="Times New Roman" w:eastAsia="Times New Roman"/>
                <w:iCs/>
              </w:rPr>
            </w:r>
          </w:p>
        </w:tc>
      </w:tr>
      <w:tr>
        <w:tblPrEx/>
        <w:trPr/>
        <w:tc>
          <w:tcPr>
            <w:shd w:val="clear" w:color="auto" w:fill="d9e2f3" w:themeFill="accent1" w:themeFillTint="33"/>
            <w:tcW w:w="2022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/>
                <w:b/>
                <w:bCs/>
                <w:iCs/>
              </w:rPr>
            </w:pPr>
            <w:r>
              <w:rPr>
                <w:rFonts w:ascii="Times New Roman" w:hAnsi="Times New Roman" w:eastAsia="Times New Roman"/>
                <w:b/>
                <w:bCs/>
                <w:iCs/>
              </w:rPr>
              <w:t xml:space="preserve">Инструкция по заполнению заявки Участником закупки:</w:t>
            </w:r>
            <w:r>
              <w:rPr>
                <w:rFonts w:ascii="Times New Roman" w:hAnsi="Times New Roman" w:eastAsia="Times New Roman"/>
                <w:b/>
                <w:bCs/>
                <w:iCs/>
              </w:rPr>
            </w:r>
          </w:p>
        </w:tc>
        <w:tc>
          <w:tcPr>
            <w:tcW w:w="2978" w:type="pct"/>
            <w:textDirection w:val="lrTb"/>
            <w:noWrap w:val="false"/>
          </w:tcPr>
          <w:p>
            <w:pPr>
              <w:ind w:firstLine="436"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Направляя заявку на участие в закупке, Учас</w:t>
            </w:r>
            <w:r>
              <w:rPr>
                <w:rFonts w:ascii="Times New Roman" w:hAnsi="Times New Roman" w:eastAsia="Times New Roman"/>
                <w:iCs/>
              </w:rPr>
              <w:t xml:space="preserve">тник закупки конклюдентно соглашается с исполнением всех условий исполнения договора, предусмотренных документацией (извещением) о закупке (в том числе Техническим заданием, Проектом договора).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ind w:firstLine="436"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Заявка на участие в закупке в должна содержать конкретные пока</w:t>
            </w:r>
            <w:r>
              <w:rPr>
                <w:rFonts w:ascii="Times New Roman" w:hAnsi="Times New Roman" w:eastAsia="Times New Roman"/>
                <w:iCs/>
              </w:rPr>
              <w:t xml:space="preserve">затели товара, соответствующие значениям, установленным настоящей документацией о закупке, и указание на товарный знак (его словесное обозначение) (при наличии), знак обслуживания </w:t>
            </w:r>
            <w:r>
              <w:rPr>
                <w:rFonts w:ascii="Times New Roman" w:hAnsi="Times New Roman" w:eastAsia="Times New Roman"/>
                <w:iCs/>
              </w:rPr>
              <w:t xml:space="preserve">(при наличии), фирменное наименование (при наличии), патенты (при наличии), </w:t>
            </w:r>
            <w:r>
              <w:rPr>
                <w:rFonts w:ascii="Times New Roman" w:hAnsi="Times New Roman" w:eastAsia="Times New Roman"/>
                <w:iCs/>
              </w:rPr>
              <w:t xml:space="preserve">полезные модели (при наличии), промышленные образцы (при наличии), наименование страны происхождения товара. Представление требуемых сведений о товаре Участнику закупки рекомендуется осуществлять в соответствии с показателями, позволяющими определить соотв</w:t>
            </w:r>
            <w:r>
              <w:rPr>
                <w:rFonts w:ascii="Times New Roman" w:hAnsi="Times New Roman" w:eastAsia="Times New Roman"/>
                <w:iCs/>
              </w:rPr>
              <w:t xml:space="preserve">етствие товара, установленным Заказчиком требованиям, указанным в Техническом задании.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ind w:firstLine="436"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Предоставляемые участником закупки в электронной форме сведения не должны сопровождаться словами «эквивалент», «аналог», «должен быть», «должна быть», «должны быть», «до</w:t>
            </w:r>
            <w:r>
              <w:rPr>
                <w:rFonts w:ascii="Times New Roman" w:hAnsi="Times New Roman" w:eastAsia="Times New Roman"/>
                <w:iCs/>
              </w:rPr>
              <w:t xml:space="preserve">лжен», «не должен», «должна», «не должна», «должны», «не должны», «не должен быть», «не должна быть», «не должны быть». Значения показателей не должны допускать разночтения или двусмысленное толкование и содержать слова или сопровождаться словами «не более</w:t>
            </w:r>
            <w:r>
              <w:rPr>
                <w:rFonts w:ascii="Times New Roman" w:hAnsi="Times New Roman" w:eastAsia="Times New Roman"/>
                <w:iCs/>
              </w:rPr>
              <w:t xml:space="preserve">», «не менее», «более», «менее», «или», «диапазон должен быть не более от…- до…», «до», «от», «диапазон должен быть не менее от…-до…», то есть должны быть конкретными.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ind w:firstLine="436"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Допускается указания значений показателей технических характеристик не конкретными, в сл</w:t>
            </w:r>
            <w:r>
              <w:rPr>
                <w:rFonts w:ascii="Times New Roman" w:hAnsi="Times New Roman" w:eastAsia="Times New Roman"/>
                <w:iCs/>
              </w:rPr>
              <w:t xml:space="preserve">учае если такие показатели установлены ГОСТами, ОСТами или иными действующими нормативными документами.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ind w:firstLine="436"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При подаче сведений участниками закупки в электронной форме должны применяться обозначения (единицы измерения, наименования показателей, технических, фу</w:t>
            </w:r>
            <w:r>
              <w:rPr>
                <w:rFonts w:ascii="Times New Roman" w:hAnsi="Times New Roman" w:eastAsia="Times New Roman"/>
                <w:iCs/>
              </w:rPr>
              <w:t xml:space="preserve">нкциональных параметров) в соответствии с обозначениями, установленными в Описании предмета закупки (Техническом задании). 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ind w:firstLine="436"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При оформлении заявки Участникам следует использовать общепринятые обозначения и наименования в соответствии с требованиями действую</w:t>
            </w:r>
            <w:r>
              <w:rPr>
                <w:rFonts w:ascii="Times New Roman" w:hAnsi="Times New Roman" w:eastAsia="Times New Roman"/>
                <w:iCs/>
              </w:rPr>
              <w:t xml:space="preserve">щих нормативных документов.</w:t>
            </w:r>
            <w:r>
              <w:rPr>
                <w:rFonts w:ascii="Times New Roman" w:hAnsi="Times New Roman" w:eastAsia="Times New Roman"/>
                <w:iCs/>
              </w:rPr>
            </w:r>
          </w:p>
          <w:p>
            <w:pPr>
              <w:ind w:firstLine="436"/>
              <w:jc w:val="both"/>
              <w:widowControl w:val="off"/>
              <w:rPr>
                <w:rFonts w:ascii="Times New Roman" w:hAnsi="Times New Roman" w:eastAsia="Times New Roman"/>
                <w:iCs/>
              </w:rPr>
            </w:pPr>
            <w:r>
              <w:rPr>
                <w:rFonts w:ascii="Times New Roman" w:hAnsi="Times New Roman" w:eastAsia="Times New Roman"/>
                <w:iCs/>
              </w:rPr>
              <w:t xml:space="preserve">В описании условий и предложений Участник закупки не должен допускать двусмысленных толкований, разночтений.</w:t>
            </w:r>
            <w:r>
              <w:rPr>
                <w:rFonts w:ascii="Times New Roman" w:hAnsi="Times New Roman" w:eastAsia="Times New Roman"/>
                <w:iCs/>
              </w:rPr>
            </w:r>
          </w:p>
        </w:tc>
      </w:tr>
    </w:tbl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iCs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iCs/>
          <w:lang w:eastAsia="ru-RU"/>
        </w:rPr>
        <w:t xml:space="preserve">ПРЕДОСТАВЛЕНИЕ НАЦИОНАЛЬНОГО РЕЖИМА ПРИ ОСУЩЕСТВЛЕНИИ ЗАКУПОК</w:t>
      </w:r>
      <w:r>
        <w:rPr>
          <w:rFonts w:ascii="Times New Roman" w:hAnsi="Times New Roman" w:eastAsia="Times New Roman" w:cs="Times New Roman"/>
          <w:b/>
          <w:bCs/>
          <w:iCs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96"/>
        <w:gridCol w:w="6459"/>
      </w:tblGrid>
      <w:tr>
        <w:tblPrEx/>
        <w:trPr/>
        <w:tc>
          <w:tcPr>
            <w:gridSpan w:val="2"/>
            <w:shd w:val="clear" w:color="auto" w:fill="d9e2f3" w:themeFill="accent1" w:themeFillTint="33"/>
            <w:tcW w:w="5000" w:type="pct"/>
            <w:vAlign w:val="center"/>
            <w:textDirection w:val="lrTb"/>
            <w:noWrap w:val="false"/>
          </w:tcPr>
          <w:p>
            <w:pPr>
              <w:ind w:firstLine="396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работой, услугой, соответственно выполняемой, оказываемой российским лицом: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1723" w:type="pct"/>
            <w:vAlign w:val="center"/>
            <w:textDirection w:val="lrTb"/>
            <w:noWrap w:val="false"/>
          </w:tcPr>
          <w:p>
            <w:pPr>
              <w:ind w:firstLine="396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ЗАПРЕТ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277" w:type="pct"/>
            <w:vAlign w:val="center"/>
            <w:textDirection w:val="lrTb"/>
            <w:noWrap w:val="false"/>
          </w:tcPr>
          <w:p>
            <w:pPr>
              <w:pStyle w:val="1112"/>
              <w:spacing w:after="0"/>
              <w:widowControl w:val="off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 УСТАНОВЛЕНО 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723" w:type="pct"/>
            <w:vAlign w:val="center"/>
            <w:textDirection w:val="lrTb"/>
            <w:noWrap w:val="false"/>
          </w:tcPr>
          <w:p>
            <w:pPr>
              <w:ind w:firstLine="396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ОГРАНИЧЕНИЕ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закупок товаров (в том числе поставляемых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277" w:type="pct"/>
            <w:textDirection w:val="lrTb"/>
            <w:noWrap w:val="false"/>
          </w:tcPr>
          <w:p>
            <w:pPr>
              <w:ind w:left="112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установлено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1723" w:type="pct"/>
            <w:vAlign w:val="center"/>
            <w:textDirection w:val="lrTb"/>
            <w:noWrap w:val="false"/>
          </w:tcPr>
          <w:p>
            <w:pPr>
              <w:ind w:firstLine="396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ПРЕИМУЩЕСТВО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277" w:type="pct"/>
            <w:textDirection w:val="lrTb"/>
            <w:noWrap w:val="false"/>
          </w:tcPr>
          <w:p>
            <w:pPr>
              <w:ind w:left="112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установлено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1723" w:type="pct"/>
            <w:vAlign w:val="center"/>
            <w:textDirection w:val="lrTb"/>
            <w:noWrap w:val="false"/>
          </w:tcPr>
          <w:p>
            <w:pPr>
              <w:ind w:firstLine="396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неприменения (невозможности применения) вышеуказанных мер национального режима: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277" w:type="pct"/>
            <w:vAlign w:val="center"/>
            <w:textDirection w:val="lrTb"/>
            <w:noWrap w:val="false"/>
          </w:tcPr>
          <w:p>
            <w:pPr>
              <w:ind w:left="112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установлено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iCs/>
          <w:lang w:eastAsia="ru-RU"/>
        </w:rPr>
      </w:r>
      <w:r>
        <w:rPr>
          <w:rFonts w:ascii="Times New Roman" w:hAnsi="Times New Roman" w:eastAsia="Times New Roman" w:cs="Times New Roman"/>
          <w:iCs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i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НАИМЕНОВАНИЕ И СОДЕРЖАНИЕ РАЗДЕЛОВ ИЗВЕЩЕНИЯ</w:t>
      </w:r>
      <w:r>
        <w:t xml:space="preserve">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О ЗАКУПКЕ В ЭЛЕКТРОННОЙ ФОРМЕ</w:t>
      </w:r>
      <w:r>
        <w:rPr>
          <w:rFonts w:ascii="Times New Roman" w:hAnsi="Times New Roman" w:eastAsia="Times New Roman" w:cs="Times New Roman"/>
          <w:iCs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64"/>
        <w:gridCol w:w="8791"/>
      </w:tblGrid>
      <w:tr>
        <w:tblPrEx/>
        <w:trPr>
          <w:trHeight w:val="9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Предмет договора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green"/>
                <w:lang w:eastAsia="ru-RU"/>
              </w:rPr>
            </w:r>
          </w:p>
        </w:tc>
      </w:tr>
      <w:tr>
        <w:tblPrEx/>
        <w:trPr>
          <w:trHeight w:val="91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казание услуг по уборке помещений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green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Описание предмета договора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Показатели, позволяющие определить соответствие закупаемых товара, работы, услуги установленным заказчиком требованиям (максимальные и (или) минимальные значения таких показателей, а также значения показателей, которые не могут изменяться)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Сведения об объекте закупки, функциональные, технические и качественные характеристикам объекта закупки, эксплуатационные характеристики объекта закупки (при необходимости), информация об объеме закупаемых товаров, работ, услуг и показатели, позволяющие оп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ределить их соответствие установленным Заказчиком требованиям, приведены в Техническом задании (прилагается отдельным файлом).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Требования стандартов, технических регламентов или иных нормативных документов, которым должны соответствовать товары, работы, ус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луги, используемые при оказании услуг, выполнении работ товары, а также требования к подтверждающим документам (сертификатам, заключениям, инструкциям, гарантийным талонам и т.п.), требования к объему закупаемых услуг, работ, количеству используемых при вы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полнении работ товаров, их размерам, комплектации, упаковке, требования к  гарантийному сроку услуг, работ, используемых при оказании услуг, выполнении работ товаров, и (или) объему предоставления гарантий их качества, к гарантийному обслуживанию товара, к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расходам на обслуживание товара в течение гарантийного срока, если это предусмотрено технической документацией на товар и иные условия исполнения договора приведены в Техническом задании (прилагается отдельным файлом).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Количество (объем) поставки товара, оказания услуг, выполнения работ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В соответствии с описанием предмета договора (техническое задание – прилагается отдельным файлом)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3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Место, условия и сроки (периоды) поставки, оказания услуг, выполнения работ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В соответствии с описанием предмета договора (техническое задание – прилагается отдельным файлом), проектом договора (прилагается отдельным файлом)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pStyle w:val="1080"/>
              <w:ind w:firstLine="521"/>
              <w:jc w:val="both"/>
              <w:rPr>
                <w:rStyle w:val="1083"/>
                <w:rFonts w:eastAsia="Calibri"/>
                <w:b/>
                <w:bCs/>
                <w:sz w:val="20"/>
              </w:rPr>
            </w:pPr>
            <w:r>
              <w:rPr>
                <w:rStyle w:val="1083"/>
                <w:rFonts w:eastAsia="Calibri"/>
                <w:b/>
                <w:bCs/>
                <w:sz w:val="20"/>
              </w:rPr>
            </w:r>
            <w:r>
              <w:rPr>
                <w:rStyle w:val="1083"/>
                <w:rFonts w:eastAsia="Calibri"/>
                <w:b/>
                <w:bCs/>
                <w:sz w:val="20"/>
              </w:rPr>
              <w:t xml:space="preserve">1632900 ( Один миллион шестьсот тридцать две тысячи девятьсот) рублей 00 копеек</w:t>
            </w:r>
            <w:r>
              <w:rPr>
                <w:rStyle w:val="1083"/>
                <w:rFonts w:eastAsia="Calibri"/>
                <w:b/>
                <w:bCs/>
                <w:sz w:val="20"/>
              </w:rPr>
            </w:r>
            <w:r>
              <w:rPr>
                <w:rStyle w:val="1083"/>
                <w:rFonts w:eastAsia="Calibri"/>
                <w:b/>
                <w:bCs/>
                <w:sz w:val="20"/>
              </w:rPr>
            </w:r>
            <w:r>
              <w:rPr>
                <w:rStyle w:val="1083"/>
                <w:rFonts w:eastAsia="Calibri"/>
                <w:b/>
                <w:bCs/>
                <w:sz w:val="20"/>
              </w:rPr>
            </w:r>
          </w:p>
        </w:tc>
      </w:tr>
      <w:tr>
        <w:tblPrEx/>
        <w:trPr>
          <w:trHeight w:val="183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Обоснование начальной (максимальной) цены договора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 (прилагается отдельным файлом)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Начальная (максимальная) цена договора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сформирована в соответствии с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Техническим заданием (прилагается отдельным файлом)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Цена Дог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овора указана с учетом, расходов Исполнителя: оборудование, инвентарь, расходные материалы, з/п сотрудникам (ФОТ), прочие возможные расходы, связанные с оказанием услуг, в т.ч. налоги, уплаченные или подлежащие уплате и другие обязательные сборы и платежи.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firstLine="52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Метод обоснования начальной (максимальной) цены договора: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 метод сопоставимых рыночных цен (анализ рынка).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3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Форма, сроки и порядок оплаты поставки, оказания услуг, выполнения работ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В соответствии с проектом договора (прилагается отдельным файлом)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заключенного договора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Не применяется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Сведения о валюте, используемой для формирования цены договора и расчетов с поставщиками (подрядчиками, исполнителями)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Валютой, используемой для формирования цены договора и расчетов с поставщиками (исполнителями, подрядчиками) является рубль Российской Федерации. При оплате заключенного договора иностранная валюта не используется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Порядок и сроки внесения изменений в извещение о закупке, отмены закупки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Изменения, вносимые в извещение об осуществлении конкурентной закупки, документацию о конкурентной закупке, разъяснения положений документации о конкурентной закупке размещаются заказчиком в единой информационной системе, на официальном сайте, за исключени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ем случаев, предусмотренных Федеральным законом № 223-ФЗ, не позднее чем в течение трех дней со дня принятия решения о внесении указанных изменений, предоставления указанных разъяснений. В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случае внесения изменений в извещение об осуществлении конкурентной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закупки, документацию о конкурентной закупке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срока подачи заявок на участие в та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кой закупке оставалось не менее половины срока подачи заявок на участие в такой закупке, установленного положением о закупке для данного способа закупки.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Формы, порядок, дата и время окончания срока предоставления участникам закупки разъяснений положений извещения о закупке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Любой участник закупки вправе направить Заказчику в порядке, предусмотренном Федеральным законом № 223-ФЗ и Положением о закупке, запрос о даче разъяснений положений извещения о закупке и (или) документации о закупке (далее – запрос).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Запрос направляется в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форме электронного документа, подписанного усиленной квалифицированной подписью лица, имеющего право действовать от имени участника такой закупки.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В течение трех рабочих дней с даты поступления запроса, заказчик осуществляет разъяснение положений документ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ации о конкурентной закупке и размещает их в единой информационной системе с указанием предмета запроса, но без указания участника такой закупки, от которого поступил указанный запрос.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При этом Заказчик вправе не осуществлять такое разъяснение в случае, ес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ли указанный запрос поступил позднее чем за 3 (три) рабочих дня до даты окончания срока подачи заявок на участие в такой закупке.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Запрос и разъяснения положений документации о закупке направляются/размещаются в соответствии с регламентом ЭТП.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Возможность заказчика заключить договор с несколькими участниками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Не предусмотрена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Срок подписания договора участником закупки, с которым заключается договор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Срок заключения договора при осуществлении закупки должен составлять не менее 10 (десяти) и не более 20 (двадцати) дней со дня принятия Заказчиком решения о заключении такого договора, за исключением случаев, когда в соответствии с законодательством Россий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ской Федерации для заключения договора необходимо его одобрение органом управления Заказчика, а также случаев, когда действия (бездействие) Заказчика при осуществлении закупки обжалуются в антимонопольном органе либо в судебном порядке.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В указанных случаях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договор должен быть заключен не позднее чем через 5 (пять) дней со дня вступления в силу решения антимонопольного органа или судебного акта, предусматривающего заключение договора.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Предоставление закупочной документации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Размещенные на официальном сайте и на сайте электронной торговой площадки в соответствии с Федеральным законом № 223-ФЗ и положением о закупке информация о закупке, доступна для ознакомления без взимания платы.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обеспечению заявки на участие в закупке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Не установлено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обеспечению исполнения договора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Не установлено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обеспечению гарантийных обязательств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Не установлено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участникам закупки (указанные в настоящем разделе требования предъявляются в равной мере ко всем участникам закупок):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75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Участником закупки явля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законом от 14 июля 2022 года № 255-ФЗ «О контроле за деятельностью лиц, находящихся под иностранным влиянием».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Единые (обязательные) требования к участникам закупки: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1) соответствие требованиям, устанавливаемым в соответствии с законодательством Российской Федерации к лицам, осуществляющим поставку товара, выполнение работы и оказание услуги, являющихся предметом закупки: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2) непроведение ликвидации участника закупки -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3) не приостановление деятельности участника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закупки в порядке, установленном Кодексом Российской Федерации об административных правонарушениях на дату подачи заявки на участие в закупке;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4) отсутствие у участника закупки недоимки по налогам, сборам, задолженности по иным обязательным платежам в бюдж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исполнителя) не принято;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упки, и административного наказания в виде дисквалификации;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6)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го правонарушения, предусмотренного ст. 19.28 Кодекса Российской Федерации об административных правонарушениях;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7) обладание участником закупки исключительными правами на результаты интеллектуальной деятельности, если в связи с исполнением договора Заказчи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 приобретает права на такие результаты, за исключением случаев заключения договоров на создание произведений литературы или искусства, исполнения, на финансирование проката или показа национального фильма;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8) отсутствие обстоятельств, при которых должност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ное лицо заказчика (руководитель заказчика, член комиссии по осуществлению закупок, руководитель контрактной службы заказчика, контрактный управляющий), его супруг (супруга), близкий родственник по прямой восходящей или нисходящей линии (отец, мать, дедушк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а, бабушка, сын, дочь, внук, внучка), полнородный или неполнородный (имеющий общих с должностным лицом заказчика отца или мать) брат (сестра), лицо, усыновленное должностным лицом заказчика, либо усыновитель этого должностного лица заказчика является: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а) ф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изическим лицом (в том числе зарегистрированным в качестве индивидуального предпринимателя), являющимся участником закупки;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б) руководителем, единоличным исполнительным органом, членом коллегиального исполнительного органа, учредителем, членом коллегиально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го органа унитарной организации, являющейся участником закупки;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в) единоличным исполнительным органом, членом коллегиального исполнительного органа, членом коллегиального органа управления, выгодоприобретателем корпоративного юридического лица, являющегося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участником закупки. Выгодоприобретателем для целей настоящего положения является физическое лицо, которое владеет напрямую или косвенно (через юридическое лицо или через несколько юридических лиц) более чем десятью процентами голосующих акций хозяйственно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го общества либо владеет напрямую или косвенно (через юридическое лицо или через несколько юридических лиц) долей, превышающей десять процентов в уставном (складочном) капитале хозяйственного товарищества или общества.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9) участник закупки не является офшор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10) участник закупки не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является иностранным агентом;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11) отсутствие у участника закупки ограничений для участия в закупках, установленных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540" w:leader="none"/>
                <w:tab w:val="left" w:pos="90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12) отсутствие информации об участнике закупки в реестре недобросовестных поставщиков, предусмотренно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 ст. 5 Закона № 223-ФЗ, и (или) в реестре недобросовестных поставщиков, предусмотренном Законом № 44-ФЗ.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Дополнительные требования к участникам закупки (указанные в настоящем разделе требования предъявляются в равной мере ко всем участникам закупок):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Не установлены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участникам такой закупки и привлекаемым ими субподрядчикам, соисполнителям и (или) изготовителям товара, являющегося предметом закупки, и перечень документов, представляемых участниками такой закупки для подтверждения их соответствия указанным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 требованиям, в случае закупки работ по проектированию, строительству, модернизации и ремонту особо опасных, технически сложных объектов капитального строительства и закупки товаров, работ, услуг, связанных с использованием атомной энергии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green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Не устанавливаются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содержанию, форме, оформлению и составу заявки на участие в закупке в электронной форме</w:t>
            </w:r>
            <w:r>
              <w:rPr>
                <w:rStyle w:val="1012"/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footnoteReference w:id="3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460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согласие участника закупки на поставку товара, выполнение работы или оказание услуги на условиях, предусмотренных извещением об осуществлении конкурентной закупки и (или) документацией о конкурентной закупке и не подлежащих изменению по результатам пров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едения закупочной процедуры. В случае осуществления конкурентной закупки в электронной форме такое согласие участник закупки может подать с применением программно-аппаратных средств ЭП;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описание поставляемого товара, выполняемой работы, оказываемой услу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ги, которые являются предметом закупки в соответствии с требованиями документации о конкурентной закупке. При осуществлении закупки товара или закупки работы, услуги, для выполнения, оказания которых используется товар: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а) конкретные показатели товара,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ответствующие значениям, установленным извещением об осуществлении конкурентной закупки и (или) документацией о конкурентной закупке, указание на товарный знак (его словесное обозначение) (при наличии).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б) информацию и документы, определенные Правительств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Российской Федерации, в соответствии с пунктом 2 части 2 статьи 3.1.-4 Закона 223-ФЗ, которые подтверждают страну происхождения товара, в случае, если при осуществлении закупки промышленной продукции установлены запрет закупок товаров (в том числе поста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или ограничение закупок товаров (в том числе поставляемых при выполнении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 или преимущ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наименование, фирменное наименование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наличии), место нахождения (для юридического лица), фамилию, имя, отчество (при наличии), паспортные данные, место жительства (для физического лица), почтовый адрес участника закупки, адрес электронной почты, номер контактного телефона, идентификационный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(для иностранного лица), идентификационный номер налогоплательщ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закупки;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выписку из единого государственного реестра юридических лиц (для юридического лица), выписку из единого государственного реестра индивидуальных предпринимателей (для индивидуального предпринимателя), полученную не ранее чем за шесть месяцев до даты разм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ещения в ЕИС извещения о проведении конкурентной закупки (полученную не ранее чем за шесть месяцев до дня получения приглашения об участии в конкурентной закупке), либо надлежащим образом заверенный перевод на русский язык документов о государственной реги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иностранного лица) (за исключением конкурентных закупок в электронной форме, при условии наличия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доступа к указанным документам и информации, обеспеченного оператором ЭП);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5) документ, подтверждающий полномочия лица на осуществление действий от имени участника закупки, а именно копия решения о назначении или об избрании на должность либо копия приказа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назначении физического лица на должность, в соответствии с которыми такое физическое лицо обладает правом действовать от имени участника закупки без доверенности (далее - руководитель).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случае если от имени участника закупки действует иное лицо, заявк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на участие в закупке должна содержать также доверенность на осуществление действий от имени участника закупки, заверенную печатью участника закупки (при наличии) и подписанную руководителем участника закупки (для юридических лиц), уполномоченным лицом.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случае если указанная доверенность подписана лицом, уполномоченным руководителем участника закупки, заявка на участие в закупке должна содержать также документ, подтверждающий полномочия такого лица.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случае если участник закупки в порядке, предусмотренн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законодательством Российской Федерации, осуществление полномочий своего единоличного исполнительного органа передал управляющей организации или индивидуальному предпринимателю (управляющему), в составе заявки на участие в закупке такой участник должен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редоставить копию такого решения, а также копию договора о передаче полномочий (за исключением конкурентных закупок в электронной форме, при условии наличия доступа к указанным документам и информации, обеспеченного оператором ЭП);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6) копии учредительных документов участника закупки (для юридических лиц) (за исключением конкурентных закупок в электронной форме, при условии наличия доступа к указанным документам и информации, обеспеченного оператором ЭП);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7) решение об одобрении или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совершении крупной сделки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товаров,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работ, услуг, являющихся предметом договора, или внесение денежных средств в качестве обеспечения заявки на участие в закупке, обеспечения исполнения договора являются крупной сделкой (за исключением конкурентных закупок в электронной форме при условии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личия доступа к указанным документам и информации, обеспеченного оператором ЭП);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8) документы, подтверждающие соответствие участника закупки требованиям, установленным Заказчиком в документации о конкурентной закупке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п. 18 информаци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онной карты: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 ТАКЖЕ ДЕКЛАРАЦИЮ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соответствии участника закупки требованиям, установленным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 – 12 п. 18 информационной карты;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9) документы, подтверждающие соответствие товара, работы или услуги требованиям, установленным в соответств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ии с законодательством Российской Федерации и перечень которых определен документацией о закупке;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10) документы, подтверждающие внесение обеспечения заявки на участие в конкурентной закупке (платежное поручение, подтверждающее перечисление денежных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обеспечения заявки на участие в такой закупке, или копия этого платежного поручения либо банковская/ независимая гарантия, соответствующая требованиям настоящего положения), в случае, если Заказчиком установлено требование об обеспечении заявки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участие в конкурентной закупке;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11) предложение участника запроса котировок в электронной форме о цене договора.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12) В составе заявки участник предоставляет информацию и документы, подтверждающие страну происхождения товара, в соответствии с положениям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 п.3, 10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абот, услуг отдельными видами юридических лиц":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 установлено.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Информация и сведения, подтверждающее страну происхождения товара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(отражаются в квалификационной части заявки на участие в закупке):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green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460" w:type="pct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установлено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green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Антидемпинговые меры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установлено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green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3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Порядок, место, срок подачи заявок на участие в закупке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ru-RU"/>
              </w:rPr>
            </w:r>
          </w:p>
        </w:tc>
      </w:tr>
      <w:tr>
        <w:tblPrEx/>
        <w:trPr>
          <w:trHeight w:val="699"/>
        </w:trPr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Порядок подачи заявки на участие в закупке в электронной форме: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подать заявку на участие в закупке в электронной форме может только лицо, аккредитованное на ЭП в порядке, установленном оператором ЭП, на которой проводится закупка в электронной форме;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участник </w:t>
            </w:r>
            <w:bookmarkStart w:id="2" w:name="OLE_LINK1"/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закупки </w:t>
            </w:r>
            <w:bookmarkEnd w:id="2"/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 электронной форме подготавливает заявку в соответствии с требованиями и условиями, указанными в извещении о конкурентной закупке;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заявка подается до окончания, установленного в извещении о конкурентной закупке срока подачи заявок. Уч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астник закупки в электронной форме вправе подать только одну заявку;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заявка подготавливается и подается посредством программно-аппаратных средств ЭП согласно регламенту работы ЭП;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5)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при подаче заявки участнику посредством программно-аппаратных средств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ЭП присваивается уникальный в рамках данной закупки в электронной форме идентификационный номер (далее — номер участника);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6)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ab/>
              <w:t xml:space="preserve">участник закупки в электронной форме, подавший заявку, вправе отозвать ее или внести в нее изменения в любой момент до окончания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рока подачи заявок, к направив об этом уведомление оператору ЭП посредством программно-аппаратных средств ЭП.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Условия допуска к участию и отстранения от участия в закупке: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1. Заказчик (комиссия по закупкам) отказывает участнику закупки в допуске к участию в процедуре закупки в следующих случаях: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1) выявлено несоответствие участника хотя бы одному из требований, перечисленных в разделе 18 настоящего извещения;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2) участник зак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упки и (или) его заявка не соответствуют требованиям извещения о закупке (извещению);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3) участник закупки не представил документы, необходимые для участия в процедуре закупки;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4) в представленных документах или в заявке указаны недостоверные сведения об уч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астнике закупки и (или) о товарах, работах, услугах;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5) участник закупки не предоставил обеспечение заявки на участие в закупке, если такое обеспечение предусмотрено </w:t>
            </w:r>
            <w:bookmarkStart w:id="3" w:name="OLE_LINK3"/>
            <w:r/>
            <w:bookmarkStart w:id="4" w:name="OLE_LINK4"/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извещением </w:t>
            </w:r>
            <w:bookmarkEnd w:id="3"/>
            <w:r/>
            <w:bookmarkEnd w:id="4"/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 закупке.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2. Отстранение участника закупки от участия в определении поставщика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(подрядчика, исполнителя) или отказ от заключения договора с победителем определения поставщика (подрядчика, исполнителя) осуществляется в любой момент до заключения договора, если заказчик или комиссия по осуществлению закупок выявит, что участник закупк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 не соответствует требованиям, указанным в пункте 1 настоящего раздела.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3. Заказчик (комиссия по закупкам) отказывает участнику закупки в допуске к участию в процедуре закупки по иным основаниям, предусмотренным документацией (извещением) о закупке или Положением о закупке Заказчика.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34" w:firstLine="487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4. В случае выявления фактов, предусмотренн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ых в пункте 1, 2, 3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вления таких фактов.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96"/>
        </w:trPr>
        <w:tc>
          <w:tcPr>
            <w:shd w:val="clear" w:color="auto" w:fill="ffffff"/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Отдельными файлами прилагаются: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96"/>
        </w:trPr>
        <w:tc>
          <w:tcPr>
            <w:shd w:val="clear" w:color="auto" w:fill="ffffff"/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2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1. Описание предмета закупки (Техническое задание);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2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2. Проект договора;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2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3. Обоснование НМЦД;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  <w:p>
            <w:pPr>
              <w:contextualSpacing/>
              <w:ind w:left="2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4. Рекомендуемая форма заявки участника закупки.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96"/>
        </w:trPr>
        <w:tc>
          <w:tcPr>
            <w:shd w:val="clear" w:color="auto" w:fill="ffffff"/>
            <w:tcW w:w="540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1" w:themeFillTint="33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Иные требования, определенные Положением о закупке товаров, работ, услуг Заказчика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96"/>
        </w:trPr>
        <w:tc>
          <w:tcPr>
            <w:shd w:val="clear" w:color="auto" w:fill="ffffff"/>
            <w:tcW w:w="540" w:type="pct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-108" w:right="-97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4460" w:type="pct"/>
            <w:vAlign w:val="center"/>
            <w:textDirection w:val="lrTb"/>
            <w:noWrap w:val="false"/>
          </w:tcPr>
          <w:p>
            <w:pPr>
              <w:contextualSpacing/>
              <w:ind w:left="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Не установлены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568" w:right="907" w:bottom="567" w:left="1134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10000000000000000"/>
  </w:font>
  <w:font w:name="Consolas">
    <w:panose1 w:val="020B0606020202030204"/>
  </w:font>
  <w:font w:name="Bookman Old Style">
    <w:panose1 w:val="02060603050605020204"/>
  </w:font>
  <w:font w:name="GaramondNarrowC">
    <w:panose1 w:val="02000603000000000000"/>
  </w:font>
  <w:font w:name="Verdana">
    <w:panose1 w:val="020B0606030504020204"/>
  </w:font>
  <w:font w:name="MS Mincho">
    <w:panose1 w:val="020606060503050B0204"/>
  </w:font>
  <w:font w:name="Tahoma">
    <w:panose1 w:val="020B0606040504020204"/>
  </w:font>
  <w:font w:name="Courier New">
    <w:panose1 w:val="02070409020205020404"/>
  </w:font>
  <w:font w:name="Calibri">
    <w:panose1 w:val="020F050202020403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  <w:font w:name="Consultant">
    <w:panose1 w:val="02000603000000000000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tabs>
        <w:tab w:val="clear" w:pos="4677" w:leader="none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 xml:space="preserve">10</w:t>
    </w:r>
    <w:r>
      <w:fldChar w:fldCharType="end"/>
    </w:r>
    <w:r/>
  </w:p>
  <w:p>
    <w:pPr>
      <w:pStyle w:val="955"/>
    </w:pPr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94"/>
      </w:pPr>
      <w:r>
        <w:rPr>
          <w:rStyle w:val="1012"/>
        </w:rPr>
        <w:footnoteRef/>
      </w:r>
      <w:r>
        <w:t xml:space="preserve"> в соответствии с частями 9, 10 статьи 4 Федерального закона № 223-ФЗ</w:t>
      </w:r>
      <w:r/>
    </w:p>
  </w:footnote>
  <w:footnote w:id="3">
    <w:p>
      <w:pPr>
        <w:pStyle w:val="994"/>
        <w:jc w:val="both"/>
        <w:rPr>
          <w:sz w:val="16"/>
          <w:szCs w:val="16"/>
        </w:rPr>
      </w:pPr>
      <w:r>
        <w:rPr>
          <w:rStyle w:val="1012"/>
          <w:sz w:val="16"/>
          <w:szCs w:val="16"/>
        </w:rPr>
        <w:footnoteRef/>
      </w:r>
      <w:r>
        <w:rPr>
          <w:sz w:val="16"/>
          <w:szCs w:val="16"/>
        </w:rPr>
        <w:t xml:space="preserve"> Ответственность за недостоверность информации и (или) документов, направленных в составе заявки на участие в закупке, за несоответствие указанных информации и (или) документов требован</w:t>
      </w:r>
      <w:r>
        <w:rPr>
          <w:sz w:val="16"/>
          <w:szCs w:val="16"/>
        </w:rPr>
        <w:t xml:space="preserve">иям, установленным законодательством Российской Федерации, за действия, совершенные на основании указанных информации и (или) документов, несет участник закупки.</w:t>
      </w:r>
      <w:r>
        <w:rPr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748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64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176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604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498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2" w:hanging="432"/>
        <w:tabs>
          <w:tab w:val="num" w:pos="792" w:leader="none"/>
        </w:tabs>
      </w:pPr>
      <w:rPr>
        <w:b/>
        <w:i w:val="0"/>
        <w:sz w:val="28"/>
        <w:szCs w:val="28"/>
      </w:rPr>
    </w:lvl>
    <w:lvl w:ilvl="1">
      <w:start w:val="1"/>
      <w:numFmt w:val="decimal"/>
      <w:isLgl w:val="false"/>
      <w:suff w:val="tab"/>
      <w:lvlText w:val="%1.%2"/>
      <w:lvlJc w:val="left"/>
      <w:pPr>
        <w:ind w:left="1836" w:hanging="576"/>
        <w:tabs>
          <w:tab w:val="num" w:pos="1836" w:leader="none"/>
        </w:tabs>
      </w:pPr>
    </w:lvl>
    <w:lvl w:ilvl="2">
      <w:start w:val="1"/>
      <w:numFmt w:val="decimal"/>
      <w:pStyle w:val="987"/>
      <w:isLgl w:val="false"/>
      <w:suff w:val="tab"/>
      <w:lvlText w:val="%1.%2.%3"/>
      <w:lvlJc w:val="left"/>
      <w:pPr>
        <w:ind w:left="1080" w:firstLine="0"/>
        <w:tabs>
          <w:tab w:val="num" w:pos="1307" w:leader="none"/>
        </w:tabs>
      </w:pPr>
      <w:rPr>
        <w:b w:val="0"/>
        <w:sz w:val="28"/>
        <w:szCs w:val="28"/>
        <w:lang w:val="ru-RU" w:eastAsia="ru-RU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26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3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0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8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2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9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6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40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47" w:hanging="432"/>
      </w:pPr>
      <w:rPr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758" w:hanging="504"/>
      </w:pPr>
      <w:rPr>
        <w:i w:val="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469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35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139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643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147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23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645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283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1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9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6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7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5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238" w:hanging="180"/>
      </w:pPr>
    </w:lvl>
  </w:abstractNum>
  <w:abstractNum w:abstractNumId="15">
    <w:multiLevelType w:val="hybridMultilevel"/>
    <w:styleLink w:val="1016"/>
    <w:lvl w:ilvl="0">
      <w:start w:val="1"/>
      <w:numFmt w:val="decimal"/>
      <w:pStyle w:val="1016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360"/>
        <w:tabs>
          <w:tab w:val="num" w:pos="93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</w:p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442" w:hanging="408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21">
    <w:multiLevelType w:val="hybridMultilevel"/>
    <w:styleLink w:val="1017"/>
    <w:lvl w:ilvl="0">
      <w:start w:val="1"/>
      <w:numFmt w:val="decimal"/>
      <w:pStyle w:val="1017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7" w:hanging="28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5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1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7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96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00" w:hanging="900"/>
        <w:tabs>
          <w:tab w:val="num" w:pos="130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26">
    <w:multiLevelType w:val="hybridMultilevel"/>
    <w:lvl w:ilvl="0">
      <w:start w:val="1"/>
      <w:numFmt w:val="bullet"/>
      <w:pStyle w:val="1073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540" w:hanging="360"/>
        <w:tabs>
          <w:tab w:val="num" w:pos="540" w:leader="none"/>
        </w:tabs>
      </w:pPr>
    </w:lvl>
    <w:lvl w:ilvl="1">
      <w:start w:val="1"/>
      <w:numFmt w:val="none"/>
      <w:pStyle w:val="988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9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660" w:hanging="6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14" w:hanging="660"/>
      </w:pPr>
    </w:lvl>
    <w:lvl w:ilvl="2">
      <w:start w:val="3"/>
      <w:numFmt w:val="decimal"/>
      <w:isLgl w:val="false"/>
      <w:suff w:val="tab"/>
      <w:lvlText w:val="%1.%2.%3."/>
      <w:lvlJc w:val="left"/>
      <w:pPr>
        <w:ind w:left="143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</w:pPr>
    </w:lvl>
  </w:abstractNum>
  <w:abstractNum w:abstractNumId="3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0"/>
    </w:lvlOverride>
  </w:num>
  <w:num w:numId="3">
    <w:abstractNumId w:val="15"/>
  </w:num>
  <w:num w:numId="4">
    <w:abstractNumId w:val="21"/>
  </w:num>
  <w:num w:numId="5">
    <w:abstractNumId w:val="26"/>
  </w:num>
  <w:num w:numId="6">
    <w:abstractNumId w:val="20"/>
  </w:num>
  <w:num w:numId="7">
    <w:abstractNumId w:val="14"/>
  </w:num>
  <w:num w:numId="8">
    <w:abstractNumId w:val="17"/>
  </w:num>
  <w:num w:numId="9">
    <w:abstractNumId w:val="1"/>
  </w:num>
  <w:num w:numId="10">
    <w:abstractNumId w:val="3"/>
  </w:num>
  <w:num w:numId="11">
    <w:abstractNumId w:val="13"/>
  </w:num>
  <w:num w:numId="12">
    <w:abstractNumId w:val="25"/>
  </w:num>
  <w:num w:numId="13">
    <w:abstractNumId w:val="11"/>
  </w:num>
  <w:num w:numId="14">
    <w:abstractNumId w:val="5"/>
  </w:num>
  <w:num w:numId="15">
    <w:abstractNumId w:val="22"/>
  </w:num>
  <w:num w:numId="16">
    <w:abstractNumId w:val="29"/>
    <w:lvlOverride w:ilvl="0">
      <w:startOverride w:val="1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4"/>
  </w:num>
  <w:num w:numId="19">
    <w:abstractNumId w:val="16"/>
  </w:num>
  <w:num w:numId="20">
    <w:abstractNumId w:val="30"/>
  </w:num>
  <w:num w:numId="21">
    <w:abstractNumId w:val="28"/>
  </w:num>
  <w:num w:numId="22">
    <w:abstractNumId w:val="18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"/>
  </w:num>
  <w:num w:numId="25">
    <w:abstractNumId w:val="0"/>
  </w:num>
  <w:num w:numId="26">
    <w:abstractNumId w:val="19"/>
  </w:num>
  <w:num w:numId="27">
    <w:abstractNumId w:val="9"/>
  </w:num>
  <w:num w:numId="28">
    <w:abstractNumId w:val="23"/>
  </w:num>
  <w:num w:numId="29">
    <w:abstractNumId w:val="7"/>
  </w:num>
  <w:num w:numId="30">
    <w:abstractNumId w:val="1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0" w:default="1">
    <w:name w:val="Normal"/>
    <w:qFormat/>
  </w:style>
  <w:style w:type="paragraph" w:styleId="761">
    <w:name w:val="Heading 1"/>
    <w:basedOn w:val="760"/>
    <w:next w:val="760"/>
    <w:link w:val="938"/>
    <w:uiPriority w:val="9"/>
    <w:qFormat/>
    <w:pPr>
      <w:ind w:left="567" w:hanging="567"/>
      <w:jc w:val="both"/>
      <w:spacing w:before="120" w:after="120" w:line="240" w:lineRule="auto"/>
      <w:widowControl w:val="off"/>
      <w:tabs>
        <w:tab w:val="left" w:pos="567" w:leader="none"/>
      </w:tabs>
      <w:outlineLvl w:val="0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762">
    <w:name w:val="Heading 2"/>
    <w:basedOn w:val="760"/>
    <w:next w:val="760"/>
    <w:link w:val="939"/>
    <w:uiPriority w:val="9"/>
    <w:qFormat/>
    <w:pPr>
      <w:jc w:val="both"/>
      <w:keepNext/>
      <w:spacing w:after="0" w:line="240" w:lineRule="auto"/>
      <w:outlineLvl w:val="1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763">
    <w:name w:val="Heading 3"/>
    <w:basedOn w:val="760"/>
    <w:next w:val="760"/>
    <w:link w:val="940"/>
    <w:qFormat/>
    <w:pPr>
      <w:keepNext/>
      <w:spacing w:before="240" w:after="60" w:line="240" w:lineRule="auto"/>
      <w:outlineLvl w:val="2"/>
    </w:pPr>
    <w:rPr>
      <w:rFonts w:ascii="Arial" w:hAnsi="Arial" w:eastAsia="Times New Roman" w:cs="Times New Roman"/>
      <w:b/>
      <w:bCs/>
      <w:sz w:val="26"/>
      <w:szCs w:val="26"/>
    </w:rPr>
  </w:style>
  <w:style w:type="paragraph" w:styleId="764">
    <w:name w:val="Heading 4"/>
    <w:basedOn w:val="763"/>
    <w:next w:val="760"/>
    <w:link w:val="941"/>
    <w:qFormat/>
    <w:pPr>
      <w:jc w:val="both"/>
      <w:keepNext w:val="0"/>
      <w:spacing w:before="0" w:after="0"/>
      <w:widowControl w:val="off"/>
      <w:outlineLvl w:val="3"/>
    </w:pPr>
    <w:rPr>
      <w:b w:val="0"/>
      <w:bCs w:val="0"/>
      <w:sz w:val="24"/>
      <w:szCs w:val="24"/>
    </w:rPr>
  </w:style>
  <w:style w:type="paragraph" w:styleId="765">
    <w:name w:val="Heading 5"/>
    <w:basedOn w:val="760"/>
    <w:next w:val="760"/>
    <w:link w:val="942"/>
    <w:uiPriority w:val="9"/>
    <w:semiHidden/>
    <w:unhideWhenUsed/>
    <w:qFormat/>
    <w:pPr>
      <w:keepLines/>
      <w:keepNext/>
      <w:spacing w:before="200" w:after="0" w:line="276" w:lineRule="auto"/>
      <w:outlineLvl w:val="4"/>
    </w:pPr>
    <w:rPr>
      <w:rFonts w:ascii="Cambria" w:hAnsi="Cambria" w:eastAsia="Times New Roman" w:cs="Times New Roman"/>
      <w:color w:val="243f60"/>
    </w:rPr>
  </w:style>
  <w:style w:type="paragraph" w:styleId="766">
    <w:name w:val="Heading 6"/>
    <w:basedOn w:val="760"/>
    <w:next w:val="760"/>
    <w:link w:val="943"/>
    <w:qFormat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</w:rPr>
  </w:style>
  <w:style w:type="paragraph" w:styleId="767">
    <w:name w:val="Heading 7"/>
    <w:basedOn w:val="760"/>
    <w:next w:val="760"/>
    <w:link w:val="944"/>
    <w:qFormat/>
    <w:pPr>
      <w:spacing w:before="240" w:after="60" w:line="240" w:lineRule="auto"/>
      <w:outlineLvl w:val="6"/>
    </w:pPr>
    <w:rPr>
      <w:rFonts w:ascii="Times New Roman" w:hAnsi="Times New Roman" w:eastAsia="Times New Roman" w:cs="Times New Roman"/>
      <w:sz w:val="24"/>
      <w:szCs w:val="24"/>
    </w:rPr>
  </w:style>
  <w:style w:type="paragraph" w:styleId="768">
    <w:name w:val="Heading 8"/>
    <w:basedOn w:val="760"/>
    <w:next w:val="760"/>
    <w:link w:val="945"/>
    <w:qFormat/>
    <w:pPr>
      <w:spacing w:before="240" w:after="60" w:line="240" w:lineRule="auto"/>
      <w:outlineLvl w:val="7"/>
    </w:pPr>
    <w:rPr>
      <w:rFonts w:ascii="Times New Roman" w:hAnsi="Times New Roman" w:eastAsia="Times New Roman" w:cs="Times New Roman"/>
      <w:i/>
      <w:iCs/>
      <w:sz w:val="24"/>
      <w:szCs w:val="24"/>
    </w:rPr>
  </w:style>
  <w:style w:type="paragraph" w:styleId="769">
    <w:name w:val="Heading 9"/>
    <w:basedOn w:val="760"/>
    <w:next w:val="760"/>
    <w:link w:val="7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0" w:default="1">
    <w:name w:val="Default Paragraph Font"/>
    <w:uiPriority w:val="1"/>
    <w:semiHidden/>
    <w:unhideWhenUsed/>
  </w:style>
  <w:style w:type="table" w:styleId="7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2" w:default="1">
    <w:name w:val="No List"/>
    <w:uiPriority w:val="99"/>
    <w:semiHidden/>
    <w:unhideWhenUsed/>
  </w:style>
  <w:style w:type="character" w:styleId="773" w:customStyle="1">
    <w:name w:val="Heading 9 Char"/>
    <w:basedOn w:val="770"/>
    <w:uiPriority w:val="9"/>
    <w:rPr>
      <w:rFonts w:ascii="Arial" w:hAnsi="Arial" w:eastAsia="Arial" w:cs="Arial"/>
      <w:i/>
      <w:iCs/>
      <w:sz w:val="21"/>
      <w:szCs w:val="21"/>
    </w:rPr>
  </w:style>
  <w:style w:type="character" w:styleId="774" w:customStyle="1">
    <w:name w:val="Title Char"/>
    <w:basedOn w:val="770"/>
    <w:uiPriority w:val="10"/>
    <w:rPr>
      <w:sz w:val="48"/>
      <w:szCs w:val="48"/>
    </w:rPr>
  </w:style>
  <w:style w:type="character" w:styleId="775" w:customStyle="1">
    <w:name w:val="Quote Char"/>
    <w:uiPriority w:val="29"/>
    <w:rPr>
      <w:i/>
    </w:rPr>
  </w:style>
  <w:style w:type="character" w:styleId="776" w:customStyle="1">
    <w:name w:val="Intense Quote Char"/>
    <w:uiPriority w:val="30"/>
    <w:rPr>
      <w:i/>
    </w:rPr>
  </w:style>
  <w:style w:type="character" w:styleId="777" w:customStyle="1">
    <w:name w:val="Caption Char"/>
    <w:basedOn w:val="770"/>
    <w:uiPriority w:val="35"/>
    <w:rPr>
      <w:b/>
      <w:bCs/>
      <w:color w:val="4472c4" w:themeColor="accent1"/>
      <w:sz w:val="18"/>
      <w:szCs w:val="18"/>
    </w:rPr>
  </w:style>
  <w:style w:type="character" w:styleId="778" w:customStyle="1">
    <w:name w:val="Endnote Text Char"/>
    <w:uiPriority w:val="99"/>
    <w:rPr>
      <w:sz w:val="20"/>
    </w:rPr>
  </w:style>
  <w:style w:type="character" w:styleId="779" w:customStyle="1">
    <w:name w:val="Heading 1 Char"/>
    <w:basedOn w:val="770"/>
    <w:uiPriority w:val="9"/>
    <w:rPr>
      <w:rFonts w:ascii="Arial" w:hAnsi="Arial" w:eastAsia="Arial" w:cs="Arial"/>
      <w:sz w:val="40"/>
      <w:szCs w:val="40"/>
    </w:rPr>
  </w:style>
  <w:style w:type="character" w:styleId="780" w:customStyle="1">
    <w:name w:val="Heading 2 Char"/>
    <w:basedOn w:val="770"/>
    <w:uiPriority w:val="9"/>
    <w:rPr>
      <w:rFonts w:ascii="Arial" w:hAnsi="Arial" w:eastAsia="Arial" w:cs="Arial"/>
      <w:sz w:val="34"/>
    </w:rPr>
  </w:style>
  <w:style w:type="character" w:styleId="781" w:customStyle="1">
    <w:name w:val="Heading 3 Char"/>
    <w:basedOn w:val="770"/>
    <w:uiPriority w:val="9"/>
    <w:rPr>
      <w:rFonts w:ascii="Arial" w:hAnsi="Arial" w:eastAsia="Arial" w:cs="Arial"/>
      <w:sz w:val="30"/>
      <w:szCs w:val="30"/>
    </w:rPr>
  </w:style>
  <w:style w:type="character" w:styleId="782" w:customStyle="1">
    <w:name w:val="Heading 4 Char"/>
    <w:basedOn w:val="770"/>
    <w:uiPriority w:val="9"/>
    <w:rPr>
      <w:rFonts w:ascii="Arial" w:hAnsi="Arial" w:eastAsia="Arial" w:cs="Arial"/>
      <w:b/>
      <w:bCs/>
      <w:sz w:val="26"/>
      <w:szCs w:val="26"/>
    </w:rPr>
  </w:style>
  <w:style w:type="character" w:styleId="783" w:customStyle="1">
    <w:name w:val="Heading 5 Char"/>
    <w:basedOn w:val="770"/>
    <w:uiPriority w:val="9"/>
    <w:rPr>
      <w:rFonts w:ascii="Arial" w:hAnsi="Arial" w:eastAsia="Arial" w:cs="Arial"/>
      <w:b/>
      <w:bCs/>
      <w:sz w:val="24"/>
      <w:szCs w:val="24"/>
    </w:rPr>
  </w:style>
  <w:style w:type="character" w:styleId="784" w:customStyle="1">
    <w:name w:val="Heading 6 Char"/>
    <w:basedOn w:val="770"/>
    <w:uiPriority w:val="9"/>
    <w:rPr>
      <w:rFonts w:ascii="Arial" w:hAnsi="Arial" w:eastAsia="Arial" w:cs="Arial"/>
      <w:b/>
      <w:bCs/>
      <w:sz w:val="22"/>
      <w:szCs w:val="22"/>
    </w:rPr>
  </w:style>
  <w:style w:type="character" w:styleId="785" w:customStyle="1">
    <w:name w:val="Heading 7 Char"/>
    <w:basedOn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6" w:customStyle="1">
    <w:name w:val="Heading 8 Char"/>
    <w:basedOn w:val="770"/>
    <w:uiPriority w:val="9"/>
    <w:rPr>
      <w:rFonts w:ascii="Arial" w:hAnsi="Arial" w:eastAsia="Arial" w:cs="Arial"/>
      <w:i/>
      <w:iCs/>
      <w:sz w:val="22"/>
      <w:szCs w:val="22"/>
    </w:rPr>
  </w:style>
  <w:style w:type="character" w:styleId="787" w:customStyle="1">
    <w:name w:val="Заголовок 9 Знак"/>
    <w:basedOn w:val="770"/>
    <w:link w:val="769"/>
    <w:uiPriority w:val="9"/>
    <w:rPr>
      <w:rFonts w:ascii="Arial" w:hAnsi="Arial" w:eastAsia="Arial" w:cs="Arial"/>
      <w:i/>
      <w:iCs/>
      <w:sz w:val="21"/>
      <w:szCs w:val="21"/>
    </w:rPr>
  </w:style>
  <w:style w:type="paragraph" w:styleId="788">
    <w:name w:val="Title"/>
    <w:basedOn w:val="760"/>
    <w:next w:val="760"/>
    <w:link w:val="7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9" w:customStyle="1">
    <w:name w:val="Заголовок Знак"/>
    <w:basedOn w:val="770"/>
    <w:link w:val="788"/>
    <w:uiPriority w:val="10"/>
    <w:rPr>
      <w:sz w:val="48"/>
      <w:szCs w:val="48"/>
    </w:rPr>
  </w:style>
  <w:style w:type="character" w:styleId="790" w:customStyle="1">
    <w:name w:val="Subtitle Char"/>
    <w:basedOn w:val="770"/>
    <w:uiPriority w:val="11"/>
    <w:rPr>
      <w:sz w:val="24"/>
      <w:szCs w:val="24"/>
    </w:rPr>
  </w:style>
  <w:style w:type="paragraph" w:styleId="791">
    <w:name w:val="Quote"/>
    <w:basedOn w:val="760"/>
    <w:next w:val="760"/>
    <w:link w:val="792"/>
    <w:uiPriority w:val="29"/>
    <w:qFormat/>
    <w:pPr>
      <w:ind w:left="720" w:right="720"/>
    </w:pPr>
    <w:rPr>
      <w:i/>
    </w:rPr>
  </w:style>
  <w:style w:type="character" w:styleId="792" w:customStyle="1">
    <w:name w:val="Цитата 2 Знак"/>
    <w:link w:val="791"/>
    <w:uiPriority w:val="29"/>
    <w:rPr>
      <w:i/>
    </w:rPr>
  </w:style>
  <w:style w:type="paragraph" w:styleId="793">
    <w:name w:val="Intense Quote"/>
    <w:basedOn w:val="760"/>
    <w:next w:val="760"/>
    <w:link w:val="79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 w:customStyle="1">
    <w:name w:val="Выделенная цитата Знак"/>
    <w:link w:val="793"/>
    <w:uiPriority w:val="30"/>
    <w:rPr>
      <w:i/>
    </w:rPr>
  </w:style>
  <w:style w:type="character" w:styleId="795" w:customStyle="1">
    <w:name w:val="Header Char"/>
    <w:basedOn w:val="770"/>
    <w:uiPriority w:val="99"/>
  </w:style>
  <w:style w:type="character" w:styleId="796" w:customStyle="1">
    <w:name w:val="Footer Char"/>
    <w:basedOn w:val="770"/>
    <w:uiPriority w:val="99"/>
  </w:style>
  <w:style w:type="paragraph" w:styleId="797">
    <w:name w:val="Caption"/>
    <w:basedOn w:val="760"/>
    <w:next w:val="760"/>
    <w:link w:val="79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98" w:customStyle="1">
    <w:name w:val="Название объекта Знак"/>
    <w:basedOn w:val="770"/>
    <w:link w:val="797"/>
    <w:uiPriority w:val="35"/>
    <w:rPr>
      <w:b/>
      <w:bCs/>
      <w:color w:val="4472c4" w:themeColor="accent1"/>
      <w:sz w:val="18"/>
      <w:szCs w:val="18"/>
    </w:rPr>
  </w:style>
  <w:style w:type="table" w:styleId="799" w:customStyle="1">
    <w:name w:val="Table Grid Light"/>
    <w:basedOn w:val="7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0">
    <w:name w:val="Plain Table 1"/>
    <w:basedOn w:val="7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basedOn w:val="77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 w:customStyle="1">
    <w:name w:val="Grid Table 4 - Accent 1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28" w:customStyle="1">
    <w:name w:val="Grid Table 4 - Accent 2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29" w:customStyle="1">
    <w:name w:val="Grid Table 4 - Accent 3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30" w:customStyle="1">
    <w:name w:val="Grid Table 4 - Accent 4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1" w:customStyle="1">
    <w:name w:val="Grid Table 4 - Accent 5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32" w:customStyle="1">
    <w:name w:val="Grid Table 4 - Accent 6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33">
    <w:name w:val="Grid Table 5 Dark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40">
    <w:name w:val="Grid Table 6 Colorful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1" w:customStyle="1">
    <w:name w:val="Grid Table 6 Colorful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42" w:customStyle="1">
    <w:name w:val="Grid Table 6 Colorful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43" w:customStyle="1">
    <w:name w:val="Grid Table 6 Colorful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44" w:customStyle="1">
    <w:name w:val="Grid Table 6 Colorful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45" w:customStyle="1">
    <w:name w:val="Grid Table 6 Colorful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46" w:customStyle="1">
    <w:name w:val="Grid Table 6 Colorful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47">
    <w:name w:val="Grid Table 7 Colorful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Grid Table 7 Colorful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Grid Table 7 Colorful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Grid Table 7 Colorful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Grid Table 7 Colorful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Grid Table 7 Colorful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Grid Table 7 Colorful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>
    <w:name w:val="List Table 1 Light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1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2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3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4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5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6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>
    <w:name w:val="List Table 6 Colorful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0" w:customStyle="1">
    <w:name w:val="List Table 6 Colorful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91" w:customStyle="1">
    <w:name w:val="List Table 6 Colorful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92" w:customStyle="1">
    <w:name w:val="List Table 6 Colorful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93" w:customStyle="1">
    <w:name w:val="List Table 6 Colorful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94" w:customStyle="1">
    <w:name w:val="List Table 6 Colorful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95" w:customStyle="1">
    <w:name w:val="List Table 6 Colorful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96">
    <w:name w:val="List Table 7 Colorful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List Table 7 Colorful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List Table 7 Colorful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List Table 7 Colorful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List Table 7 Colorful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List Table 7 Colorful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 w:customStyle="1">
    <w:name w:val="List Table 7 Colorful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3" w:customStyle="1">
    <w:name w:val="Lined - Accent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4" w:customStyle="1">
    <w:name w:val="Lined - Accent 1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05" w:customStyle="1">
    <w:name w:val="Lined - Accent 2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6" w:customStyle="1">
    <w:name w:val="Lined - Accent 3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7" w:customStyle="1">
    <w:name w:val="Lined - Accent 4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8" w:customStyle="1">
    <w:name w:val="Lined - Accent 5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09" w:customStyle="1">
    <w:name w:val="Lined - Accent 6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0" w:customStyle="1">
    <w:name w:val="Bordered &amp; Lined - Accent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1" w:customStyle="1">
    <w:name w:val="Bordered &amp; Lined - Accent 1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12" w:customStyle="1">
    <w:name w:val="Bordered &amp; Lined - Accent 2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3" w:customStyle="1">
    <w:name w:val="Bordered &amp; Lined - Accent 3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4" w:customStyle="1">
    <w:name w:val="Bordered &amp; Lined - Accent 4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5" w:customStyle="1">
    <w:name w:val="Bordered &amp; Lined - Accent 5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16" w:customStyle="1">
    <w:name w:val="Bordered &amp; Lined - Accent 6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7" w:customStyle="1">
    <w:name w:val="Bordered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8" w:customStyle="1">
    <w:name w:val="Bordered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19" w:customStyle="1">
    <w:name w:val="Bordered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20" w:customStyle="1">
    <w:name w:val="Bordered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21" w:customStyle="1">
    <w:name w:val="Bordered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22" w:customStyle="1">
    <w:name w:val="Bordered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23" w:customStyle="1">
    <w:name w:val="Bordered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24" w:customStyle="1">
    <w:name w:val="Footnote Text Char"/>
    <w:uiPriority w:val="99"/>
    <w:rPr>
      <w:sz w:val="18"/>
    </w:rPr>
  </w:style>
  <w:style w:type="paragraph" w:styleId="925">
    <w:name w:val="endnote text"/>
    <w:basedOn w:val="760"/>
    <w:link w:val="926"/>
    <w:uiPriority w:val="99"/>
    <w:semiHidden/>
    <w:unhideWhenUsed/>
    <w:pPr>
      <w:spacing w:after="0" w:line="240" w:lineRule="auto"/>
    </w:pPr>
    <w:rPr>
      <w:sz w:val="20"/>
    </w:rPr>
  </w:style>
  <w:style w:type="character" w:styleId="926" w:customStyle="1">
    <w:name w:val="Текст концевой сноски Знак"/>
    <w:link w:val="925"/>
    <w:uiPriority w:val="99"/>
    <w:rPr>
      <w:sz w:val="20"/>
    </w:rPr>
  </w:style>
  <w:style w:type="paragraph" w:styleId="927">
    <w:name w:val="toc 1"/>
    <w:basedOn w:val="760"/>
    <w:next w:val="760"/>
    <w:uiPriority w:val="39"/>
    <w:unhideWhenUsed/>
    <w:pPr>
      <w:spacing w:after="57"/>
    </w:pPr>
  </w:style>
  <w:style w:type="paragraph" w:styleId="928">
    <w:name w:val="toc 2"/>
    <w:basedOn w:val="760"/>
    <w:next w:val="760"/>
    <w:uiPriority w:val="39"/>
    <w:unhideWhenUsed/>
    <w:pPr>
      <w:ind w:left="283"/>
      <w:spacing w:after="57"/>
    </w:pPr>
  </w:style>
  <w:style w:type="paragraph" w:styleId="929">
    <w:name w:val="toc 3"/>
    <w:basedOn w:val="760"/>
    <w:next w:val="760"/>
    <w:uiPriority w:val="39"/>
    <w:unhideWhenUsed/>
    <w:pPr>
      <w:ind w:left="567"/>
      <w:spacing w:after="57"/>
    </w:pPr>
  </w:style>
  <w:style w:type="paragraph" w:styleId="930">
    <w:name w:val="toc 4"/>
    <w:basedOn w:val="760"/>
    <w:next w:val="760"/>
    <w:uiPriority w:val="39"/>
    <w:unhideWhenUsed/>
    <w:pPr>
      <w:ind w:left="850"/>
      <w:spacing w:after="57"/>
    </w:pPr>
  </w:style>
  <w:style w:type="paragraph" w:styleId="931">
    <w:name w:val="toc 5"/>
    <w:basedOn w:val="760"/>
    <w:next w:val="760"/>
    <w:uiPriority w:val="39"/>
    <w:unhideWhenUsed/>
    <w:pPr>
      <w:ind w:left="1134"/>
      <w:spacing w:after="57"/>
    </w:pPr>
  </w:style>
  <w:style w:type="paragraph" w:styleId="932">
    <w:name w:val="toc 6"/>
    <w:basedOn w:val="760"/>
    <w:next w:val="760"/>
    <w:uiPriority w:val="39"/>
    <w:unhideWhenUsed/>
    <w:pPr>
      <w:ind w:left="1417"/>
      <w:spacing w:after="57"/>
    </w:pPr>
  </w:style>
  <w:style w:type="paragraph" w:styleId="933">
    <w:name w:val="toc 7"/>
    <w:basedOn w:val="760"/>
    <w:next w:val="760"/>
    <w:uiPriority w:val="39"/>
    <w:unhideWhenUsed/>
    <w:pPr>
      <w:ind w:left="1701"/>
      <w:spacing w:after="57"/>
    </w:pPr>
  </w:style>
  <w:style w:type="paragraph" w:styleId="934">
    <w:name w:val="toc 8"/>
    <w:basedOn w:val="760"/>
    <w:next w:val="760"/>
    <w:uiPriority w:val="39"/>
    <w:unhideWhenUsed/>
    <w:pPr>
      <w:ind w:left="1984"/>
      <w:spacing w:after="57"/>
    </w:pPr>
  </w:style>
  <w:style w:type="paragraph" w:styleId="935">
    <w:name w:val="toc 9"/>
    <w:basedOn w:val="760"/>
    <w:next w:val="760"/>
    <w:uiPriority w:val="39"/>
    <w:unhideWhenUsed/>
    <w:pPr>
      <w:ind w:left="2268"/>
      <w:spacing w:after="57"/>
    </w:pPr>
  </w:style>
  <w:style w:type="paragraph" w:styleId="936">
    <w:name w:val="TOC Heading"/>
    <w:uiPriority w:val="39"/>
    <w:unhideWhenUsed/>
  </w:style>
  <w:style w:type="paragraph" w:styleId="937">
    <w:name w:val="table of figures"/>
    <w:basedOn w:val="760"/>
    <w:next w:val="760"/>
    <w:uiPriority w:val="99"/>
    <w:unhideWhenUsed/>
    <w:pPr>
      <w:spacing w:after="0"/>
    </w:pPr>
  </w:style>
  <w:style w:type="character" w:styleId="938" w:customStyle="1">
    <w:name w:val="Заголовок 1 Знак"/>
    <w:basedOn w:val="770"/>
    <w:link w:val="761"/>
    <w:uiPriority w:val="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939" w:customStyle="1">
    <w:name w:val="Заголовок 2 Знак"/>
    <w:basedOn w:val="770"/>
    <w:link w:val="762"/>
    <w:uiPriority w:val="9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40" w:customStyle="1">
    <w:name w:val="Заголовок 3 Знак"/>
    <w:basedOn w:val="770"/>
    <w:link w:val="763"/>
    <w:rPr>
      <w:rFonts w:ascii="Arial" w:hAnsi="Arial" w:eastAsia="Times New Roman" w:cs="Times New Roman"/>
      <w:b/>
      <w:bCs/>
      <w:sz w:val="26"/>
      <w:szCs w:val="26"/>
    </w:rPr>
  </w:style>
  <w:style w:type="character" w:styleId="941" w:customStyle="1">
    <w:name w:val="Заголовок 4 Знак"/>
    <w:basedOn w:val="770"/>
    <w:link w:val="764"/>
    <w:rPr>
      <w:rFonts w:ascii="Arial" w:hAnsi="Arial" w:eastAsia="Times New Roman" w:cs="Times New Roman"/>
      <w:sz w:val="24"/>
      <w:szCs w:val="24"/>
    </w:rPr>
  </w:style>
  <w:style w:type="character" w:styleId="942" w:customStyle="1">
    <w:name w:val="Заголовок 5 Знак"/>
    <w:basedOn w:val="770"/>
    <w:link w:val="765"/>
    <w:uiPriority w:val="9"/>
    <w:semiHidden/>
    <w:rPr>
      <w:rFonts w:ascii="Cambria" w:hAnsi="Cambria" w:eastAsia="Times New Roman" w:cs="Times New Roman"/>
      <w:color w:val="243f60"/>
    </w:rPr>
  </w:style>
  <w:style w:type="character" w:styleId="943" w:customStyle="1">
    <w:name w:val="Заголовок 6 Знак"/>
    <w:basedOn w:val="770"/>
    <w:link w:val="766"/>
    <w:rPr>
      <w:rFonts w:ascii="Times New Roman" w:hAnsi="Times New Roman" w:eastAsia="Times New Roman" w:cs="Times New Roman"/>
      <w:b/>
      <w:bCs/>
    </w:rPr>
  </w:style>
  <w:style w:type="character" w:styleId="944" w:customStyle="1">
    <w:name w:val="Заголовок 7 Знак"/>
    <w:basedOn w:val="770"/>
    <w:link w:val="767"/>
    <w:rPr>
      <w:rFonts w:ascii="Times New Roman" w:hAnsi="Times New Roman" w:eastAsia="Times New Roman" w:cs="Times New Roman"/>
      <w:sz w:val="24"/>
      <w:szCs w:val="24"/>
    </w:rPr>
  </w:style>
  <w:style w:type="character" w:styleId="945" w:customStyle="1">
    <w:name w:val="Заголовок 8 Знак"/>
    <w:basedOn w:val="770"/>
    <w:link w:val="768"/>
    <w:rPr>
      <w:rFonts w:ascii="Times New Roman" w:hAnsi="Times New Roman" w:eastAsia="Times New Roman" w:cs="Times New Roman"/>
      <w:i/>
      <w:iCs/>
      <w:sz w:val="24"/>
      <w:szCs w:val="24"/>
    </w:rPr>
  </w:style>
  <w:style w:type="numbering" w:styleId="946" w:customStyle="1">
    <w:name w:val="Нет списка1"/>
    <w:next w:val="772"/>
    <w:uiPriority w:val="99"/>
    <w:semiHidden/>
    <w:unhideWhenUsed/>
  </w:style>
  <w:style w:type="paragraph" w:styleId="947">
    <w:name w:val="List Paragraph"/>
    <w:basedOn w:val="760"/>
    <w:link w:val="1110"/>
    <w:uiPriority w:val="99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table" w:styleId="948">
    <w:name w:val="Table Grid"/>
    <w:basedOn w:val="771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9">
    <w:name w:val="Hyperlink"/>
    <w:uiPriority w:val="99"/>
    <w:unhideWhenUsed/>
    <w:rPr>
      <w:color w:val="0000ff"/>
      <w:u w:val="single"/>
    </w:rPr>
  </w:style>
  <w:style w:type="paragraph" w:styleId="950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951" w:customStyle="1">
    <w:name w:val="Nonformat"/>
    <w:basedOn w:val="760"/>
    <w:pPr>
      <w:spacing w:after="0" w:line="240" w:lineRule="auto"/>
    </w:pPr>
    <w:rPr>
      <w:rFonts w:ascii="Consultant" w:hAnsi="Consultant" w:eastAsia="Times New Roman" w:cs="Times New Roman"/>
      <w:sz w:val="14"/>
      <w:szCs w:val="14"/>
      <w:lang w:eastAsia="ru-RU"/>
    </w:rPr>
  </w:style>
  <w:style w:type="character" w:styleId="952" w:customStyle="1">
    <w:name w:val="apple-converted-space"/>
    <w:basedOn w:val="770"/>
  </w:style>
  <w:style w:type="paragraph" w:styleId="953">
    <w:name w:val="Header"/>
    <w:basedOn w:val="760"/>
    <w:link w:val="95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character" w:styleId="954" w:customStyle="1">
    <w:name w:val="Верхний колонтитул Знак"/>
    <w:basedOn w:val="770"/>
    <w:link w:val="953"/>
    <w:uiPriority w:val="99"/>
    <w:rPr>
      <w:rFonts w:ascii="Calibri" w:hAnsi="Calibri" w:eastAsia="Calibri" w:cs="Times New Roman"/>
    </w:rPr>
  </w:style>
  <w:style w:type="paragraph" w:styleId="955">
    <w:name w:val="Footer"/>
    <w:basedOn w:val="760"/>
    <w:link w:val="95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character" w:styleId="956" w:customStyle="1">
    <w:name w:val="Нижний колонтитул Знак"/>
    <w:basedOn w:val="770"/>
    <w:link w:val="955"/>
    <w:uiPriority w:val="99"/>
    <w:rPr>
      <w:rFonts w:ascii="Calibri" w:hAnsi="Calibri" w:eastAsia="Calibri" w:cs="Times New Roman"/>
    </w:rPr>
  </w:style>
  <w:style w:type="paragraph" w:styleId="957">
    <w:name w:val="No Spacing"/>
    <w:link w:val="958"/>
    <w:uiPriority w:val="1"/>
    <w:qFormat/>
    <w:pPr>
      <w:spacing w:after="0" w:line="240" w:lineRule="auto"/>
    </w:pPr>
    <w:rPr>
      <w:rFonts w:ascii="Calibri" w:hAnsi="Calibri" w:eastAsia="Times New Roman" w:cs="Times New Roman"/>
    </w:rPr>
  </w:style>
  <w:style w:type="character" w:styleId="958" w:customStyle="1">
    <w:name w:val="Без интервала Знак"/>
    <w:link w:val="957"/>
    <w:uiPriority w:val="1"/>
    <w:rPr>
      <w:rFonts w:ascii="Calibri" w:hAnsi="Calibri" w:eastAsia="Times New Roman" w:cs="Times New Roman"/>
    </w:rPr>
  </w:style>
  <w:style w:type="paragraph" w:styleId="959">
    <w:name w:val="Balloon Text"/>
    <w:basedOn w:val="760"/>
    <w:link w:val="960"/>
    <w:uiPriority w:val="99"/>
    <w:unhideWhenUsed/>
    <w:pPr>
      <w:spacing w:after="0" w:line="240" w:lineRule="auto"/>
    </w:pPr>
    <w:rPr>
      <w:rFonts w:ascii="Tahoma" w:hAnsi="Tahoma" w:eastAsia="Calibri" w:cs="Times New Roman"/>
      <w:sz w:val="16"/>
      <w:szCs w:val="16"/>
    </w:rPr>
  </w:style>
  <w:style w:type="character" w:styleId="960" w:customStyle="1">
    <w:name w:val="Текст выноски Знак"/>
    <w:basedOn w:val="770"/>
    <w:link w:val="959"/>
    <w:uiPriority w:val="99"/>
    <w:rPr>
      <w:rFonts w:ascii="Tahoma" w:hAnsi="Tahoma" w:eastAsia="Calibri" w:cs="Times New Roman"/>
      <w:sz w:val="16"/>
      <w:szCs w:val="16"/>
    </w:rPr>
  </w:style>
  <w:style w:type="paragraph" w:styleId="961" w:customStyle="1">
    <w:name w:val="Абзац списка2"/>
    <w:basedOn w:val="760"/>
    <w:pPr>
      <w:ind w:left="708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2" w:customStyle="1">
    <w:name w:val="Знак"/>
    <w:basedOn w:val="760"/>
    <w:pPr>
      <w:spacing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963">
    <w:name w:val="Body Text 2"/>
    <w:basedOn w:val="760"/>
    <w:link w:val="964"/>
    <w:pPr>
      <w:jc w:val="both"/>
      <w:spacing w:before="60"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964" w:customStyle="1">
    <w:name w:val="Основной текст 2 Знак"/>
    <w:basedOn w:val="770"/>
    <w:link w:val="963"/>
    <w:rPr>
      <w:rFonts w:ascii="Times New Roman" w:hAnsi="Times New Roman" w:eastAsia="Times New Roman" w:cs="Times New Roman"/>
      <w:sz w:val="24"/>
      <w:szCs w:val="20"/>
    </w:rPr>
  </w:style>
  <w:style w:type="paragraph" w:styleId="965" w:customStyle="1">
    <w:name w:val="ConsNormal"/>
    <w:link w:val="970"/>
    <w:pPr>
      <w:ind w:right="19772"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966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67">
    <w:name w:val="Body Text Indent"/>
    <w:basedOn w:val="760"/>
    <w:link w:val="968"/>
    <w:pPr>
      <w:ind w:firstLine="485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968" w:customStyle="1">
    <w:name w:val="Основной текст с отступом Знак"/>
    <w:basedOn w:val="770"/>
    <w:link w:val="967"/>
    <w:rPr>
      <w:rFonts w:ascii="Times New Roman" w:hAnsi="Times New Roman" w:eastAsia="Times New Roman" w:cs="Times New Roman"/>
      <w:sz w:val="20"/>
      <w:szCs w:val="20"/>
    </w:rPr>
  </w:style>
  <w:style w:type="paragraph" w:styleId="969" w:customStyle="1">
    <w:name w:val="ConsPlusNormal"/>
    <w:link w:val="971"/>
    <w:uiPriority w:val="99"/>
    <w:pPr>
      <w:ind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970" w:customStyle="1">
    <w:name w:val="ConsNormal Знак"/>
    <w:link w:val="965"/>
    <w:rPr>
      <w:rFonts w:ascii="Arial" w:hAnsi="Arial" w:eastAsia="Times New Roman" w:cs="Arial"/>
      <w:sz w:val="20"/>
      <w:szCs w:val="20"/>
      <w:lang w:eastAsia="ru-RU"/>
    </w:rPr>
  </w:style>
  <w:style w:type="character" w:styleId="971" w:customStyle="1">
    <w:name w:val="ConsPlusNormal Знак"/>
    <w:link w:val="969"/>
    <w:uiPriority w:val="99"/>
    <w:rPr>
      <w:rFonts w:ascii="Arial" w:hAnsi="Arial" w:eastAsia="Times New Roman" w:cs="Arial"/>
      <w:sz w:val="20"/>
      <w:szCs w:val="20"/>
      <w:lang w:eastAsia="ru-RU"/>
    </w:rPr>
  </w:style>
  <w:style w:type="paragraph" w:styleId="972">
    <w:name w:val="Body Text Indent 2"/>
    <w:basedOn w:val="760"/>
    <w:link w:val="973"/>
    <w:unhideWhenUsed/>
    <w:pPr>
      <w:ind w:left="283"/>
      <w:spacing w:after="120" w:line="480" w:lineRule="auto"/>
    </w:pPr>
    <w:rPr>
      <w:rFonts w:ascii="Calibri" w:hAnsi="Calibri" w:eastAsia="Calibri" w:cs="Times New Roman"/>
    </w:rPr>
  </w:style>
  <w:style w:type="character" w:styleId="973" w:customStyle="1">
    <w:name w:val="Основной текст с отступом 2 Знак"/>
    <w:basedOn w:val="770"/>
    <w:link w:val="972"/>
    <w:rPr>
      <w:rFonts w:ascii="Calibri" w:hAnsi="Calibri" w:eastAsia="Calibri" w:cs="Times New Roman"/>
    </w:rPr>
  </w:style>
  <w:style w:type="paragraph" w:styleId="974" w:customStyle="1">
    <w:name w:val="s_1"/>
    <w:basedOn w:val="760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75" w:customStyle="1">
    <w:name w:val="Сетка таблицы1"/>
    <w:basedOn w:val="771"/>
    <w:next w:val="948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6" w:customStyle="1">
    <w:name w:val="Обычный (веб) Знак Знак"/>
    <w:basedOn w:val="760"/>
    <w:next w:val="1112"/>
    <w:link w:val="977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7" w:customStyle="1">
    <w:name w:val="Обычный (веб) Знак"/>
    <w:link w:val="976"/>
    <w:rPr>
      <w:rFonts w:ascii="Times New Roman" w:hAnsi="Times New Roman" w:eastAsia="Times New Roman"/>
      <w:sz w:val="24"/>
      <w:szCs w:val="24"/>
    </w:rPr>
  </w:style>
  <w:style w:type="paragraph" w:styleId="978" w:customStyle="1">
    <w:name w:val="Знак1 Знак Знак Знак Знак Знак Знак"/>
    <w:basedOn w:val="760"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character" w:styleId="979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numbering" w:styleId="980" w:customStyle="1">
    <w:name w:val="Нет списка11"/>
    <w:next w:val="772"/>
    <w:uiPriority w:val="99"/>
    <w:semiHidden/>
    <w:unhideWhenUsed/>
  </w:style>
  <w:style w:type="numbering" w:styleId="981" w:customStyle="1">
    <w:name w:val="Нет списка111"/>
    <w:next w:val="772"/>
    <w:uiPriority w:val="99"/>
    <w:semiHidden/>
    <w:unhideWhenUsed/>
  </w:style>
  <w:style w:type="paragraph" w:styleId="982">
    <w:name w:val="Body Text 3"/>
    <w:basedOn w:val="760"/>
    <w:link w:val="983"/>
    <w:unhideWhenUsed/>
    <w:pPr>
      <w:spacing w:after="0" w:line="240" w:lineRule="auto"/>
      <w:tabs>
        <w:tab w:val="left" w:pos="0" w:leader="none"/>
        <w:tab w:val="left" w:pos="40" w:leader="none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</w:tabs>
    </w:pPr>
    <w:rPr>
      <w:rFonts w:ascii="Times New Roman" w:hAnsi="Times New Roman" w:eastAsia="Times New Roman" w:cs="Times New Roman"/>
      <w:iCs/>
      <w:color w:val="000000"/>
      <w:sz w:val="24"/>
      <w:szCs w:val="20"/>
      <w:lang w:eastAsia="ru-RU"/>
    </w:rPr>
  </w:style>
  <w:style w:type="character" w:styleId="983" w:customStyle="1">
    <w:name w:val="Основной текст 3 Знак"/>
    <w:basedOn w:val="770"/>
    <w:link w:val="982"/>
    <w:rPr>
      <w:rFonts w:ascii="Times New Roman" w:hAnsi="Times New Roman" w:eastAsia="Times New Roman" w:cs="Times New Roman"/>
      <w:iCs/>
      <w:color w:val="000000"/>
      <w:sz w:val="24"/>
      <w:szCs w:val="20"/>
      <w:lang w:eastAsia="ru-RU"/>
    </w:rPr>
  </w:style>
  <w:style w:type="paragraph" w:styleId="984">
    <w:name w:val="Body Text Indent 3"/>
    <w:basedOn w:val="760"/>
    <w:link w:val="985"/>
    <w:unhideWhenUsed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85" w:customStyle="1">
    <w:name w:val="Основной текст с отступом 3 Знак"/>
    <w:basedOn w:val="770"/>
    <w:link w:val="984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86" w:customStyle="1">
    <w:name w:val="Стиль3 Знак"/>
    <w:link w:val="987"/>
    <w:rPr>
      <w:sz w:val="24"/>
    </w:rPr>
  </w:style>
  <w:style w:type="paragraph" w:styleId="987" w:customStyle="1">
    <w:name w:val="Стиль3"/>
    <w:basedOn w:val="972"/>
    <w:link w:val="986"/>
    <w:pPr>
      <w:numPr>
        <w:ilvl w:val="2"/>
        <w:numId w:val="1"/>
      </w:numPr>
      <w:ind w:left="742"/>
      <w:jc w:val="both"/>
      <w:spacing w:after="0" w:line="240" w:lineRule="auto"/>
      <w:widowControl w:val="off"/>
      <w:tabs>
        <w:tab w:val="num" w:pos="360" w:leader="none"/>
        <w:tab w:val="clear" w:pos="1307" w:leader="none"/>
      </w:tabs>
    </w:pPr>
    <w:rPr>
      <w:rFonts w:asciiTheme="minorHAnsi" w:hAnsiTheme="minorHAnsi" w:eastAsiaTheme="minorHAnsi" w:cstheme="minorBidi"/>
      <w:sz w:val="24"/>
    </w:rPr>
  </w:style>
  <w:style w:type="paragraph" w:styleId="988" w:customStyle="1">
    <w:name w:val="Уровень 2"/>
    <w:basedOn w:val="760"/>
    <w:pPr>
      <w:numPr>
        <w:ilvl w:val="1"/>
        <w:numId w:val="2"/>
      </w:numPr>
      <w:jc w:val="both"/>
      <w:spacing w:before="120" w:after="0" w:line="240" w:lineRule="auto"/>
      <w:tabs>
        <w:tab w:val="num" w:pos="0" w:leader="none"/>
        <w:tab w:val="clear" w:pos="360" w:leader="none"/>
        <w:tab w:val="left" w:pos="720" w:leader="none"/>
        <w:tab w:val="left" w:pos="1080" w:leader="none"/>
      </w:tabs>
      <w:outlineLvl w:val="2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989" w:customStyle="1">
    <w:name w:val="grame"/>
  </w:style>
  <w:style w:type="paragraph" w:styleId="990">
    <w:name w:val="Body Text"/>
    <w:basedOn w:val="760"/>
    <w:link w:val="991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1" w:customStyle="1">
    <w:name w:val="Основной текст Знак"/>
    <w:basedOn w:val="770"/>
    <w:link w:val="99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2">
    <w:name w:val="HTML Preformatted"/>
    <w:basedOn w:val="760"/>
    <w:link w:val="993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Times New Roman"/>
      <w:sz w:val="20"/>
      <w:szCs w:val="20"/>
    </w:rPr>
  </w:style>
  <w:style w:type="character" w:styleId="993" w:customStyle="1">
    <w:name w:val="Стандартный HTML Знак"/>
    <w:basedOn w:val="770"/>
    <w:link w:val="992"/>
    <w:rPr>
      <w:rFonts w:ascii="Courier New" w:hAnsi="Courier New" w:eastAsia="Courier New" w:cs="Times New Roman"/>
      <w:sz w:val="20"/>
      <w:szCs w:val="20"/>
    </w:rPr>
  </w:style>
  <w:style w:type="paragraph" w:styleId="994">
    <w:name w:val="footnote text"/>
    <w:basedOn w:val="760"/>
    <w:link w:val="995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5" w:customStyle="1">
    <w:name w:val="Текст сноски Знак"/>
    <w:basedOn w:val="770"/>
    <w:link w:val="99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6" w:customStyle="1">
    <w:name w:val="Текст примечания Знак"/>
    <w:link w:val="997"/>
  </w:style>
  <w:style w:type="paragraph" w:styleId="997">
    <w:name w:val="annotation text"/>
    <w:basedOn w:val="760"/>
    <w:link w:val="996"/>
    <w:pPr>
      <w:spacing w:after="0" w:line="240" w:lineRule="auto"/>
    </w:pPr>
  </w:style>
  <w:style w:type="character" w:styleId="998" w:customStyle="1">
    <w:name w:val="Текст примечания Знак1"/>
    <w:basedOn w:val="770"/>
    <w:uiPriority w:val="99"/>
    <w:rPr>
      <w:sz w:val="20"/>
      <w:szCs w:val="20"/>
    </w:rPr>
  </w:style>
  <w:style w:type="character" w:styleId="999" w:customStyle="1">
    <w:name w:val="Тема примечания Знак"/>
    <w:link w:val="1000"/>
    <w:rPr>
      <w:b/>
      <w:bCs/>
    </w:rPr>
  </w:style>
  <w:style w:type="paragraph" w:styleId="1000">
    <w:name w:val="annotation subject"/>
    <w:basedOn w:val="997"/>
    <w:next w:val="997"/>
    <w:link w:val="999"/>
    <w:rPr>
      <w:b/>
      <w:bCs/>
    </w:rPr>
  </w:style>
  <w:style w:type="character" w:styleId="1001" w:customStyle="1">
    <w:name w:val="Тема примечания Знак1"/>
    <w:basedOn w:val="998"/>
    <w:uiPriority w:val="99"/>
    <w:rPr>
      <w:b/>
      <w:bCs/>
      <w:sz w:val="20"/>
      <w:szCs w:val="20"/>
    </w:rPr>
  </w:style>
  <w:style w:type="paragraph" w:styleId="1002" w:customStyle="1">
    <w:name w:val="Îñíîâí"/>
    <w:basedOn w:val="760"/>
    <w:pPr>
      <w:jc w:val="both"/>
      <w:spacing w:after="0" w:line="240" w:lineRule="auto"/>
      <w:widowControl w:val="off"/>
    </w:pPr>
    <w:rPr>
      <w:rFonts w:ascii="Arial" w:hAnsi="Arial" w:eastAsia="Times New Roman" w:cs="Arial"/>
      <w:szCs w:val="20"/>
      <w:lang w:eastAsia="ru-RU"/>
    </w:rPr>
  </w:style>
  <w:style w:type="paragraph" w:styleId="1003" w:customStyle="1">
    <w:name w:val="Обычный1"/>
    <w:pPr>
      <w:ind w:left="280"/>
      <w:spacing w:after="0" w:line="278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4" w:customStyle="1">
    <w:name w:val="Основной текст 21"/>
    <w:basedOn w:val="760"/>
    <w:pPr>
      <w:ind w:firstLine="851"/>
      <w:jc w:val="both"/>
      <w:spacing w:before="120" w:after="12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05" w:customStyle="1">
    <w:name w:val="j0eбычный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6" w:customStyle="1">
    <w:name w:val="Oaeno"/>
    <w:basedOn w:val="760"/>
    <w:pPr>
      <w:spacing w:after="0" w:line="240" w:lineRule="auto"/>
    </w:pPr>
    <w:rPr>
      <w:rFonts w:ascii="Courier New" w:hAnsi="Courier New" w:eastAsia="Arial" w:cs="Times New Roman"/>
      <w:sz w:val="20"/>
      <w:szCs w:val="20"/>
      <w:lang w:eastAsia="ar-SA"/>
    </w:rPr>
  </w:style>
  <w:style w:type="paragraph" w:styleId="1007">
    <w:name w:val="Revision"/>
    <w:uiPriority w:val="99"/>
    <w:semiHidden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8" w:customStyle="1">
    <w:name w:val="Содержимое таблицы"/>
    <w:basedOn w:val="990"/>
    <w:pPr>
      <w:spacing w:after="0"/>
      <w:suppressLineNumbers/>
    </w:pPr>
    <w:rPr>
      <w:b/>
      <w:sz w:val="24"/>
    </w:rPr>
  </w:style>
  <w:style w:type="paragraph" w:styleId="1009" w:customStyle="1">
    <w:name w:val="WW-Основной текст 2"/>
    <w:basedOn w:val="760"/>
    <w:pPr>
      <w:ind w:right="-1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10" w:customStyle="1">
    <w:name w:val="Основной текст с отступом 21"/>
    <w:basedOn w:val="760"/>
    <w:pPr>
      <w:ind w:firstLine="567"/>
      <w:jc w:val="both"/>
      <w:spacing w:after="0" w:line="240" w:lineRule="auto"/>
      <w:widowControl w:val="off"/>
    </w:pPr>
    <w:rPr>
      <w:rFonts w:ascii="Courier New" w:hAnsi="Courier New" w:eastAsia="Times New Roman" w:cs="Times New Roman"/>
      <w:szCs w:val="20"/>
      <w:lang w:eastAsia="ru-RU"/>
    </w:rPr>
  </w:style>
  <w:style w:type="paragraph" w:styleId="1011" w:customStyle="1">
    <w:name w:val="Основной текст с отступом 31"/>
    <w:basedOn w:val="760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styleId="1012">
    <w:name w:val="footnote reference"/>
    <w:rPr>
      <w:vertAlign w:val="superscript"/>
    </w:rPr>
  </w:style>
  <w:style w:type="character" w:styleId="1013">
    <w:name w:val="annotation reference"/>
    <w:rPr>
      <w:sz w:val="16"/>
      <w:szCs w:val="16"/>
    </w:rPr>
  </w:style>
  <w:style w:type="character" w:styleId="1014" w:customStyle="1">
    <w:name w:val="WW-WW8Num4z0"/>
    <w:rPr>
      <w:rFonts w:hint="default" w:ascii="Times New Roman" w:hAnsi="Times New Roman" w:eastAsia="Times New Roman" w:cs="Times New Roman"/>
    </w:rPr>
  </w:style>
  <w:style w:type="table" w:styleId="1015" w:customStyle="1">
    <w:name w:val="Сетка таблицы2"/>
    <w:basedOn w:val="771"/>
    <w:next w:val="948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16">
    <w:name w:val="Outline List 2"/>
    <w:basedOn w:val="772"/>
    <w:pPr>
      <w:numPr>
        <w:ilvl w:val="0"/>
        <w:numId w:val="3"/>
      </w:numPr>
    </w:pPr>
  </w:style>
  <w:style w:type="numbering" w:styleId="1017" w:customStyle="1">
    <w:name w:val="Текущий список1"/>
    <w:pPr>
      <w:numPr>
        <w:ilvl w:val="0"/>
        <w:numId w:val="4"/>
      </w:numPr>
    </w:pPr>
  </w:style>
  <w:style w:type="paragraph" w:styleId="1018" w:customStyle="1">
    <w:name w:val="Char Char"/>
    <w:basedOn w:val="760"/>
    <w:semiHidden/>
    <w:pPr>
      <w:jc w:val="both"/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/>
    </w:rPr>
  </w:style>
  <w:style w:type="character" w:styleId="1019">
    <w:name w:val="page number"/>
  </w:style>
  <w:style w:type="paragraph" w:styleId="1020" w:customStyle="1">
    <w:name w:val="Тема примечания1"/>
    <w:basedOn w:val="997"/>
    <w:next w:val="997"/>
    <w:semiHidden/>
    <w:rPr>
      <w:rFonts w:ascii="Arial" w:hAnsi="Arial"/>
      <w:b/>
      <w:bCs/>
    </w:rPr>
  </w:style>
  <w:style w:type="paragraph" w:styleId="1021" w:customStyle="1">
    <w:name w:val="Standar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22" w:customStyle="1">
    <w:name w:val="Font Style15"/>
    <w:rPr>
      <w:rFonts w:ascii="Times New Roman" w:hAnsi="Times New Roman" w:cs="Times New Roman"/>
      <w:sz w:val="22"/>
      <w:szCs w:val="22"/>
    </w:rPr>
  </w:style>
  <w:style w:type="paragraph" w:styleId="1023" w:customStyle="1">
    <w:name w:val="Основной текст2"/>
    <w:basedOn w:val="760"/>
    <w:pPr>
      <w:spacing w:after="0" w:line="230" w:lineRule="exact"/>
      <w:shd w:val="clear" w:color="auto" w:fill="ffffff"/>
      <w:widowControl w:val="off"/>
    </w:pPr>
    <w:rPr>
      <w:rFonts w:ascii="Bookman Old Style" w:hAnsi="Bookman Old Style" w:eastAsia="Bookman Old Style" w:cs="Bookman Old Style"/>
      <w:color w:val="000000"/>
      <w:sz w:val="19"/>
      <w:szCs w:val="19"/>
      <w:lang w:eastAsia="ru-RU"/>
    </w:rPr>
  </w:style>
  <w:style w:type="paragraph" w:styleId="1024" w:customStyle="1">
    <w:name w:val="1 Знак"/>
    <w:basedOn w:val="760"/>
    <w:pPr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/>
    </w:rPr>
  </w:style>
  <w:style w:type="character" w:styleId="1025" w:customStyle="1">
    <w:name w:val="Основной текст 3 Знак1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026">
    <w:name w:val="endnote reference"/>
    <w:uiPriority w:val="99"/>
    <w:unhideWhenUsed/>
    <w:rPr>
      <w:vertAlign w:val="superscript"/>
    </w:rPr>
  </w:style>
  <w:style w:type="character" w:styleId="1027" w:customStyle="1">
    <w:name w:val="Основной текст_"/>
    <w:link w:val="1031"/>
    <w:rPr>
      <w:sz w:val="25"/>
      <w:szCs w:val="25"/>
      <w:shd w:val="clear" w:color="auto" w:fill="ffffff"/>
    </w:rPr>
  </w:style>
  <w:style w:type="character" w:styleId="1028" w:customStyle="1">
    <w:name w:val="Основной текст + 11;5 pt"/>
    <w:rPr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1029" w:customStyle="1">
    <w:name w:val="Основной текст (2)_"/>
    <w:link w:val="1032"/>
    <w:rPr>
      <w:b/>
      <w:bCs/>
      <w:sz w:val="25"/>
      <w:szCs w:val="25"/>
      <w:shd w:val="clear" w:color="auto" w:fill="ffffff"/>
    </w:rPr>
  </w:style>
  <w:style w:type="character" w:styleId="1030" w:customStyle="1">
    <w:name w:val="Основной текст + Курсив"/>
    <w:rPr>
      <w:i/>
      <w:iCs/>
      <w:color w:val="000000"/>
      <w:spacing w:val="0"/>
      <w:position w:val="0"/>
      <w:sz w:val="25"/>
      <w:szCs w:val="25"/>
      <w:shd w:val="clear" w:color="auto" w:fill="ffffff"/>
      <w:lang w:val="ru-RU"/>
    </w:rPr>
  </w:style>
  <w:style w:type="paragraph" w:styleId="1031" w:customStyle="1">
    <w:name w:val="Основной текст1"/>
    <w:basedOn w:val="760"/>
    <w:link w:val="1027"/>
    <w:pPr>
      <w:ind w:hanging="1320"/>
      <w:jc w:val="right"/>
      <w:spacing w:after="0" w:line="298" w:lineRule="exact"/>
      <w:shd w:val="clear" w:color="auto" w:fill="ffffff"/>
      <w:widowControl w:val="off"/>
    </w:pPr>
    <w:rPr>
      <w:sz w:val="25"/>
      <w:szCs w:val="25"/>
    </w:rPr>
  </w:style>
  <w:style w:type="paragraph" w:styleId="1032" w:customStyle="1">
    <w:name w:val="Основной текст (2)"/>
    <w:basedOn w:val="760"/>
    <w:link w:val="1029"/>
    <w:pPr>
      <w:jc w:val="both"/>
      <w:spacing w:before="660" w:after="0" w:line="298" w:lineRule="exact"/>
      <w:shd w:val="clear" w:color="auto" w:fill="ffffff"/>
      <w:widowControl w:val="off"/>
    </w:pPr>
    <w:rPr>
      <w:b/>
      <w:bCs/>
      <w:sz w:val="25"/>
      <w:szCs w:val="25"/>
    </w:rPr>
  </w:style>
  <w:style w:type="character" w:styleId="1033">
    <w:name w:val="FollowedHyperlink"/>
    <w:uiPriority w:val="99"/>
    <w:unhideWhenUsed/>
    <w:rPr>
      <w:color w:val="800080"/>
      <w:u w:val="single"/>
    </w:rPr>
  </w:style>
  <w:style w:type="character" w:styleId="1034" w:customStyle="1">
    <w:name w:val="Текст Знак"/>
    <w:link w:val="1035"/>
    <w:rPr>
      <w:rFonts w:ascii="Courier New" w:hAnsi="Courier New" w:cs="Courier New"/>
    </w:rPr>
  </w:style>
  <w:style w:type="paragraph" w:styleId="1035">
    <w:name w:val="Plain Text"/>
    <w:basedOn w:val="760"/>
    <w:link w:val="1034"/>
    <w:pPr>
      <w:jc w:val="both"/>
      <w:spacing w:after="0" w:line="240" w:lineRule="auto"/>
    </w:pPr>
    <w:rPr>
      <w:rFonts w:ascii="Courier New" w:hAnsi="Courier New" w:cs="Courier New"/>
    </w:rPr>
  </w:style>
  <w:style w:type="character" w:styleId="1036" w:customStyle="1">
    <w:name w:val="Текст Знак1"/>
    <w:basedOn w:val="770"/>
    <w:rPr>
      <w:rFonts w:ascii="Consolas" w:hAnsi="Consolas"/>
      <w:sz w:val="21"/>
      <w:szCs w:val="21"/>
    </w:rPr>
  </w:style>
  <w:style w:type="paragraph" w:styleId="1037" w:customStyle="1">
    <w:name w:val="Îáû÷íûé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8" w:customStyle="1">
    <w:name w:val="02statia2"/>
    <w:basedOn w:val="760"/>
    <w:pPr>
      <w:ind w:left="2020" w:hanging="880"/>
      <w:jc w:val="both"/>
      <w:spacing w:before="120" w:after="0" w:line="320" w:lineRule="atLeast"/>
    </w:pPr>
    <w:rPr>
      <w:rFonts w:ascii="GaramondNarrowC" w:hAnsi="GaramondNarrowC" w:eastAsia="MS Mincho" w:cs="GaramondNarrowC"/>
      <w:color w:val="000000"/>
      <w:sz w:val="21"/>
      <w:szCs w:val="21"/>
      <w:lang w:eastAsia="ru-RU"/>
    </w:rPr>
  </w:style>
  <w:style w:type="paragraph" w:styleId="1039" w:customStyle="1">
    <w:name w:val="Без интервала1"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character" w:styleId="1040" w:customStyle="1">
    <w:name w:val="f"/>
  </w:style>
  <w:style w:type="character" w:styleId="1041" w:customStyle="1">
    <w:name w:val="Основной текст (10)_"/>
    <w:link w:val="1042"/>
    <w:rPr>
      <w:sz w:val="23"/>
      <w:szCs w:val="23"/>
      <w:shd w:val="clear" w:color="auto" w:fill="ffffff"/>
    </w:rPr>
  </w:style>
  <w:style w:type="paragraph" w:styleId="1042" w:customStyle="1">
    <w:name w:val="Основной текст (10)"/>
    <w:basedOn w:val="760"/>
    <w:link w:val="1041"/>
    <w:pPr>
      <w:ind w:hanging="380"/>
      <w:jc w:val="right"/>
      <w:spacing w:after="0" w:line="274" w:lineRule="exact"/>
      <w:shd w:val="clear" w:color="auto" w:fill="ffffff"/>
    </w:pPr>
    <w:rPr>
      <w:sz w:val="23"/>
      <w:szCs w:val="23"/>
    </w:rPr>
  </w:style>
  <w:style w:type="character" w:styleId="1043">
    <w:name w:val="Strong"/>
    <w:uiPriority w:val="22"/>
    <w:qFormat/>
    <w:rPr>
      <w:b/>
      <w:bCs/>
    </w:rPr>
  </w:style>
  <w:style w:type="character" w:styleId="1044" w:customStyle="1">
    <w:name w:val="Основной текст + 9;5 pt;Не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9"/>
      <w:szCs w:val="19"/>
      <w:u w:val="none"/>
      <w:shd w:val="clear" w:color="auto" w:fill="ffffff"/>
      <w:lang w:val="ru-RU"/>
    </w:rPr>
  </w:style>
  <w:style w:type="character" w:styleId="1045" w:customStyle="1">
    <w:name w:val="Основной текст + 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9"/>
      <w:szCs w:val="19"/>
      <w:u w:val="none"/>
      <w:lang w:val="ru-RU"/>
    </w:rPr>
  </w:style>
  <w:style w:type="character" w:styleId="1046" w:customStyle="1">
    <w:name w:val="Основной текст Знак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1047" w:customStyle="1">
    <w:name w:val="Нет списка1111"/>
    <w:next w:val="772"/>
    <w:uiPriority w:val="99"/>
    <w:semiHidden/>
    <w:unhideWhenUsed/>
  </w:style>
  <w:style w:type="character" w:styleId="1048" w:customStyle="1">
    <w:name w:val="Просмотренная гиперссылка1"/>
    <w:uiPriority w:val="99"/>
    <w:unhideWhenUsed/>
    <w:rPr>
      <w:color w:val="800080"/>
      <w:u w:val="single"/>
    </w:rPr>
  </w:style>
  <w:style w:type="numbering" w:styleId="1049" w:customStyle="1">
    <w:name w:val="Нет списка2"/>
    <w:next w:val="772"/>
    <w:uiPriority w:val="99"/>
    <w:semiHidden/>
    <w:unhideWhenUsed/>
  </w:style>
  <w:style w:type="table" w:styleId="1050" w:customStyle="1">
    <w:name w:val="Сетка таблицы11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51" w:customStyle="1">
    <w:name w:val="Font Style12"/>
    <w:uiPriority w:val="99"/>
    <w:rPr>
      <w:rFonts w:ascii="Times New Roman" w:hAnsi="Times New Roman" w:cs="Times New Roman"/>
      <w:sz w:val="26"/>
      <w:szCs w:val="26"/>
    </w:rPr>
  </w:style>
  <w:style w:type="paragraph" w:styleId="1052" w:customStyle="1">
    <w:name w:val="ConsPlusCel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1053" w:customStyle="1">
    <w:name w:val="apple-style-span"/>
  </w:style>
  <w:style w:type="character" w:styleId="1054" w:customStyle="1">
    <w:name w:val="Текст выноски Знак1"/>
    <w:uiPriority w:val="99"/>
    <w:semiHidden/>
    <w:rPr>
      <w:rFonts w:ascii="Tahoma" w:hAnsi="Tahoma" w:cs="Tahoma"/>
      <w:color w:val="000000"/>
      <w:sz w:val="16"/>
      <w:szCs w:val="16"/>
      <w:lang w:eastAsia="ru-RU"/>
    </w:rPr>
  </w:style>
  <w:style w:type="character" w:styleId="1055" w:customStyle="1">
    <w:name w:val="Основной текст (3)_"/>
    <w:link w:val="1056"/>
    <w:rPr>
      <w:sz w:val="26"/>
      <w:szCs w:val="26"/>
      <w:shd w:val="clear" w:color="auto" w:fill="ffffff"/>
    </w:rPr>
  </w:style>
  <w:style w:type="paragraph" w:styleId="1056" w:customStyle="1">
    <w:name w:val="Основной текст (3)"/>
    <w:basedOn w:val="760"/>
    <w:link w:val="1055"/>
    <w:pPr>
      <w:jc w:val="both"/>
      <w:spacing w:before="900" w:after="0" w:line="317" w:lineRule="exact"/>
      <w:shd w:val="clear" w:color="auto" w:fill="ffffff"/>
    </w:pPr>
    <w:rPr>
      <w:sz w:val="26"/>
      <w:szCs w:val="26"/>
      <w:shd w:val="clear" w:color="auto" w:fill="ffffff"/>
    </w:rPr>
  </w:style>
  <w:style w:type="character" w:styleId="1057" w:customStyle="1">
    <w:name w:val="Основной текст (2) + Не полужирный"/>
    <w:rPr>
      <w:b/>
      <w:bCs/>
      <w:sz w:val="26"/>
      <w:szCs w:val="26"/>
      <w:shd w:val="clear" w:color="auto" w:fill="ffffff"/>
      <w:lang w:bidi="ar-SA"/>
    </w:rPr>
  </w:style>
  <w:style w:type="paragraph" w:styleId="1058" w:customStyle="1">
    <w:name w:val="Основной текст3"/>
    <w:basedOn w:val="760"/>
    <w:pPr>
      <w:ind w:hanging="340"/>
      <w:spacing w:after="0" w:line="0" w:lineRule="atLeast"/>
      <w:shd w:val="clear" w:color="auto" w:fill="ffffff"/>
    </w:pPr>
    <w:rPr>
      <w:rFonts w:ascii="Calibri" w:hAnsi="Calibri" w:eastAsia="Times New Roman" w:cs="Times New Roman"/>
      <w:sz w:val="20"/>
      <w:szCs w:val="20"/>
      <w:shd w:val="clear" w:color="auto" w:fill="ffffff"/>
    </w:rPr>
  </w:style>
  <w:style w:type="paragraph" w:styleId="1059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1060" w:customStyle="1">
    <w:name w:val="Цветовое выделение"/>
    <w:uiPriority w:val="99"/>
    <w:rPr>
      <w:b/>
      <w:color w:val="000080"/>
    </w:rPr>
  </w:style>
  <w:style w:type="paragraph" w:styleId="1061" w:customStyle="1">
    <w:name w:val="_Обычный"/>
    <w:basedOn w:val="760"/>
    <w:uiPriority w:val="99"/>
    <w:pPr>
      <w:ind w:firstLine="720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62" w:customStyle="1">
    <w:name w:val="Основной текст + Arial Unicode MS;9 pt"/>
    <w:rPr>
      <w:rFonts w:ascii="Arial Unicode MS" w:hAnsi="Arial Unicode MS" w:eastAsia="Arial Unicode MS" w:cs="Arial Unicode MS"/>
      <w:b w:val="0"/>
      <w:bCs w:val="0"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lang w:val="ru-RU"/>
    </w:rPr>
  </w:style>
  <w:style w:type="paragraph" w:styleId="1063" w:customStyle="1">
    <w:name w:val="Пункт"/>
    <w:basedOn w:val="760"/>
    <w:pPr>
      <w:ind w:left="1404" w:hanging="504"/>
      <w:jc w:val="both"/>
      <w:spacing w:after="0" w:line="240" w:lineRule="auto"/>
      <w:tabs>
        <w:tab w:val="num" w:pos="1980" w:leader="none"/>
      </w:tabs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paragraph" w:styleId="1064" w:customStyle="1">
    <w:name w:val="Абзац списка1"/>
    <w:basedOn w:val="760"/>
    <w:pPr>
      <w:contextualSpacing/>
      <w:ind w:left="720"/>
      <w:spacing w:after="200" w:line="276" w:lineRule="auto"/>
    </w:pPr>
    <w:rPr>
      <w:rFonts w:ascii="Calibri" w:hAnsi="Calibri" w:eastAsia="Times New Roman" w:cs="Times New Roman"/>
    </w:rPr>
  </w:style>
  <w:style w:type="paragraph" w:styleId="1065" w:customStyle="1">
    <w:name w:val="Внимание: Криминал!!"/>
    <w:basedOn w:val="760"/>
    <w:next w:val="760"/>
    <w:pPr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4"/>
      <w:lang w:eastAsia="ru-RU"/>
    </w:rPr>
  </w:style>
  <w:style w:type="paragraph" w:styleId="1066" w:customStyle="1">
    <w:name w:val="Таблицы (моноширинный)"/>
    <w:basedOn w:val="760"/>
    <w:next w:val="760"/>
    <w:pPr>
      <w:jc w:val="both"/>
      <w:spacing w:after="0" w:line="240" w:lineRule="auto"/>
      <w:widowControl w:val="off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1067" w:customStyle="1">
    <w:name w:val="Основной текст 31"/>
    <w:basedOn w:val="76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ar-SA"/>
    </w:rPr>
  </w:style>
  <w:style w:type="paragraph" w:styleId="1068">
    <w:name w:val="List"/>
    <w:basedOn w:val="760"/>
    <w:pPr>
      <w:ind w:left="283" w:hanging="283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69" w:customStyle="1">
    <w:name w:val="Основной текст27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styleId="1070" w:customStyle="1">
    <w:name w:val="Основной текст30"/>
    <w:basedOn w:val="760"/>
    <w:pPr>
      <w:ind w:hanging="380"/>
      <w:spacing w:after="0" w:line="240" w:lineRule="atLeast"/>
      <w:shd w:val="clear" w:color="auto" w:fill="ffffff"/>
    </w:pPr>
    <w:rPr>
      <w:rFonts w:ascii="Times New Roman" w:hAnsi="Times New Roman" w:eastAsia="Arial Unicode MS" w:cs="Times New Roman"/>
      <w:i/>
      <w:iCs/>
      <w:color w:val="000000"/>
      <w:sz w:val="23"/>
      <w:szCs w:val="23"/>
      <w:lang w:eastAsia="ru-RU"/>
    </w:rPr>
  </w:style>
  <w:style w:type="character" w:styleId="1071">
    <w:name w:val="Emphasis"/>
    <w:qFormat/>
    <w:rPr>
      <w:rFonts w:cs="Times New Roman"/>
      <w:i/>
      <w:iCs/>
    </w:rPr>
  </w:style>
  <w:style w:type="paragraph" w:styleId="1072" w:customStyle="1">
    <w:name w:val="PEA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73" w:customStyle="1">
    <w:name w:val="Стиль2"/>
    <w:basedOn w:val="1074"/>
    <w:pPr>
      <w:numPr>
        <w:ilvl w:val="0"/>
        <w:numId w:val="5"/>
      </w:numPr>
      <w:contextualSpacing w:val="0"/>
      <w:ind w:left="643"/>
      <w:jc w:val="both"/>
      <w:keepLines/>
      <w:keepNext/>
      <w:spacing w:after="60"/>
      <w:widowControl w:val="off"/>
      <w:tabs>
        <w:tab w:val="num" w:pos="360" w:leader="none"/>
        <w:tab w:val="num" w:pos="643" w:leader="none"/>
        <w:tab w:val="num" w:pos="1209" w:leader="none"/>
      </w:tabs>
      <w:suppressLineNumbers/>
    </w:pPr>
    <w:rPr>
      <w:b/>
      <w:szCs w:val="20"/>
    </w:rPr>
  </w:style>
  <w:style w:type="paragraph" w:styleId="1074">
    <w:name w:val="List Number 2"/>
    <w:basedOn w:val="760"/>
    <w:pPr>
      <w:contextualSpacing/>
      <w:ind w:left="431" w:hanging="431"/>
      <w:spacing w:after="0" w:line="240" w:lineRule="auto"/>
      <w:tabs>
        <w:tab w:val="num" w:pos="432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5" w:customStyle="1">
    <w:name w:val="PEA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76" w:customStyle="1">
    <w:name w:val="formattext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numbering" w:styleId="1077" w:customStyle="1">
    <w:name w:val="Нет списка3"/>
    <w:next w:val="772"/>
    <w:uiPriority w:val="99"/>
    <w:semiHidden/>
    <w:unhideWhenUsed/>
  </w:style>
  <w:style w:type="table" w:styleId="1078" w:customStyle="1">
    <w:name w:val="Сетка таблицы21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79" w:customStyle="1">
    <w:name w:val="Нет списка4"/>
    <w:next w:val="772"/>
    <w:uiPriority w:val="99"/>
    <w:semiHidden/>
    <w:unhideWhenUsed/>
  </w:style>
  <w:style w:type="paragraph" w:styleId="1080" w:customStyle="1">
    <w:name w:val="Обычный2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1081">
    <w:name w:val="line number"/>
    <w:semiHidden/>
  </w:style>
  <w:style w:type="character" w:styleId="1082" w:customStyle="1">
    <w:name w:val="Выделение1"/>
    <w:rPr>
      <w:i/>
      <w:sz w:val="24"/>
    </w:rPr>
  </w:style>
  <w:style w:type="character" w:styleId="1083" w:customStyle="1">
    <w:name w:val="Основной шрифт абзаца2"/>
    <w:rPr>
      <w:sz w:val="24"/>
    </w:rPr>
  </w:style>
  <w:style w:type="character" w:styleId="1084" w:customStyle="1">
    <w:name w:val="Выделение2"/>
    <w:rPr>
      <w:i/>
      <w:sz w:val="24"/>
    </w:rPr>
  </w:style>
  <w:style w:type="table" w:styleId="1085">
    <w:name w:val="Table Simple 1"/>
    <w:basedOn w:val="77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86" w:customStyle="1">
    <w:name w:val="Сетка таблицы3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87" w:customStyle="1">
    <w:name w:val="Простая таблица 11"/>
    <w:basedOn w:val="771"/>
    <w:next w:val="108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88" w:customStyle="1">
    <w:name w:val="Сетка таблицы12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89" w:customStyle="1">
    <w:name w:val="1 / 1.1 / 1.1.11"/>
    <w:basedOn w:val="772"/>
    <w:next w:val="1016"/>
  </w:style>
  <w:style w:type="numbering" w:styleId="1090" w:customStyle="1">
    <w:name w:val="Текущий список11"/>
  </w:style>
  <w:style w:type="numbering" w:styleId="1091" w:customStyle="1">
    <w:name w:val="Нет списка12"/>
    <w:next w:val="772"/>
    <w:uiPriority w:val="99"/>
    <w:semiHidden/>
    <w:unhideWhenUsed/>
  </w:style>
  <w:style w:type="numbering" w:styleId="1092" w:customStyle="1">
    <w:name w:val="Нет списка21"/>
    <w:next w:val="772"/>
    <w:uiPriority w:val="99"/>
    <w:semiHidden/>
    <w:unhideWhenUsed/>
  </w:style>
  <w:style w:type="numbering" w:styleId="1093" w:customStyle="1">
    <w:name w:val="Нет списка31"/>
    <w:next w:val="772"/>
    <w:uiPriority w:val="99"/>
    <w:semiHidden/>
    <w:unhideWhenUsed/>
  </w:style>
  <w:style w:type="table" w:styleId="1094" w:customStyle="1">
    <w:name w:val="Сетка таблицы111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95" w:customStyle="1">
    <w:name w:val="Нет списка5"/>
    <w:next w:val="772"/>
    <w:uiPriority w:val="99"/>
    <w:semiHidden/>
    <w:unhideWhenUsed/>
  </w:style>
  <w:style w:type="table" w:styleId="1096" w:customStyle="1">
    <w:name w:val="Простая таблица 12"/>
    <w:basedOn w:val="771"/>
    <w:next w:val="108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7" w:customStyle="1">
    <w:name w:val="Сетка таблицы4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8" w:customStyle="1">
    <w:name w:val="Простая таблица 111"/>
    <w:basedOn w:val="771"/>
    <w:next w:val="108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9" w:customStyle="1">
    <w:name w:val="Сетка таблицы13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100" w:customStyle="1">
    <w:name w:val="1 / 1.1 / 1.1.12"/>
    <w:basedOn w:val="772"/>
    <w:next w:val="1016"/>
  </w:style>
  <w:style w:type="numbering" w:styleId="1101" w:customStyle="1">
    <w:name w:val="Текущий список12"/>
  </w:style>
  <w:style w:type="numbering" w:styleId="1102" w:customStyle="1">
    <w:name w:val="Нет списка13"/>
    <w:next w:val="772"/>
    <w:uiPriority w:val="99"/>
    <w:semiHidden/>
    <w:unhideWhenUsed/>
  </w:style>
  <w:style w:type="numbering" w:styleId="1103" w:customStyle="1">
    <w:name w:val="Нет списка22"/>
    <w:next w:val="772"/>
    <w:uiPriority w:val="99"/>
    <w:semiHidden/>
    <w:unhideWhenUsed/>
  </w:style>
  <w:style w:type="numbering" w:styleId="1104" w:customStyle="1">
    <w:name w:val="Нет списка32"/>
    <w:next w:val="772"/>
    <w:uiPriority w:val="99"/>
    <w:semiHidden/>
    <w:unhideWhenUsed/>
  </w:style>
  <w:style w:type="table" w:styleId="1105" w:customStyle="1">
    <w:name w:val="Сетка таблицы22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06" w:customStyle="1">
    <w:name w:val="Сетка таблицы112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07">
    <w:name w:val="List Bullet 3"/>
    <w:basedOn w:val="760"/>
    <w:pPr>
      <w:ind w:left="926" w:hanging="360"/>
      <w:jc w:val="both"/>
      <w:spacing w:after="60" w:line="240" w:lineRule="auto"/>
      <w:tabs>
        <w:tab w:val="num" w:pos="926" w:leader="none"/>
      </w:tabs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108">
    <w:name w:val="Subtitle"/>
    <w:basedOn w:val="760"/>
    <w:next w:val="760"/>
    <w:link w:val="1109"/>
    <w:uiPriority w:val="11"/>
    <w:qFormat/>
    <w:pPr>
      <w:jc w:val="center"/>
      <w:spacing w:after="60" w:line="240" w:lineRule="auto"/>
      <w:widowControl w:val="off"/>
      <w:outlineLvl w:val="1"/>
    </w:pPr>
    <w:rPr>
      <w:rFonts w:ascii="Cambria" w:hAnsi="Cambria" w:eastAsia="Times New Roman" w:cs="Times New Roman"/>
      <w:sz w:val="24"/>
      <w:szCs w:val="24"/>
    </w:rPr>
  </w:style>
  <w:style w:type="character" w:styleId="1109" w:customStyle="1">
    <w:name w:val="Подзаголовок Знак"/>
    <w:basedOn w:val="770"/>
    <w:link w:val="1108"/>
    <w:uiPriority w:val="11"/>
    <w:rPr>
      <w:rFonts w:ascii="Cambria" w:hAnsi="Cambria" w:eastAsia="Times New Roman" w:cs="Times New Roman"/>
      <w:sz w:val="24"/>
      <w:szCs w:val="24"/>
    </w:rPr>
  </w:style>
  <w:style w:type="character" w:styleId="1110" w:customStyle="1">
    <w:name w:val="Абзац списка Знак"/>
    <w:link w:val="947"/>
    <w:uiPriority w:val="99"/>
    <w:rPr>
      <w:rFonts w:ascii="Calibri" w:hAnsi="Calibri" w:eastAsia="Calibri" w:cs="Times New Roman"/>
    </w:rPr>
  </w:style>
  <w:style w:type="table" w:styleId="1111" w:customStyle="1">
    <w:name w:val="Сетка таблицы5"/>
    <w:basedOn w:val="771"/>
    <w:next w:val="94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12">
    <w:name w:val="Normal (Web)"/>
    <w:basedOn w:val="760"/>
    <w:uiPriority w:val="99"/>
    <w:unhideWhenUsed/>
    <w:rPr>
      <w:rFonts w:ascii="Times New Roman" w:hAnsi="Times New Roman" w:cs="Times New Roman"/>
      <w:sz w:val="24"/>
      <w:szCs w:val="24"/>
    </w:rPr>
  </w:style>
  <w:style w:type="character" w:styleId="1113">
    <w:name w:val="Placeholder Text"/>
    <w:basedOn w:val="770"/>
    <w:uiPriority w:val="99"/>
    <w:semiHidden/>
    <w:rPr>
      <w:color w:val="808080"/>
    </w:rPr>
  </w:style>
  <w:style w:type="character" w:styleId="1114" w:customStyle="1">
    <w:name w:val="Стиль1"/>
    <w:basedOn w:val="770"/>
    <w:uiPriority w:val="1"/>
    <w:rPr>
      <w:rFonts w:ascii="Times New Roman" w:hAnsi="Times New Roman"/>
    </w:rPr>
  </w:style>
  <w:style w:type="character" w:styleId="1115" w:customStyle="1">
    <w:name w:val="Стиль4"/>
    <w:basedOn w:val="770"/>
    <w:uiPriority w:val="1"/>
    <w:rPr>
      <w:rFonts w:ascii="Times New Roman" w:hAnsi="Times New Roman"/>
    </w:rPr>
  </w:style>
  <w:style w:type="character" w:styleId="1116">
    <w:name w:val="Unresolved Mention"/>
    <w:basedOn w:val="77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zakupki.gov.ru" TargetMode="External"/><Relationship Id="rId12" Type="http://schemas.openxmlformats.org/officeDocument/2006/relationships/hyperlink" Target="https://etp-region.ru" TargetMode="External"/><Relationship Id="rId13" Type="http://schemas.openxmlformats.org/officeDocument/2006/relationships/hyperlink" Target="http://www.zakupki.gov.ru" TargetMode="External"/><Relationship Id="rId14" Type="http://schemas.openxmlformats.org/officeDocument/2006/relationships/hyperlink" Target="https://etp-region.ru" TargetMode="External"/><Relationship Id="rId15" Type="http://schemas.openxmlformats.org/officeDocument/2006/relationships/hyperlink" Target="https://etp-region.ru" TargetMode="External"/><Relationship Id="rId16" Type="http://schemas.openxmlformats.org/officeDocument/2006/relationships/hyperlink" Target="https://zakupki.gov.ru/" TargetMode="External"/><Relationship Id="rId17" Type="http://schemas.openxmlformats.org/officeDocument/2006/relationships/hyperlink" Target="https://torgi.etp-region.ru/" TargetMode="External"/><Relationship Id="rId18" Type="http://schemas.openxmlformats.org/officeDocument/2006/relationships/hyperlink" Target="https://zakupki.gov.ru/" TargetMode="External"/><Relationship Id="rId19" Type="http://schemas.openxmlformats.org/officeDocument/2006/relationships/hyperlink" Target="https://torgi.etp-region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F5984-604B-47E2-845D-459632F8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Nurgaliev</dc:creator>
  <cp:keywords/>
  <dc:description>DOC-MARKER-cszrvZV2pKv_7vATx4cN8w</dc:description>
  <cp:lastModifiedBy>kislova-oe</cp:lastModifiedBy>
  <cp:revision>15</cp:revision>
  <dcterms:created xsi:type="dcterms:W3CDTF">2026-03-11T05:48:00Z</dcterms:created>
  <dcterms:modified xsi:type="dcterms:W3CDTF">2026-07-21T08:43:06Z</dcterms:modified>
</cp:coreProperties>
</file>